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D0D1E" w14:textId="180BE231" w:rsidR="005C18C6" w:rsidRDefault="00E270A7" w:rsidP="00E7679D">
      <w:pPr>
        <w:pStyle w:val="Pagedecouverture"/>
        <w:rPr>
          <w:noProof/>
          <w:lang w:val="en-IE"/>
        </w:rPr>
      </w:pPr>
      <w:bookmarkStart w:id="0" w:name="LW_BM_COVERPAGE"/>
      <w:r>
        <w:rPr>
          <w:noProof/>
          <w:lang w:val="en-IE"/>
        </w:rPr>
        <w:pict w14:anchorId="19D72271">
          <v:shape id="_x0000_i1026" type="#_x0000_t75" alt="63506BBD-181B-4858-8061-95DA4E77241D" style="width:455.4pt;height:409.8pt">
            <v:imagedata r:id="rId11" o:title=""/>
          </v:shape>
        </w:pict>
      </w:r>
    </w:p>
    <w:bookmarkEnd w:id="0"/>
    <w:p w14:paraId="734149F5" w14:textId="77777777" w:rsidR="005C18C6" w:rsidRDefault="005C18C6" w:rsidP="005C18C6">
      <w:pPr>
        <w:rPr>
          <w:noProof/>
          <w:lang w:val="en-IE"/>
        </w:rPr>
        <w:sectPr w:rsidR="005C18C6" w:rsidSect="00E7679D">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134" w:right="1417" w:bottom="1134" w:left="1417" w:header="709" w:footer="709" w:gutter="0"/>
          <w:pgNumType w:start="0"/>
          <w:cols w:space="720"/>
          <w:docGrid w:linePitch="299"/>
        </w:sectPr>
      </w:pPr>
    </w:p>
    <w:sdt>
      <w:sdtPr>
        <w:rPr>
          <w:rFonts w:ascii="Calibri" w:eastAsia="Calibri" w:hAnsi="Calibri" w:cs="Arial"/>
          <w:noProof/>
          <w:kern w:val="3"/>
          <w:sz w:val="22"/>
          <w:szCs w:val="22"/>
          <w:lang w:val="en-GB" w:eastAsia="en-US"/>
        </w:rPr>
        <w:id w:val="1539625287"/>
        <w:docPartObj>
          <w:docPartGallery w:val="Table of Contents"/>
          <w:docPartUnique/>
        </w:docPartObj>
      </w:sdtPr>
      <w:sdtEndPr>
        <w:rPr>
          <w:b/>
          <w:bCs/>
        </w:rPr>
      </w:sdtEndPr>
      <w:sdtContent>
        <w:p w14:paraId="2DB331A8" w14:textId="77777777" w:rsidR="00E270A7" w:rsidRDefault="00E270A7" w:rsidP="00300FF1">
          <w:pPr>
            <w:pStyle w:val="paragraph0"/>
            <w:spacing w:before="0" w:beforeAutospacing="0" w:after="0" w:afterAutospacing="0"/>
            <w:jc w:val="both"/>
            <w:textAlignment w:val="baseline"/>
            <w:rPr>
              <w:rFonts w:ascii="Calibri" w:eastAsia="Calibri" w:hAnsi="Calibri" w:cs="Arial"/>
              <w:noProof/>
              <w:kern w:val="3"/>
              <w:sz w:val="22"/>
              <w:szCs w:val="22"/>
              <w:lang w:val="en-GB" w:eastAsia="en-US"/>
            </w:rPr>
          </w:pPr>
        </w:p>
        <w:p w14:paraId="5582290F" w14:textId="77777777" w:rsidR="00E270A7" w:rsidRDefault="00E270A7">
          <w:pPr>
            <w:suppressAutoHyphens w:val="0"/>
            <w:rPr>
              <w:noProof/>
            </w:rPr>
          </w:pPr>
          <w:r>
            <w:rPr>
              <w:noProof/>
            </w:rPr>
            <w:br w:type="page"/>
          </w:r>
        </w:p>
        <w:p w14:paraId="18C1A6C3" w14:textId="4E84BE37" w:rsidR="0084628F" w:rsidRDefault="000B48F6" w:rsidP="00300FF1">
          <w:pPr>
            <w:pStyle w:val="paragraph0"/>
            <w:spacing w:before="0" w:beforeAutospacing="0" w:after="0" w:afterAutospacing="0"/>
            <w:jc w:val="both"/>
            <w:textAlignment w:val="baseline"/>
            <w:rPr>
              <w:rStyle w:val="Hyperlink"/>
              <w:rFonts w:eastAsia="MS Mincho"/>
              <w:b/>
              <w:noProof/>
              <w:sz w:val="28"/>
              <w:lang w:eastAsia="en-US"/>
            </w:rPr>
          </w:pPr>
          <w:r w:rsidRPr="00EC17DB">
            <w:rPr>
              <w:rStyle w:val="Hyperlink"/>
              <w:rFonts w:eastAsia="MS Mincho"/>
              <w:b/>
              <w:bCs/>
              <w:noProof/>
              <w:sz w:val="28"/>
              <w:lang w:eastAsia="en-US"/>
            </w:rPr>
            <w:t>Table of contents</w:t>
          </w:r>
        </w:p>
        <w:p w14:paraId="66EDDEB5" w14:textId="77777777" w:rsidR="00001E10" w:rsidRPr="00EC17DB" w:rsidRDefault="00001E10" w:rsidP="00F617E6">
          <w:pPr>
            <w:pStyle w:val="paragraph0"/>
            <w:spacing w:before="0" w:beforeAutospacing="0" w:after="0" w:afterAutospacing="0"/>
            <w:jc w:val="both"/>
            <w:textAlignment w:val="baseline"/>
            <w:rPr>
              <w:rStyle w:val="Hyperlink"/>
              <w:rFonts w:eastAsia="MS Mincho"/>
              <w:b/>
              <w:noProof/>
              <w:sz w:val="28"/>
            </w:rPr>
          </w:pPr>
        </w:p>
        <w:p w14:paraId="73118469" w14:textId="7DE05E26" w:rsidR="00626D35" w:rsidRDefault="00965CE1">
          <w:pPr>
            <w:pStyle w:val="TOC1"/>
            <w:rPr>
              <w:rFonts w:asciiTheme="minorHAnsi" w:eastAsiaTheme="minorEastAsia" w:hAnsiTheme="minorHAnsi" w:cstheme="minorBidi"/>
              <w:b w:val="0"/>
              <w:bCs w:val="0"/>
              <w:kern w:val="2"/>
              <w:sz w:val="24"/>
              <w:lang w:eastAsia="en-IE"/>
              <w14:ligatures w14:val="standardContextual"/>
            </w:rPr>
          </w:pPr>
          <w:r>
            <w:rPr>
              <w:b w:val="0"/>
              <w:bCs w:val="0"/>
              <w:i/>
              <w:iCs/>
              <w:sz w:val="24"/>
              <w:lang w:val="en-US"/>
            </w:rPr>
            <w:fldChar w:fldCharType="begin"/>
          </w:r>
          <w:r>
            <w:rPr>
              <w:b w:val="0"/>
              <w:bCs w:val="0"/>
              <w:i/>
              <w:iCs/>
              <w:sz w:val="24"/>
              <w:lang w:val="en-US"/>
            </w:rPr>
            <w:instrText xml:space="preserve"> TOC \o "1-5" \h \z \u </w:instrText>
          </w:r>
          <w:r>
            <w:rPr>
              <w:b w:val="0"/>
              <w:bCs w:val="0"/>
              <w:i/>
              <w:iCs/>
              <w:sz w:val="24"/>
              <w:lang w:val="en-US"/>
            </w:rPr>
            <w:fldChar w:fldCharType="separate"/>
          </w:r>
          <w:hyperlink w:anchor="_Toc220103432" w:history="1">
            <w:r w:rsidR="00626D35" w:rsidRPr="00CB20F5">
              <w:rPr>
                <w:rStyle w:val="Hyperlink"/>
              </w:rPr>
              <w:t>Annex 1</w:t>
            </w:r>
            <w:r w:rsidR="00626D35">
              <w:rPr>
                <w:webHidden/>
              </w:rPr>
              <w:tab/>
            </w:r>
            <w:r w:rsidR="00626D35">
              <w:rPr>
                <w:webHidden/>
              </w:rPr>
              <w:fldChar w:fldCharType="begin"/>
            </w:r>
            <w:r w:rsidR="00626D35">
              <w:rPr>
                <w:webHidden/>
              </w:rPr>
              <w:instrText xml:space="preserve"> PAGEREF _Toc220103432 \h </w:instrText>
            </w:r>
            <w:r w:rsidR="00626D35">
              <w:rPr>
                <w:webHidden/>
              </w:rPr>
            </w:r>
            <w:r w:rsidR="00626D35">
              <w:rPr>
                <w:webHidden/>
              </w:rPr>
              <w:fldChar w:fldCharType="separate"/>
            </w:r>
            <w:r w:rsidR="00E270A7">
              <w:rPr>
                <w:webHidden/>
              </w:rPr>
              <w:t>4</w:t>
            </w:r>
            <w:r w:rsidR="00626D35">
              <w:rPr>
                <w:webHidden/>
              </w:rPr>
              <w:fldChar w:fldCharType="end"/>
            </w:r>
          </w:hyperlink>
        </w:p>
        <w:p w14:paraId="02119DFE" w14:textId="53CF46A1" w:rsidR="00626D35" w:rsidRDefault="00626D35">
          <w:pPr>
            <w:pStyle w:val="TOC1"/>
            <w:rPr>
              <w:rFonts w:asciiTheme="minorHAnsi" w:eastAsiaTheme="minorEastAsia" w:hAnsiTheme="minorHAnsi" w:cstheme="minorBidi"/>
              <w:b w:val="0"/>
              <w:bCs w:val="0"/>
              <w:kern w:val="2"/>
              <w:sz w:val="24"/>
              <w:lang w:eastAsia="en-IE"/>
              <w14:ligatures w14:val="standardContextual"/>
            </w:rPr>
          </w:pPr>
          <w:hyperlink w:anchor="_Toc220103433" w:history="1">
            <w:r w:rsidRPr="00CB20F5">
              <w:rPr>
                <w:rStyle w:val="Hyperlink"/>
              </w:rPr>
              <w:t>Key performance indicators (KPIs)</w:t>
            </w:r>
            <w:r>
              <w:rPr>
                <w:webHidden/>
              </w:rPr>
              <w:tab/>
            </w:r>
            <w:r>
              <w:rPr>
                <w:webHidden/>
              </w:rPr>
              <w:fldChar w:fldCharType="begin"/>
            </w:r>
            <w:r>
              <w:rPr>
                <w:webHidden/>
              </w:rPr>
              <w:instrText xml:space="preserve"> PAGEREF _Toc220103433 \h </w:instrText>
            </w:r>
            <w:r>
              <w:rPr>
                <w:webHidden/>
              </w:rPr>
            </w:r>
            <w:r>
              <w:rPr>
                <w:webHidden/>
              </w:rPr>
              <w:fldChar w:fldCharType="separate"/>
            </w:r>
            <w:r w:rsidR="00E270A7">
              <w:rPr>
                <w:webHidden/>
              </w:rPr>
              <w:t>4</w:t>
            </w:r>
            <w:r>
              <w:rPr>
                <w:webHidden/>
              </w:rPr>
              <w:fldChar w:fldCharType="end"/>
            </w:r>
          </w:hyperlink>
        </w:p>
        <w:p w14:paraId="78E6D7D6" w14:textId="0471C049" w:rsidR="00626D35" w:rsidRDefault="00626D35">
          <w:pPr>
            <w:pStyle w:val="TOC2"/>
            <w:rPr>
              <w:rFonts w:asciiTheme="minorHAnsi" w:eastAsiaTheme="minorEastAsia" w:hAnsiTheme="minorHAnsi" w:cstheme="minorBidi"/>
              <w:b/>
              <w:kern w:val="2"/>
              <w:sz w:val="24"/>
              <w:szCs w:val="24"/>
              <w:lang w:eastAsia="en-IE"/>
              <w14:ligatures w14:val="standardContextual"/>
            </w:rPr>
          </w:pPr>
          <w:hyperlink w:anchor="_Toc220103434" w:history="1">
            <w:r w:rsidRPr="00CB20F5">
              <w:rPr>
                <w:rStyle w:val="Hyperlink"/>
                <w:b/>
              </w:rPr>
              <w:t>1.</w:t>
            </w:r>
            <w:r>
              <w:rPr>
                <w:rFonts w:asciiTheme="minorHAnsi" w:eastAsiaTheme="minorEastAsia" w:hAnsiTheme="minorHAnsi" w:cstheme="minorBidi"/>
                <w:b/>
                <w:kern w:val="2"/>
                <w:sz w:val="24"/>
                <w:szCs w:val="24"/>
                <w:lang w:eastAsia="en-IE"/>
                <w14:ligatures w14:val="standardContextual"/>
              </w:rPr>
              <w:tab/>
            </w:r>
            <w:r w:rsidRPr="00CB20F5">
              <w:rPr>
                <w:rStyle w:val="Hyperlink"/>
                <w:b/>
              </w:rPr>
              <w:t>A functioning Single Market</w:t>
            </w:r>
            <w:r>
              <w:rPr>
                <w:webHidden/>
              </w:rPr>
              <w:tab/>
            </w:r>
            <w:r>
              <w:rPr>
                <w:webHidden/>
              </w:rPr>
              <w:fldChar w:fldCharType="begin"/>
            </w:r>
            <w:r>
              <w:rPr>
                <w:webHidden/>
              </w:rPr>
              <w:instrText xml:space="preserve"> PAGEREF _Toc220103434 \h </w:instrText>
            </w:r>
            <w:r>
              <w:rPr>
                <w:webHidden/>
              </w:rPr>
            </w:r>
            <w:r>
              <w:rPr>
                <w:webHidden/>
              </w:rPr>
              <w:fldChar w:fldCharType="separate"/>
            </w:r>
            <w:r w:rsidR="00E270A7">
              <w:rPr>
                <w:webHidden/>
              </w:rPr>
              <w:t>6</w:t>
            </w:r>
            <w:r>
              <w:rPr>
                <w:webHidden/>
              </w:rPr>
              <w:fldChar w:fldCharType="end"/>
            </w:r>
          </w:hyperlink>
        </w:p>
        <w:p w14:paraId="4AF32049" w14:textId="2BC06E2F"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35" w:history="1">
            <w:r w:rsidRPr="00703D9D">
              <w:rPr>
                <w:rStyle w:val="Hyperlink"/>
                <w:b w:val="0"/>
                <w:bCs/>
              </w:rPr>
              <w:t>KPI 1: Labour productivity</w:t>
            </w:r>
            <w:r w:rsidRPr="00703D9D">
              <w:rPr>
                <w:b w:val="0"/>
                <w:bCs/>
                <w:webHidden/>
              </w:rPr>
              <w:tab/>
            </w:r>
            <w:r w:rsidRPr="00703D9D">
              <w:rPr>
                <w:b w:val="0"/>
                <w:bCs/>
                <w:webHidden/>
              </w:rPr>
              <w:fldChar w:fldCharType="begin"/>
            </w:r>
            <w:r w:rsidRPr="00703D9D">
              <w:rPr>
                <w:b w:val="0"/>
                <w:bCs/>
                <w:webHidden/>
              </w:rPr>
              <w:instrText xml:space="preserve"> PAGEREF _Toc220103435 \h </w:instrText>
            </w:r>
            <w:r w:rsidRPr="00703D9D">
              <w:rPr>
                <w:b w:val="0"/>
                <w:bCs/>
                <w:webHidden/>
              </w:rPr>
            </w:r>
            <w:r w:rsidRPr="00703D9D">
              <w:rPr>
                <w:b w:val="0"/>
                <w:bCs/>
                <w:webHidden/>
              </w:rPr>
              <w:fldChar w:fldCharType="separate"/>
            </w:r>
            <w:r w:rsidR="00E270A7">
              <w:rPr>
                <w:b w:val="0"/>
                <w:bCs/>
                <w:webHidden/>
              </w:rPr>
              <w:t>6</w:t>
            </w:r>
            <w:r w:rsidRPr="00703D9D">
              <w:rPr>
                <w:b w:val="0"/>
                <w:bCs/>
                <w:webHidden/>
              </w:rPr>
              <w:fldChar w:fldCharType="end"/>
            </w:r>
          </w:hyperlink>
        </w:p>
        <w:p w14:paraId="6C2A5E84" w14:textId="5EC56043"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36" w:history="1">
            <w:r w:rsidRPr="00703D9D">
              <w:rPr>
                <w:rStyle w:val="Hyperlink"/>
                <w:b w:val="0"/>
                <w:bCs/>
              </w:rPr>
              <w:t>KPI 2: Integration in the Single Market</w:t>
            </w:r>
            <w:r w:rsidRPr="00703D9D">
              <w:rPr>
                <w:b w:val="0"/>
                <w:bCs/>
                <w:webHidden/>
              </w:rPr>
              <w:tab/>
            </w:r>
            <w:r w:rsidRPr="00703D9D">
              <w:rPr>
                <w:b w:val="0"/>
                <w:bCs/>
                <w:webHidden/>
              </w:rPr>
              <w:fldChar w:fldCharType="begin"/>
            </w:r>
            <w:r w:rsidRPr="00703D9D">
              <w:rPr>
                <w:b w:val="0"/>
                <w:bCs/>
                <w:webHidden/>
              </w:rPr>
              <w:instrText xml:space="preserve"> PAGEREF _Toc220103436 \h </w:instrText>
            </w:r>
            <w:r w:rsidRPr="00703D9D">
              <w:rPr>
                <w:b w:val="0"/>
                <w:bCs/>
                <w:webHidden/>
              </w:rPr>
            </w:r>
            <w:r w:rsidRPr="00703D9D">
              <w:rPr>
                <w:b w:val="0"/>
                <w:bCs/>
                <w:webHidden/>
              </w:rPr>
              <w:fldChar w:fldCharType="separate"/>
            </w:r>
            <w:r w:rsidR="00E270A7">
              <w:rPr>
                <w:b w:val="0"/>
                <w:bCs/>
                <w:webHidden/>
              </w:rPr>
              <w:t>7</w:t>
            </w:r>
            <w:r w:rsidRPr="00703D9D">
              <w:rPr>
                <w:b w:val="0"/>
                <w:bCs/>
                <w:webHidden/>
              </w:rPr>
              <w:fldChar w:fldCharType="end"/>
            </w:r>
          </w:hyperlink>
        </w:p>
        <w:p w14:paraId="3078F187" w14:textId="1A2BBDD7"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37" w:history="1">
            <w:r w:rsidRPr="00703D9D">
              <w:rPr>
                <w:rStyle w:val="Hyperlink"/>
                <w:b w:val="0"/>
                <w:bCs/>
              </w:rPr>
              <w:t>KPI 3: Simplification of EU rules</w:t>
            </w:r>
            <w:r w:rsidRPr="00703D9D">
              <w:rPr>
                <w:b w:val="0"/>
                <w:bCs/>
                <w:webHidden/>
              </w:rPr>
              <w:tab/>
            </w:r>
            <w:r w:rsidRPr="00703D9D">
              <w:rPr>
                <w:b w:val="0"/>
                <w:bCs/>
                <w:webHidden/>
              </w:rPr>
              <w:fldChar w:fldCharType="begin"/>
            </w:r>
            <w:r w:rsidRPr="00703D9D">
              <w:rPr>
                <w:b w:val="0"/>
                <w:bCs/>
                <w:webHidden/>
              </w:rPr>
              <w:instrText xml:space="preserve"> PAGEREF _Toc220103437 \h </w:instrText>
            </w:r>
            <w:r w:rsidRPr="00703D9D">
              <w:rPr>
                <w:b w:val="0"/>
                <w:bCs/>
                <w:webHidden/>
              </w:rPr>
            </w:r>
            <w:r w:rsidRPr="00703D9D">
              <w:rPr>
                <w:b w:val="0"/>
                <w:bCs/>
                <w:webHidden/>
              </w:rPr>
              <w:fldChar w:fldCharType="separate"/>
            </w:r>
            <w:r w:rsidR="00E270A7">
              <w:rPr>
                <w:b w:val="0"/>
                <w:bCs/>
                <w:webHidden/>
              </w:rPr>
              <w:t>8</w:t>
            </w:r>
            <w:r w:rsidRPr="00703D9D">
              <w:rPr>
                <w:b w:val="0"/>
                <w:bCs/>
                <w:webHidden/>
              </w:rPr>
              <w:fldChar w:fldCharType="end"/>
            </w:r>
          </w:hyperlink>
        </w:p>
        <w:p w14:paraId="2AD6A063" w14:textId="027B642C"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38" w:history="1">
            <w:r w:rsidRPr="00703D9D">
              <w:rPr>
                <w:rStyle w:val="Hyperlink"/>
                <w:b w:val="0"/>
                <w:bCs/>
              </w:rPr>
              <w:t>KPI 4: Conformity deficit</w:t>
            </w:r>
            <w:r w:rsidRPr="00703D9D">
              <w:rPr>
                <w:b w:val="0"/>
                <w:bCs/>
                <w:webHidden/>
              </w:rPr>
              <w:tab/>
            </w:r>
            <w:r w:rsidRPr="00703D9D">
              <w:rPr>
                <w:b w:val="0"/>
                <w:bCs/>
                <w:webHidden/>
              </w:rPr>
              <w:fldChar w:fldCharType="begin"/>
            </w:r>
            <w:r w:rsidRPr="00703D9D">
              <w:rPr>
                <w:b w:val="0"/>
                <w:bCs/>
                <w:webHidden/>
              </w:rPr>
              <w:instrText xml:space="preserve"> PAGEREF _Toc220103438 \h </w:instrText>
            </w:r>
            <w:r w:rsidRPr="00703D9D">
              <w:rPr>
                <w:b w:val="0"/>
                <w:bCs/>
                <w:webHidden/>
              </w:rPr>
            </w:r>
            <w:r w:rsidRPr="00703D9D">
              <w:rPr>
                <w:b w:val="0"/>
                <w:bCs/>
                <w:webHidden/>
              </w:rPr>
              <w:fldChar w:fldCharType="separate"/>
            </w:r>
            <w:r w:rsidR="00E270A7">
              <w:rPr>
                <w:b w:val="0"/>
                <w:bCs/>
                <w:webHidden/>
              </w:rPr>
              <w:t>9</w:t>
            </w:r>
            <w:r w:rsidRPr="00703D9D">
              <w:rPr>
                <w:b w:val="0"/>
                <w:bCs/>
                <w:webHidden/>
              </w:rPr>
              <w:fldChar w:fldCharType="end"/>
            </w:r>
          </w:hyperlink>
        </w:p>
        <w:p w14:paraId="06D3AF5D" w14:textId="7468B584"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39" w:history="1">
            <w:r w:rsidRPr="00703D9D">
              <w:rPr>
                <w:rStyle w:val="Hyperlink"/>
                <w:b w:val="0"/>
                <w:bCs/>
              </w:rPr>
              <w:t>KPI 5: Ease of regulatory compliance</w:t>
            </w:r>
            <w:r w:rsidRPr="00703D9D">
              <w:rPr>
                <w:b w:val="0"/>
                <w:bCs/>
                <w:webHidden/>
              </w:rPr>
              <w:tab/>
            </w:r>
            <w:r w:rsidRPr="00703D9D">
              <w:rPr>
                <w:b w:val="0"/>
                <w:bCs/>
                <w:webHidden/>
              </w:rPr>
              <w:fldChar w:fldCharType="begin"/>
            </w:r>
            <w:r w:rsidRPr="00703D9D">
              <w:rPr>
                <w:b w:val="0"/>
                <w:bCs/>
                <w:webHidden/>
              </w:rPr>
              <w:instrText xml:space="preserve"> PAGEREF _Toc220103439 \h </w:instrText>
            </w:r>
            <w:r w:rsidRPr="00703D9D">
              <w:rPr>
                <w:b w:val="0"/>
                <w:bCs/>
                <w:webHidden/>
              </w:rPr>
            </w:r>
            <w:r w:rsidRPr="00703D9D">
              <w:rPr>
                <w:b w:val="0"/>
                <w:bCs/>
                <w:webHidden/>
              </w:rPr>
              <w:fldChar w:fldCharType="separate"/>
            </w:r>
            <w:r w:rsidR="00E270A7">
              <w:rPr>
                <w:b w:val="0"/>
                <w:bCs/>
                <w:webHidden/>
              </w:rPr>
              <w:t>10</w:t>
            </w:r>
            <w:r w:rsidRPr="00703D9D">
              <w:rPr>
                <w:b w:val="0"/>
                <w:bCs/>
                <w:webHidden/>
              </w:rPr>
              <w:fldChar w:fldCharType="end"/>
            </w:r>
          </w:hyperlink>
        </w:p>
        <w:p w14:paraId="01FB3B83" w14:textId="0FBF7518"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40" w:history="1">
            <w:r w:rsidRPr="00703D9D">
              <w:rPr>
                <w:rStyle w:val="Hyperlink"/>
                <w:b w:val="0"/>
                <w:bCs/>
              </w:rPr>
              <w:t>KPI 6: Recognition of professional qualifications</w:t>
            </w:r>
            <w:r w:rsidRPr="00703D9D">
              <w:rPr>
                <w:b w:val="0"/>
                <w:bCs/>
                <w:webHidden/>
              </w:rPr>
              <w:tab/>
            </w:r>
            <w:r w:rsidRPr="00703D9D">
              <w:rPr>
                <w:b w:val="0"/>
                <w:bCs/>
                <w:webHidden/>
              </w:rPr>
              <w:fldChar w:fldCharType="begin"/>
            </w:r>
            <w:r w:rsidRPr="00703D9D">
              <w:rPr>
                <w:b w:val="0"/>
                <w:bCs/>
                <w:webHidden/>
              </w:rPr>
              <w:instrText xml:space="preserve"> PAGEREF _Toc220103440 \h </w:instrText>
            </w:r>
            <w:r w:rsidRPr="00703D9D">
              <w:rPr>
                <w:b w:val="0"/>
                <w:bCs/>
                <w:webHidden/>
              </w:rPr>
            </w:r>
            <w:r w:rsidRPr="00703D9D">
              <w:rPr>
                <w:b w:val="0"/>
                <w:bCs/>
                <w:webHidden/>
              </w:rPr>
              <w:fldChar w:fldCharType="separate"/>
            </w:r>
            <w:r w:rsidR="00E270A7">
              <w:rPr>
                <w:b w:val="0"/>
                <w:bCs/>
                <w:webHidden/>
              </w:rPr>
              <w:t>11</w:t>
            </w:r>
            <w:r w:rsidRPr="00703D9D">
              <w:rPr>
                <w:b w:val="0"/>
                <w:bCs/>
                <w:webHidden/>
              </w:rPr>
              <w:fldChar w:fldCharType="end"/>
            </w:r>
          </w:hyperlink>
        </w:p>
        <w:p w14:paraId="1E26B0F6" w14:textId="606B6143"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41" w:history="1">
            <w:r w:rsidRPr="00703D9D">
              <w:rPr>
                <w:rStyle w:val="Hyperlink"/>
                <w:b w:val="0"/>
                <w:bCs/>
              </w:rPr>
              <w:t>KPI 7: Length of standard-setting procedures</w:t>
            </w:r>
            <w:r w:rsidRPr="00703D9D">
              <w:rPr>
                <w:b w:val="0"/>
                <w:bCs/>
                <w:webHidden/>
              </w:rPr>
              <w:tab/>
            </w:r>
            <w:r w:rsidRPr="00703D9D">
              <w:rPr>
                <w:b w:val="0"/>
                <w:bCs/>
                <w:webHidden/>
              </w:rPr>
              <w:fldChar w:fldCharType="begin"/>
            </w:r>
            <w:r w:rsidRPr="00703D9D">
              <w:rPr>
                <w:b w:val="0"/>
                <w:bCs/>
                <w:webHidden/>
              </w:rPr>
              <w:instrText xml:space="preserve"> PAGEREF _Toc220103441 \h </w:instrText>
            </w:r>
            <w:r w:rsidRPr="00703D9D">
              <w:rPr>
                <w:b w:val="0"/>
                <w:bCs/>
                <w:webHidden/>
              </w:rPr>
            </w:r>
            <w:r w:rsidRPr="00703D9D">
              <w:rPr>
                <w:b w:val="0"/>
                <w:bCs/>
                <w:webHidden/>
              </w:rPr>
              <w:fldChar w:fldCharType="separate"/>
            </w:r>
            <w:r w:rsidR="00E270A7">
              <w:rPr>
                <w:b w:val="0"/>
                <w:bCs/>
                <w:webHidden/>
              </w:rPr>
              <w:t>12</w:t>
            </w:r>
            <w:r w:rsidRPr="00703D9D">
              <w:rPr>
                <w:b w:val="0"/>
                <w:bCs/>
                <w:webHidden/>
              </w:rPr>
              <w:fldChar w:fldCharType="end"/>
            </w:r>
          </w:hyperlink>
        </w:p>
        <w:p w14:paraId="4D5F92D4" w14:textId="32D52BA0"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42" w:history="1">
            <w:r w:rsidRPr="00703D9D">
              <w:rPr>
                <w:rStyle w:val="Hyperlink"/>
                <w:b w:val="0"/>
                <w:bCs/>
              </w:rPr>
              <w:t>KPI 8: Circular material use rate</w:t>
            </w:r>
            <w:r w:rsidRPr="00703D9D">
              <w:rPr>
                <w:b w:val="0"/>
                <w:bCs/>
                <w:webHidden/>
              </w:rPr>
              <w:tab/>
            </w:r>
            <w:r w:rsidRPr="00703D9D">
              <w:rPr>
                <w:b w:val="0"/>
                <w:bCs/>
                <w:webHidden/>
              </w:rPr>
              <w:fldChar w:fldCharType="begin"/>
            </w:r>
            <w:r w:rsidRPr="00703D9D">
              <w:rPr>
                <w:b w:val="0"/>
                <w:bCs/>
                <w:webHidden/>
              </w:rPr>
              <w:instrText xml:space="preserve"> PAGEREF _Toc220103442 \h </w:instrText>
            </w:r>
            <w:r w:rsidRPr="00703D9D">
              <w:rPr>
                <w:b w:val="0"/>
                <w:bCs/>
                <w:webHidden/>
              </w:rPr>
            </w:r>
            <w:r w:rsidRPr="00703D9D">
              <w:rPr>
                <w:b w:val="0"/>
                <w:bCs/>
                <w:webHidden/>
              </w:rPr>
              <w:fldChar w:fldCharType="separate"/>
            </w:r>
            <w:r w:rsidR="00E270A7">
              <w:rPr>
                <w:b w:val="0"/>
                <w:bCs/>
                <w:webHidden/>
              </w:rPr>
              <w:t>13</w:t>
            </w:r>
            <w:r w:rsidRPr="00703D9D">
              <w:rPr>
                <w:b w:val="0"/>
                <w:bCs/>
                <w:webHidden/>
              </w:rPr>
              <w:fldChar w:fldCharType="end"/>
            </w:r>
          </w:hyperlink>
        </w:p>
        <w:p w14:paraId="6690A81A" w14:textId="4B619DAA"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43" w:history="1">
            <w:r w:rsidRPr="00703D9D">
              <w:rPr>
                <w:rStyle w:val="Hyperlink"/>
                <w:b w:val="0"/>
                <w:bCs/>
              </w:rPr>
              <w:t>KPI 9: Product compliance monitoring</w:t>
            </w:r>
            <w:r w:rsidRPr="00703D9D">
              <w:rPr>
                <w:b w:val="0"/>
                <w:bCs/>
                <w:webHidden/>
              </w:rPr>
              <w:tab/>
            </w:r>
            <w:r w:rsidRPr="00703D9D">
              <w:rPr>
                <w:b w:val="0"/>
                <w:bCs/>
                <w:webHidden/>
              </w:rPr>
              <w:fldChar w:fldCharType="begin"/>
            </w:r>
            <w:r w:rsidRPr="00703D9D">
              <w:rPr>
                <w:b w:val="0"/>
                <w:bCs/>
                <w:webHidden/>
              </w:rPr>
              <w:instrText xml:space="preserve"> PAGEREF _Toc220103443 \h </w:instrText>
            </w:r>
            <w:r w:rsidRPr="00703D9D">
              <w:rPr>
                <w:b w:val="0"/>
                <w:bCs/>
                <w:webHidden/>
              </w:rPr>
            </w:r>
            <w:r w:rsidRPr="00703D9D">
              <w:rPr>
                <w:b w:val="0"/>
                <w:bCs/>
                <w:webHidden/>
              </w:rPr>
              <w:fldChar w:fldCharType="separate"/>
            </w:r>
            <w:r w:rsidR="00E270A7">
              <w:rPr>
                <w:b w:val="0"/>
                <w:bCs/>
                <w:webHidden/>
              </w:rPr>
              <w:t>14</w:t>
            </w:r>
            <w:r w:rsidRPr="00703D9D">
              <w:rPr>
                <w:b w:val="0"/>
                <w:bCs/>
                <w:webHidden/>
              </w:rPr>
              <w:fldChar w:fldCharType="end"/>
            </w:r>
          </w:hyperlink>
        </w:p>
        <w:p w14:paraId="568DEC86" w14:textId="0CA722FB"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44" w:history="1">
            <w:r w:rsidRPr="00703D9D">
              <w:rPr>
                <w:rStyle w:val="Hyperlink"/>
                <w:b w:val="0"/>
                <w:bCs/>
              </w:rPr>
              <w:t>KPI 10: Services Regulation, Intra-EEA Services Trade Restrictiveness Index</w:t>
            </w:r>
            <w:r w:rsidRPr="00703D9D">
              <w:rPr>
                <w:b w:val="0"/>
                <w:bCs/>
                <w:webHidden/>
              </w:rPr>
              <w:tab/>
            </w:r>
            <w:r w:rsidRPr="00703D9D">
              <w:rPr>
                <w:b w:val="0"/>
                <w:bCs/>
                <w:webHidden/>
              </w:rPr>
              <w:fldChar w:fldCharType="begin"/>
            </w:r>
            <w:r w:rsidRPr="00703D9D">
              <w:rPr>
                <w:b w:val="0"/>
                <w:bCs/>
                <w:webHidden/>
              </w:rPr>
              <w:instrText xml:space="preserve"> PAGEREF _Toc220103444 \h </w:instrText>
            </w:r>
            <w:r w:rsidRPr="00703D9D">
              <w:rPr>
                <w:b w:val="0"/>
                <w:bCs/>
                <w:webHidden/>
              </w:rPr>
            </w:r>
            <w:r w:rsidRPr="00703D9D">
              <w:rPr>
                <w:b w:val="0"/>
                <w:bCs/>
                <w:webHidden/>
              </w:rPr>
              <w:fldChar w:fldCharType="separate"/>
            </w:r>
            <w:r w:rsidR="00E270A7">
              <w:rPr>
                <w:b w:val="0"/>
                <w:bCs/>
                <w:webHidden/>
              </w:rPr>
              <w:t>15</w:t>
            </w:r>
            <w:r w:rsidRPr="00703D9D">
              <w:rPr>
                <w:b w:val="0"/>
                <w:bCs/>
                <w:webHidden/>
              </w:rPr>
              <w:fldChar w:fldCharType="end"/>
            </w:r>
          </w:hyperlink>
        </w:p>
        <w:p w14:paraId="1DB7ACEB" w14:textId="264D5F4F" w:rsidR="00626D35" w:rsidRDefault="00626D35">
          <w:pPr>
            <w:pStyle w:val="TOC3"/>
            <w:rPr>
              <w:rFonts w:asciiTheme="minorHAnsi" w:eastAsiaTheme="minorEastAsia" w:hAnsiTheme="minorHAnsi" w:cstheme="minorBidi"/>
              <w:b w:val="0"/>
              <w:kern w:val="2"/>
              <w:sz w:val="24"/>
              <w:szCs w:val="24"/>
              <w:lang w:val="en-IE" w:eastAsia="en-IE"/>
              <w14:ligatures w14:val="standardContextual"/>
            </w:rPr>
          </w:pPr>
          <w:hyperlink w:anchor="_Toc220103445" w:history="1">
            <w:r w:rsidRPr="00703D9D">
              <w:rPr>
                <w:rStyle w:val="Hyperlink"/>
                <w:b w:val="0"/>
                <w:bCs/>
              </w:rPr>
              <w:t>KPI 11: Degree of digitalisation and cross-border accessibility</w:t>
            </w:r>
            <w:r w:rsidRPr="00703D9D">
              <w:rPr>
                <w:b w:val="0"/>
                <w:bCs/>
                <w:webHidden/>
              </w:rPr>
              <w:tab/>
            </w:r>
            <w:r w:rsidRPr="00703D9D">
              <w:rPr>
                <w:b w:val="0"/>
                <w:bCs/>
                <w:webHidden/>
              </w:rPr>
              <w:fldChar w:fldCharType="begin"/>
            </w:r>
            <w:r w:rsidRPr="00703D9D">
              <w:rPr>
                <w:b w:val="0"/>
                <w:bCs/>
                <w:webHidden/>
              </w:rPr>
              <w:instrText xml:space="preserve"> PAGEREF _Toc220103445 \h </w:instrText>
            </w:r>
            <w:r w:rsidRPr="00703D9D">
              <w:rPr>
                <w:b w:val="0"/>
                <w:bCs/>
                <w:webHidden/>
              </w:rPr>
            </w:r>
            <w:r w:rsidRPr="00703D9D">
              <w:rPr>
                <w:b w:val="0"/>
                <w:bCs/>
                <w:webHidden/>
              </w:rPr>
              <w:fldChar w:fldCharType="separate"/>
            </w:r>
            <w:r w:rsidR="00E270A7">
              <w:rPr>
                <w:b w:val="0"/>
                <w:bCs/>
                <w:webHidden/>
              </w:rPr>
              <w:t>16</w:t>
            </w:r>
            <w:r w:rsidRPr="00703D9D">
              <w:rPr>
                <w:b w:val="0"/>
                <w:bCs/>
                <w:webHidden/>
              </w:rPr>
              <w:fldChar w:fldCharType="end"/>
            </w:r>
          </w:hyperlink>
        </w:p>
        <w:p w14:paraId="2A717DDA" w14:textId="2D7B7C12" w:rsidR="00626D35" w:rsidRDefault="00626D35">
          <w:pPr>
            <w:pStyle w:val="TOC2"/>
            <w:rPr>
              <w:rFonts w:asciiTheme="minorHAnsi" w:eastAsiaTheme="minorEastAsia" w:hAnsiTheme="minorHAnsi" w:cstheme="minorBidi"/>
              <w:b/>
              <w:kern w:val="2"/>
              <w:sz w:val="24"/>
              <w:szCs w:val="24"/>
              <w:lang w:eastAsia="en-IE"/>
              <w14:ligatures w14:val="standardContextual"/>
            </w:rPr>
          </w:pPr>
          <w:hyperlink w:anchor="_Toc220103446" w:history="1">
            <w:r w:rsidRPr="00CB20F5">
              <w:rPr>
                <w:rStyle w:val="Hyperlink"/>
                <w:b/>
              </w:rPr>
              <w:t>2.</w:t>
            </w:r>
            <w:r>
              <w:rPr>
                <w:rFonts w:asciiTheme="minorHAnsi" w:eastAsiaTheme="minorEastAsia" w:hAnsiTheme="minorHAnsi" w:cstheme="minorBidi"/>
                <w:b/>
                <w:kern w:val="2"/>
                <w:sz w:val="24"/>
                <w:szCs w:val="24"/>
                <w:lang w:eastAsia="en-IE"/>
                <w14:ligatures w14:val="standardContextual"/>
              </w:rPr>
              <w:tab/>
            </w:r>
            <w:r w:rsidRPr="00CB20F5">
              <w:rPr>
                <w:rStyle w:val="Hyperlink"/>
                <w:b/>
              </w:rPr>
              <w:t>Closing the innovation gap</w:t>
            </w:r>
            <w:r>
              <w:rPr>
                <w:webHidden/>
              </w:rPr>
              <w:tab/>
            </w:r>
            <w:r>
              <w:rPr>
                <w:webHidden/>
              </w:rPr>
              <w:fldChar w:fldCharType="begin"/>
            </w:r>
            <w:r>
              <w:rPr>
                <w:webHidden/>
              </w:rPr>
              <w:instrText xml:space="preserve"> PAGEREF _Toc220103446 \h </w:instrText>
            </w:r>
            <w:r>
              <w:rPr>
                <w:webHidden/>
              </w:rPr>
            </w:r>
            <w:r>
              <w:rPr>
                <w:webHidden/>
              </w:rPr>
              <w:fldChar w:fldCharType="separate"/>
            </w:r>
            <w:r w:rsidR="00E270A7">
              <w:rPr>
                <w:webHidden/>
              </w:rPr>
              <w:t>17</w:t>
            </w:r>
            <w:r>
              <w:rPr>
                <w:webHidden/>
              </w:rPr>
              <w:fldChar w:fldCharType="end"/>
            </w:r>
          </w:hyperlink>
        </w:p>
        <w:p w14:paraId="5EF5DCCD" w14:textId="2265C5C9"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47" w:history="1">
            <w:r w:rsidRPr="00703D9D">
              <w:rPr>
                <w:rStyle w:val="Hyperlink"/>
                <w:b w:val="0"/>
                <w:bCs/>
              </w:rPr>
              <w:t>KPI 12: R&amp;D expenditure</w:t>
            </w:r>
            <w:r w:rsidRPr="00703D9D">
              <w:rPr>
                <w:b w:val="0"/>
                <w:bCs/>
                <w:webHidden/>
              </w:rPr>
              <w:tab/>
            </w:r>
            <w:r w:rsidRPr="00703D9D">
              <w:rPr>
                <w:b w:val="0"/>
                <w:bCs/>
                <w:webHidden/>
              </w:rPr>
              <w:fldChar w:fldCharType="begin"/>
            </w:r>
            <w:r w:rsidRPr="00703D9D">
              <w:rPr>
                <w:b w:val="0"/>
                <w:bCs/>
                <w:webHidden/>
              </w:rPr>
              <w:instrText xml:space="preserve"> PAGEREF _Toc220103447 \h </w:instrText>
            </w:r>
            <w:r w:rsidRPr="00703D9D">
              <w:rPr>
                <w:b w:val="0"/>
                <w:bCs/>
                <w:webHidden/>
              </w:rPr>
            </w:r>
            <w:r w:rsidRPr="00703D9D">
              <w:rPr>
                <w:b w:val="0"/>
                <w:bCs/>
                <w:webHidden/>
              </w:rPr>
              <w:fldChar w:fldCharType="separate"/>
            </w:r>
            <w:r w:rsidR="00E270A7">
              <w:rPr>
                <w:b w:val="0"/>
                <w:bCs/>
                <w:webHidden/>
              </w:rPr>
              <w:t>17</w:t>
            </w:r>
            <w:r w:rsidRPr="00703D9D">
              <w:rPr>
                <w:b w:val="0"/>
                <w:bCs/>
                <w:webHidden/>
              </w:rPr>
              <w:fldChar w:fldCharType="end"/>
            </w:r>
          </w:hyperlink>
        </w:p>
        <w:p w14:paraId="19247EB0" w14:textId="770CEFF5"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48" w:history="1">
            <w:r w:rsidRPr="00703D9D">
              <w:rPr>
                <w:rStyle w:val="Hyperlink"/>
                <w:b w:val="0"/>
                <w:bCs/>
              </w:rPr>
              <w:t>KPI 13: Patent applications</w:t>
            </w:r>
            <w:r w:rsidRPr="00703D9D">
              <w:rPr>
                <w:b w:val="0"/>
                <w:bCs/>
                <w:webHidden/>
              </w:rPr>
              <w:tab/>
            </w:r>
            <w:r w:rsidRPr="00703D9D">
              <w:rPr>
                <w:b w:val="0"/>
                <w:bCs/>
                <w:webHidden/>
              </w:rPr>
              <w:fldChar w:fldCharType="begin"/>
            </w:r>
            <w:r w:rsidRPr="00703D9D">
              <w:rPr>
                <w:b w:val="0"/>
                <w:bCs/>
                <w:webHidden/>
              </w:rPr>
              <w:instrText xml:space="preserve"> PAGEREF _Toc220103448 \h </w:instrText>
            </w:r>
            <w:r w:rsidRPr="00703D9D">
              <w:rPr>
                <w:b w:val="0"/>
                <w:bCs/>
                <w:webHidden/>
              </w:rPr>
            </w:r>
            <w:r w:rsidRPr="00703D9D">
              <w:rPr>
                <w:b w:val="0"/>
                <w:bCs/>
                <w:webHidden/>
              </w:rPr>
              <w:fldChar w:fldCharType="separate"/>
            </w:r>
            <w:r w:rsidR="00E270A7">
              <w:rPr>
                <w:b w:val="0"/>
                <w:bCs/>
                <w:webHidden/>
              </w:rPr>
              <w:t>18</w:t>
            </w:r>
            <w:r w:rsidRPr="00703D9D">
              <w:rPr>
                <w:b w:val="0"/>
                <w:bCs/>
                <w:webHidden/>
              </w:rPr>
              <w:fldChar w:fldCharType="end"/>
            </w:r>
          </w:hyperlink>
        </w:p>
        <w:p w14:paraId="281CF417" w14:textId="3233F8A9"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49" w:history="1">
            <w:r w:rsidRPr="00703D9D">
              <w:rPr>
                <w:rStyle w:val="Hyperlink"/>
                <w:b w:val="0"/>
                <w:bCs/>
              </w:rPr>
              <w:t>KPI 14: Digital technologies adoption by companies</w:t>
            </w:r>
            <w:r w:rsidRPr="00703D9D">
              <w:rPr>
                <w:b w:val="0"/>
                <w:bCs/>
                <w:webHidden/>
              </w:rPr>
              <w:tab/>
            </w:r>
            <w:r w:rsidRPr="00703D9D">
              <w:rPr>
                <w:b w:val="0"/>
                <w:bCs/>
                <w:webHidden/>
              </w:rPr>
              <w:fldChar w:fldCharType="begin"/>
            </w:r>
            <w:r w:rsidRPr="00703D9D">
              <w:rPr>
                <w:b w:val="0"/>
                <w:bCs/>
                <w:webHidden/>
              </w:rPr>
              <w:instrText xml:space="preserve"> PAGEREF _Toc220103449 \h </w:instrText>
            </w:r>
            <w:r w:rsidRPr="00703D9D">
              <w:rPr>
                <w:b w:val="0"/>
                <w:bCs/>
                <w:webHidden/>
              </w:rPr>
            </w:r>
            <w:r w:rsidRPr="00703D9D">
              <w:rPr>
                <w:b w:val="0"/>
                <w:bCs/>
                <w:webHidden/>
              </w:rPr>
              <w:fldChar w:fldCharType="separate"/>
            </w:r>
            <w:r w:rsidR="00E270A7">
              <w:rPr>
                <w:b w:val="0"/>
                <w:bCs/>
                <w:webHidden/>
              </w:rPr>
              <w:t>19</w:t>
            </w:r>
            <w:r w:rsidRPr="00703D9D">
              <w:rPr>
                <w:b w:val="0"/>
                <w:bCs/>
                <w:webHidden/>
              </w:rPr>
              <w:fldChar w:fldCharType="end"/>
            </w:r>
          </w:hyperlink>
        </w:p>
        <w:p w14:paraId="79CCDB23" w14:textId="70A521B4"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50" w:history="1">
            <w:r w:rsidRPr="00703D9D">
              <w:rPr>
                <w:rStyle w:val="Hyperlink"/>
                <w:b w:val="0"/>
                <w:bCs/>
              </w:rPr>
              <w:t>KPI 15: Employment rate</w:t>
            </w:r>
            <w:r w:rsidRPr="00703D9D">
              <w:rPr>
                <w:b w:val="0"/>
                <w:bCs/>
                <w:webHidden/>
              </w:rPr>
              <w:tab/>
            </w:r>
            <w:r w:rsidRPr="00703D9D">
              <w:rPr>
                <w:b w:val="0"/>
                <w:bCs/>
                <w:webHidden/>
              </w:rPr>
              <w:fldChar w:fldCharType="begin"/>
            </w:r>
            <w:r w:rsidRPr="00703D9D">
              <w:rPr>
                <w:b w:val="0"/>
                <w:bCs/>
                <w:webHidden/>
              </w:rPr>
              <w:instrText xml:space="preserve"> PAGEREF _Toc220103450 \h </w:instrText>
            </w:r>
            <w:r w:rsidRPr="00703D9D">
              <w:rPr>
                <w:b w:val="0"/>
                <w:bCs/>
                <w:webHidden/>
              </w:rPr>
            </w:r>
            <w:r w:rsidRPr="00703D9D">
              <w:rPr>
                <w:b w:val="0"/>
                <w:bCs/>
                <w:webHidden/>
              </w:rPr>
              <w:fldChar w:fldCharType="separate"/>
            </w:r>
            <w:r w:rsidR="00E270A7">
              <w:rPr>
                <w:b w:val="0"/>
                <w:bCs/>
                <w:webHidden/>
              </w:rPr>
              <w:t>20</w:t>
            </w:r>
            <w:r w:rsidRPr="00703D9D">
              <w:rPr>
                <w:b w:val="0"/>
                <w:bCs/>
                <w:webHidden/>
              </w:rPr>
              <w:fldChar w:fldCharType="end"/>
            </w:r>
          </w:hyperlink>
        </w:p>
        <w:p w14:paraId="42FFC42D" w14:textId="5F4FF1A9" w:rsidR="00626D35" w:rsidRPr="00896325"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51" w:history="1">
            <w:r w:rsidRPr="00703D9D">
              <w:rPr>
                <w:rStyle w:val="Hyperlink"/>
                <w:b w:val="0"/>
                <w:bCs/>
              </w:rPr>
              <w:t>KPI 16: Labour shortages relevant for the green transition</w:t>
            </w:r>
            <w:r w:rsidRPr="00703D9D">
              <w:rPr>
                <w:b w:val="0"/>
                <w:bCs/>
                <w:webHidden/>
              </w:rPr>
              <w:tab/>
            </w:r>
            <w:r w:rsidRPr="00703D9D">
              <w:rPr>
                <w:b w:val="0"/>
                <w:bCs/>
                <w:webHidden/>
              </w:rPr>
              <w:fldChar w:fldCharType="begin"/>
            </w:r>
            <w:r w:rsidRPr="00703D9D">
              <w:rPr>
                <w:b w:val="0"/>
                <w:bCs/>
                <w:webHidden/>
              </w:rPr>
              <w:instrText xml:space="preserve"> PAGEREF _Toc220103451 \h </w:instrText>
            </w:r>
            <w:r w:rsidRPr="00703D9D">
              <w:rPr>
                <w:b w:val="0"/>
                <w:bCs/>
                <w:webHidden/>
              </w:rPr>
            </w:r>
            <w:r w:rsidRPr="00703D9D">
              <w:rPr>
                <w:b w:val="0"/>
                <w:bCs/>
                <w:webHidden/>
              </w:rPr>
              <w:fldChar w:fldCharType="separate"/>
            </w:r>
            <w:r w:rsidR="00E270A7">
              <w:rPr>
                <w:b w:val="0"/>
                <w:bCs/>
                <w:webHidden/>
              </w:rPr>
              <w:t>21</w:t>
            </w:r>
            <w:r w:rsidRPr="00703D9D">
              <w:rPr>
                <w:b w:val="0"/>
                <w:bCs/>
                <w:webHidden/>
              </w:rPr>
              <w:fldChar w:fldCharType="end"/>
            </w:r>
          </w:hyperlink>
        </w:p>
        <w:p w14:paraId="6915D2EE" w14:textId="4D9DF299" w:rsidR="00626D35" w:rsidRDefault="00626D35">
          <w:pPr>
            <w:pStyle w:val="TOC3"/>
            <w:rPr>
              <w:rFonts w:asciiTheme="minorHAnsi" w:eastAsiaTheme="minorEastAsia" w:hAnsiTheme="minorHAnsi" w:cstheme="minorBidi"/>
              <w:b w:val="0"/>
              <w:kern w:val="2"/>
              <w:sz w:val="24"/>
              <w:szCs w:val="24"/>
              <w:lang w:val="en-IE" w:eastAsia="en-IE"/>
              <w14:ligatures w14:val="standardContextual"/>
            </w:rPr>
          </w:pPr>
          <w:hyperlink w:anchor="_Toc220103452" w:history="1">
            <w:r w:rsidRPr="00703D9D">
              <w:rPr>
                <w:rStyle w:val="Hyperlink"/>
                <w:b w:val="0"/>
                <w:bCs/>
                <w:lang w:val="fr-BE"/>
              </w:rPr>
              <w:t>KPI 17: PISA scores</w:t>
            </w:r>
            <w:r w:rsidRPr="00703D9D">
              <w:rPr>
                <w:b w:val="0"/>
                <w:bCs/>
                <w:webHidden/>
              </w:rPr>
              <w:tab/>
            </w:r>
            <w:r w:rsidRPr="00703D9D">
              <w:rPr>
                <w:b w:val="0"/>
                <w:bCs/>
                <w:webHidden/>
              </w:rPr>
              <w:fldChar w:fldCharType="begin"/>
            </w:r>
            <w:r w:rsidRPr="00703D9D">
              <w:rPr>
                <w:b w:val="0"/>
                <w:bCs/>
                <w:webHidden/>
              </w:rPr>
              <w:instrText xml:space="preserve"> PAGEREF _Toc220103452 \h </w:instrText>
            </w:r>
            <w:r w:rsidRPr="00703D9D">
              <w:rPr>
                <w:b w:val="0"/>
                <w:bCs/>
                <w:webHidden/>
              </w:rPr>
            </w:r>
            <w:r w:rsidRPr="00703D9D">
              <w:rPr>
                <w:b w:val="0"/>
                <w:bCs/>
                <w:webHidden/>
              </w:rPr>
              <w:fldChar w:fldCharType="separate"/>
            </w:r>
            <w:r w:rsidR="00E270A7">
              <w:rPr>
                <w:b w:val="0"/>
                <w:bCs/>
                <w:webHidden/>
              </w:rPr>
              <w:t>22</w:t>
            </w:r>
            <w:r w:rsidRPr="00703D9D">
              <w:rPr>
                <w:b w:val="0"/>
                <w:bCs/>
                <w:webHidden/>
              </w:rPr>
              <w:fldChar w:fldCharType="end"/>
            </w:r>
          </w:hyperlink>
        </w:p>
        <w:p w14:paraId="0549D379" w14:textId="5F39C617" w:rsidR="00626D35" w:rsidRDefault="00626D35">
          <w:pPr>
            <w:pStyle w:val="TOC2"/>
            <w:rPr>
              <w:rFonts w:asciiTheme="minorHAnsi" w:eastAsiaTheme="minorEastAsia" w:hAnsiTheme="minorHAnsi" w:cstheme="minorBidi"/>
              <w:b/>
              <w:kern w:val="2"/>
              <w:sz w:val="24"/>
              <w:szCs w:val="24"/>
              <w:lang w:eastAsia="en-IE"/>
              <w14:ligatures w14:val="standardContextual"/>
            </w:rPr>
          </w:pPr>
          <w:hyperlink w:anchor="_Toc220103453" w:history="1">
            <w:r w:rsidRPr="00CB20F5">
              <w:rPr>
                <w:rStyle w:val="Hyperlink"/>
                <w:b/>
              </w:rPr>
              <w:t>3.</w:t>
            </w:r>
            <w:r>
              <w:rPr>
                <w:rFonts w:asciiTheme="minorHAnsi" w:eastAsiaTheme="minorEastAsia" w:hAnsiTheme="minorHAnsi" w:cstheme="minorBidi"/>
                <w:b/>
                <w:kern w:val="2"/>
                <w:sz w:val="24"/>
                <w:szCs w:val="24"/>
                <w:lang w:eastAsia="en-IE"/>
                <w14:ligatures w14:val="standardContextual"/>
              </w:rPr>
              <w:tab/>
            </w:r>
            <w:r w:rsidRPr="00CB20F5">
              <w:rPr>
                <w:rStyle w:val="Hyperlink"/>
                <w:b/>
              </w:rPr>
              <w:t>Decarbonisation of industry and investment</w:t>
            </w:r>
            <w:r>
              <w:rPr>
                <w:webHidden/>
              </w:rPr>
              <w:tab/>
            </w:r>
            <w:r>
              <w:rPr>
                <w:webHidden/>
              </w:rPr>
              <w:fldChar w:fldCharType="begin"/>
            </w:r>
            <w:r>
              <w:rPr>
                <w:webHidden/>
              </w:rPr>
              <w:instrText xml:space="preserve"> PAGEREF _Toc220103453 \h </w:instrText>
            </w:r>
            <w:r>
              <w:rPr>
                <w:webHidden/>
              </w:rPr>
            </w:r>
            <w:r>
              <w:rPr>
                <w:webHidden/>
              </w:rPr>
              <w:fldChar w:fldCharType="separate"/>
            </w:r>
            <w:r w:rsidR="00E270A7">
              <w:rPr>
                <w:webHidden/>
              </w:rPr>
              <w:t>23</w:t>
            </w:r>
            <w:r>
              <w:rPr>
                <w:webHidden/>
              </w:rPr>
              <w:fldChar w:fldCharType="end"/>
            </w:r>
          </w:hyperlink>
        </w:p>
        <w:p w14:paraId="7C4288B8" w14:textId="01427CCC" w:rsidR="00626D35" w:rsidRPr="00162438"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54" w:history="1">
            <w:r w:rsidRPr="00703D9D">
              <w:rPr>
                <w:rStyle w:val="Hyperlink"/>
                <w:b w:val="0"/>
                <w:bCs/>
              </w:rPr>
              <w:t>KPI 18: Private investment </w:t>
            </w:r>
            <w:r w:rsidRPr="00703D9D">
              <w:rPr>
                <w:b w:val="0"/>
                <w:bCs/>
                <w:webHidden/>
              </w:rPr>
              <w:tab/>
            </w:r>
            <w:r w:rsidRPr="00703D9D">
              <w:rPr>
                <w:b w:val="0"/>
                <w:bCs/>
                <w:webHidden/>
              </w:rPr>
              <w:fldChar w:fldCharType="begin"/>
            </w:r>
            <w:r w:rsidRPr="00703D9D">
              <w:rPr>
                <w:b w:val="0"/>
                <w:bCs/>
                <w:webHidden/>
              </w:rPr>
              <w:instrText xml:space="preserve"> PAGEREF _Toc220103454 \h </w:instrText>
            </w:r>
            <w:r w:rsidRPr="00703D9D">
              <w:rPr>
                <w:b w:val="0"/>
                <w:bCs/>
                <w:webHidden/>
              </w:rPr>
            </w:r>
            <w:r w:rsidRPr="00703D9D">
              <w:rPr>
                <w:b w:val="0"/>
                <w:bCs/>
                <w:webHidden/>
              </w:rPr>
              <w:fldChar w:fldCharType="separate"/>
            </w:r>
            <w:r w:rsidR="00E270A7">
              <w:rPr>
                <w:b w:val="0"/>
                <w:bCs/>
                <w:webHidden/>
              </w:rPr>
              <w:t>23</w:t>
            </w:r>
            <w:r w:rsidRPr="00703D9D">
              <w:rPr>
                <w:b w:val="0"/>
                <w:bCs/>
                <w:webHidden/>
              </w:rPr>
              <w:fldChar w:fldCharType="end"/>
            </w:r>
          </w:hyperlink>
        </w:p>
        <w:p w14:paraId="1F83EACA" w14:textId="7BB0A67C" w:rsidR="00626D35" w:rsidRPr="00162438"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55" w:history="1">
            <w:r w:rsidRPr="00703D9D">
              <w:rPr>
                <w:rStyle w:val="Hyperlink"/>
                <w:b w:val="0"/>
                <w:bCs/>
              </w:rPr>
              <w:t>KPI 19: Public investment </w:t>
            </w:r>
            <w:r w:rsidRPr="00703D9D">
              <w:rPr>
                <w:b w:val="0"/>
                <w:bCs/>
                <w:webHidden/>
              </w:rPr>
              <w:tab/>
            </w:r>
            <w:r w:rsidRPr="00703D9D">
              <w:rPr>
                <w:b w:val="0"/>
                <w:bCs/>
                <w:webHidden/>
              </w:rPr>
              <w:fldChar w:fldCharType="begin"/>
            </w:r>
            <w:r w:rsidRPr="00703D9D">
              <w:rPr>
                <w:b w:val="0"/>
                <w:bCs/>
                <w:webHidden/>
              </w:rPr>
              <w:instrText xml:space="preserve"> PAGEREF _Toc220103455 \h </w:instrText>
            </w:r>
            <w:r w:rsidRPr="00703D9D">
              <w:rPr>
                <w:b w:val="0"/>
                <w:bCs/>
                <w:webHidden/>
              </w:rPr>
            </w:r>
            <w:r w:rsidRPr="00703D9D">
              <w:rPr>
                <w:b w:val="0"/>
                <w:bCs/>
                <w:webHidden/>
              </w:rPr>
              <w:fldChar w:fldCharType="separate"/>
            </w:r>
            <w:r w:rsidR="00E270A7">
              <w:rPr>
                <w:b w:val="0"/>
                <w:bCs/>
                <w:webHidden/>
              </w:rPr>
              <w:t>24</w:t>
            </w:r>
            <w:r w:rsidRPr="00703D9D">
              <w:rPr>
                <w:b w:val="0"/>
                <w:bCs/>
                <w:webHidden/>
              </w:rPr>
              <w:fldChar w:fldCharType="end"/>
            </w:r>
          </w:hyperlink>
        </w:p>
        <w:p w14:paraId="22D3093F" w14:textId="04394AAE" w:rsidR="00626D35" w:rsidRPr="00162438"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56" w:history="1">
            <w:r w:rsidRPr="00703D9D">
              <w:rPr>
                <w:rStyle w:val="Hyperlink"/>
                <w:b w:val="0"/>
                <w:bCs/>
              </w:rPr>
              <w:t>KPI 20: Venture capital investment</w:t>
            </w:r>
            <w:r w:rsidRPr="00703D9D">
              <w:rPr>
                <w:b w:val="0"/>
                <w:bCs/>
                <w:webHidden/>
              </w:rPr>
              <w:tab/>
            </w:r>
            <w:r w:rsidRPr="00703D9D">
              <w:rPr>
                <w:b w:val="0"/>
                <w:bCs/>
                <w:webHidden/>
              </w:rPr>
              <w:fldChar w:fldCharType="begin"/>
            </w:r>
            <w:r w:rsidRPr="00703D9D">
              <w:rPr>
                <w:b w:val="0"/>
                <w:bCs/>
                <w:webHidden/>
              </w:rPr>
              <w:instrText xml:space="preserve"> PAGEREF _Toc220103456 \h </w:instrText>
            </w:r>
            <w:r w:rsidRPr="00703D9D">
              <w:rPr>
                <w:b w:val="0"/>
                <w:bCs/>
                <w:webHidden/>
              </w:rPr>
            </w:r>
            <w:r w:rsidRPr="00703D9D">
              <w:rPr>
                <w:b w:val="0"/>
                <w:bCs/>
                <w:webHidden/>
              </w:rPr>
              <w:fldChar w:fldCharType="separate"/>
            </w:r>
            <w:r w:rsidR="00E270A7">
              <w:rPr>
                <w:b w:val="0"/>
                <w:bCs/>
                <w:webHidden/>
              </w:rPr>
              <w:t>25</w:t>
            </w:r>
            <w:r w:rsidRPr="00703D9D">
              <w:rPr>
                <w:b w:val="0"/>
                <w:bCs/>
                <w:webHidden/>
              </w:rPr>
              <w:fldChar w:fldCharType="end"/>
            </w:r>
          </w:hyperlink>
        </w:p>
        <w:p w14:paraId="151682C4" w14:textId="0A0DB2D5" w:rsidR="00626D35" w:rsidRPr="00162438"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57" w:history="1">
            <w:r w:rsidRPr="00703D9D">
              <w:rPr>
                <w:rStyle w:val="Hyperlink"/>
                <w:b w:val="0"/>
                <w:bCs/>
              </w:rPr>
              <w:t>KPI 21: EU investments supporting the industrial transition</w:t>
            </w:r>
            <w:r w:rsidRPr="00703D9D">
              <w:rPr>
                <w:b w:val="0"/>
                <w:bCs/>
                <w:webHidden/>
              </w:rPr>
              <w:tab/>
            </w:r>
            <w:r w:rsidRPr="00703D9D">
              <w:rPr>
                <w:b w:val="0"/>
                <w:bCs/>
                <w:webHidden/>
              </w:rPr>
              <w:fldChar w:fldCharType="begin"/>
            </w:r>
            <w:r w:rsidRPr="00703D9D">
              <w:rPr>
                <w:b w:val="0"/>
                <w:bCs/>
                <w:webHidden/>
              </w:rPr>
              <w:instrText xml:space="preserve"> PAGEREF _Toc220103457 \h </w:instrText>
            </w:r>
            <w:r w:rsidRPr="00703D9D">
              <w:rPr>
                <w:b w:val="0"/>
                <w:bCs/>
                <w:webHidden/>
              </w:rPr>
            </w:r>
            <w:r w:rsidRPr="00703D9D">
              <w:rPr>
                <w:b w:val="0"/>
                <w:bCs/>
                <w:webHidden/>
              </w:rPr>
              <w:fldChar w:fldCharType="separate"/>
            </w:r>
            <w:r w:rsidR="00E270A7">
              <w:rPr>
                <w:b w:val="0"/>
                <w:bCs/>
                <w:webHidden/>
              </w:rPr>
              <w:t>26</w:t>
            </w:r>
            <w:r w:rsidRPr="00703D9D">
              <w:rPr>
                <w:b w:val="0"/>
                <w:bCs/>
                <w:webHidden/>
              </w:rPr>
              <w:fldChar w:fldCharType="end"/>
            </w:r>
          </w:hyperlink>
        </w:p>
        <w:p w14:paraId="1BA35A9E" w14:textId="68A2EF7F" w:rsidR="00626D35" w:rsidRPr="00162438"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58" w:history="1">
            <w:r w:rsidRPr="00703D9D">
              <w:rPr>
                <w:rStyle w:val="Hyperlink"/>
                <w:b w:val="0"/>
                <w:bCs/>
              </w:rPr>
              <w:t>KPI 24: Electricity prices for businesses</w:t>
            </w:r>
            <w:r w:rsidRPr="00703D9D">
              <w:rPr>
                <w:b w:val="0"/>
                <w:bCs/>
                <w:webHidden/>
              </w:rPr>
              <w:tab/>
            </w:r>
            <w:r w:rsidRPr="00703D9D">
              <w:rPr>
                <w:b w:val="0"/>
                <w:bCs/>
                <w:webHidden/>
              </w:rPr>
              <w:fldChar w:fldCharType="begin"/>
            </w:r>
            <w:r w:rsidRPr="00703D9D">
              <w:rPr>
                <w:b w:val="0"/>
                <w:bCs/>
                <w:webHidden/>
              </w:rPr>
              <w:instrText xml:space="preserve"> PAGEREF _Toc220103458 \h </w:instrText>
            </w:r>
            <w:r w:rsidRPr="00703D9D">
              <w:rPr>
                <w:b w:val="0"/>
                <w:bCs/>
                <w:webHidden/>
              </w:rPr>
            </w:r>
            <w:r w:rsidRPr="00703D9D">
              <w:rPr>
                <w:b w:val="0"/>
                <w:bCs/>
                <w:webHidden/>
              </w:rPr>
              <w:fldChar w:fldCharType="separate"/>
            </w:r>
            <w:r w:rsidR="00E270A7">
              <w:rPr>
                <w:b w:val="0"/>
                <w:bCs/>
                <w:webHidden/>
              </w:rPr>
              <w:t>27</w:t>
            </w:r>
            <w:r w:rsidRPr="00703D9D">
              <w:rPr>
                <w:b w:val="0"/>
                <w:bCs/>
                <w:webHidden/>
              </w:rPr>
              <w:fldChar w:fldCharType="end"/>
            </w:r>
          </w:hyperlink>
        </w:p>
        <w:p w14:paraId="64D828D4" w14:textId="779E692F" w:rsidR="00626D35" w:rsidRPr="00162438"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59" w:history="1">
            <w:r w:rsidRPr="00703D9D">
              <w:rPr>
                <w:rStyle w:val="Hyperlink"/>
                <w:b w:val="0"/>
                <w:bCs/>
              </w:rPr>
              <w:t>KPI 23: Electrification rate</w:t>
            </w:r>
            <w:r w:rsidRPr="00703D9D">
              <w:rPr>
                <w:b w:val="0"/>
                <w:bCs/>
                <w:webHidden/>
              </w:rPr>
              <w:tab/>
            </w:r>
            <w:r w:rsidRPr="00703D9D">
              <w:rPr>
                <w:b w:val="0"/>
                <w:bCs/>
                <w:webHidden/>
              </w:rPr>
              <w:fldChar w:fldCharType="begin"/>
            </w:r>
            <w:r w:rsidRPr="00703D9D">
              <w:rPr>
                <w:b w:val="0"/>
                <w:bCs/>
                <w:webHidden/>
              </w:rPr>
              <w:instrText xml:space="preserve"> PAGEREF _Toc220103459 \h </w:instrText>
            </w:r>
            <w:r w:rsidRPr="00703D9D">
              <w:rPr>
                <w:b w:val="0"/>
                <w:bCs/>
                <w:webHidden/>
              </w:rPr>
            </w:r>
            <w:r w:rsidRPr="00703D9D">
              <w:rPr>
                <w:b w:val="0"/>
                <w:bCs/>
                <w:webHidden/>
              </w:rPr>
              <w:fldChar w:fldCharType="separate"/>
            </w:r>
            <w:r w:rsidR="00E270A7">
              <w:rPr>
                <w:b w:val="0"/>
                <w:bCs/>
                <w:webHidden/>
              </w:rPr>
              <w:t>28</w:t>
            </w:r>
            <w:r w:rsidRPr="00703D9D">
              <w:rPr>
                <w:b w:val="0"/>
                <w:bCs/>
                <w:webHidden/>
              </w:rPr>
              <w:fldChar w:fldCharType="end"/>
            </w:r>
          </w:hyperlink>
        </w:p>
        <w:p w14:paraId="53A32727" w14:textId="1EF59BFE" w:rsidR="00626D35" w:rsidRPr="00162438"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60" w:history="1">
            <w:r w:rsidRPr="00703D9D">
              <w:rPr>
                <w:rStyle w:val="Hyperlink"/>
                <w:b w:val="0"/>
                <w:bCs/>
              </w:rPr>
              <w:t>KPI 24: Energy from renewable sources</w:t>
            </w:r>
            <w:r w:rsidRPr="00703D9D">
              <w:rPr>
                <w:b w:val="0"/>
                <w:bCs/>
                <w:webHidden/>
              </w:rPr>
              <w:tab/>
            </w:r>
            <w:r w:rsidRPr="00703D9D">
              <w:rPr>
                <w:b w:val="0"/>
                <w:bCs/>
                <w:webHidden/>
              </w:rPr>
              <w:fldChar w:fldCharType="begin"/>
            </w:r>
            <w:r w:rsidRPr="00703D9D">
              <w:rPr>
                <w:b w:val="0"/>
                <w:bCs/>
                <w:webHidden/>
              </w:rPr>
              <w:instrText xml:space="preserve"> PAGEREF _Toc220103460 \h </w:instrText>
            </w:r>
            <w:r w:rsidRPr="00703D9D">
              <w:rPr>
                <w:b w:val="0"/>
                <w:bCs/>
                <w:webHidden/>
              </w:rPr>
            </w:r>
            <w:r w:rsidRPr="00703D9D">
              <w:rPr>
                <w:b w:val="0"/>
                <w:bCs/>
                <w:webHidden/>
              </w:rPr>
              <w:fldChar w:fldCharType="separate"/>
            </w:r>
            <w:r w:rsidR="00E270A7">
              <w:rPr>
                <w:b w:val="0"/>
                <w:bCs/>
                <w:webHidden/>
              </w:rPr>
              <w:t>29</w:t>
            </w:r>
            <w:r w:rsidRPr="00703D9D">
              <w:rPr>
                <w:b w:val="0"/>
                <w:bCs/>
                <w:webHidden/>
              </w:rPr>
              <w:fldChar w:fldCharType="end"/>
            </w:r>
          </w:hyperlink>
        </w:p>
        <w:p w14:paraId="3521F0B7" w14:textId="4C7345B0" w:rsidR="00626D35" w:rsidRPr="00162438"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61" w:history="1">
            <w:r w:rsidRPr="00703D9D">
              <w:rPr>
                <w:rStyle w:val="Hyperlink"/>
                <w:b w:val="0"/>
                <w:bCs/>
              </w:rPr>
              <w:t>KPI 25: Annual growth in renewable electricity generation</w:t>
            </w:r>
            <w:r w:rsidRPr="00703D9D">
              <w:rPr>
                <w:b w:val="0"/>
                <w:bCs/>
                <w:webHidden/>
              </w:rPr>
              <w:tab/>
            </w:r>
            <w:r w:rsidRPr="00703D9D">
              <w:rPr>
                <w:b w:val="0"/>
                <w:bCs/>
                <w:webHidden/>
              </w:rPr>
              <w:fldChar w:fldCharType="begin"/>
            </w:r>
            <w:r w:rsidRPr="00703D9D">
              <w:rPr>
                <w:b w:val="0"/>
                <w:bCs/>
                <w:webHidden/>
              </w:rPr>
              <w:instrText xml:space="preserve"> PAGEREF _Toc220103461 \h </w:instrText>
            </w:r>
            <w:r w:rsidRPr="00703D9D">
              <w:rPr>
                <w:b w:val="0"/>
                <w:bCs/>
                <w:webHidden/>
              </w:rPr>
            </w:r>
            <w:r w:rsidRPr="00703D9D">
              <w:rPr>
                <w:b w:val="0"/>
                <w:bCs/>
                <w:webHidden/>
              </w:rPr>
              <w:fldChar w:fldCharType="separate"/>
            </w:r>
            <w:r w:rsidR="00E270A7">
              <w:rPr>
                <w:b w:val="0"/>
                <w:bCs/>
                <w:webHidden/>
              </w:rPr>
              <w:t>30</w:t>
            </w:r>
            <w:r w:rsidRPr="00703D9D">
              <w:rPr>
                <w:b w:val="0"/>
                <w:bCs/>
                <w:webHidden/>
              </w:rPr>
              <w:fldChar w:fldCharType="end"/>
            </w:r>
          </w:hyperlink>
        </w:p>
        <w:p w14:paraId="721C6562" w14:textId="696342A8" w:rsidR="00626D35" w:rsidRDefault="00626D35">
          <w:pPr>
            <w:pStyle w:val="TOC2"/>
            <w:rPr>
              <w:rFonts w:asciiTheme="minorHAnsi" w:eastAsiaTheme="minorEastAsia" w:hAnsiTheme="minorHAnsi" w:cstheme="minorBidi"/>
              <w:b/>
              <w:kern w:val="2"/>
              <w:sz w:val="24"/>
              <w:szCs w:val="24"/>
              <w:lang w:eastAsia="en-IE"/>
              <w14:ligatures w14:val="standardContextual"/>
            </w:rPr>
          </w:pPr>
          <w:hyperlink w:anchor="_Toc220103462" w:history="1">
            <w:r w:rsidRPr="00CB20F5">
              <w:rPr>
                <w:rStyle w:val="Hyperlink"/>
                <w:b/>
              </w:rPr>
              <w:t>4.</w:t>
            </w:r>
            <w:r>
              <w:rPr>
                <w:rFonts w:asciiTheme="minorHAnsi" w:eastAsiaTheme="minorEastAsia" w:hAnsiTheme="minorHAnsi" w:cstheme="minorBidi"/>
                <w:b/>
                <w:kern w:val="2"/>
                <w:sz w:val="24"/>
                <w:szCs w:val="24"/>
                <w:lang w:eastAsia="en-IE"/>
                <w14:ligatures w14:val="standardContextual"/>
              </w:rPr>
              <w:tab/>
            </w:r>
            <w:r w:rsidRPr="00CB20F5">
              <w:rPr>
                <w:rStyle w:val="Hyperlink"/>
                <w:b/>
              </w:rPr>
              <w:t>Increasing security and reducing dependencies</w:t>
            </w:r>
            <w:r>
              <w:rPr>
                <w:webHidden/>
              </w:rPr>
              <w:tab/>
            </w:r>
            <w:r>
              <w:rPr>
                <w:webHidden/>
              </w:rPr>
              <w:fldChar w:fldCharType="begin"/>
            </w:r>
            <w:r>
              <w:rPr>
                <w:webHidden/>
              </w:rPr>
              <w:instrText xml:space="preserve"> PAGEREF _Toc220103462 \h </w:instrText>
            </w:r>
            <w:r>
              <w:rPr>
                <w:webHidden/>
              </w:rPr>
            </w:r>
            <w:r>
              <w:rPr>
                <w:webHidden/>
              </w:rPr>
              <w:fldChar w:fldCharType="separate"/>
            </w:r>
            <w:r w:rsidR="00E270A7">
              <w:rPr>
                <w:webHidden/>
              </w:rPr>
              <w:t>31</w:t>
            </w:r>
            <w:r>
              <w:rPr>
                <w:webHidden/>
              </w:rPr>
              <w:fldChar w:fldCharType="end"/>
            </w:r>
          </w:hyperlink>
        </w:p>
        <w:p w14:paraId="466A56B0" w14:textId="655C90B6" w:rsidR="00626D35" w:rsidRPr="00162438"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63" w:history="1">
            <w:r w:rsidRPr="00703D9D">
              <w:rPr>
                <w:rStyle w:val="Hyperlink"/>
                <w:b w:val="0"/>
                <w:bCs/>
              </w:rPr>
              <w:t>KPI 26: Trade with the rest of the world</w:t>
            </w:r>
            <w:r w:rsidRPr="00703D9D">
              <w:rPr>
                <w:b w:val="0"/>
                <w:bCs/>
                <w:webHidden/>
              </w:rPr>
              <w:tab/>
            </w:r>
            <w:r w:rsidRPr="00703D9D">
              <w:rPr>
                <w:b w:val="0"/>
                <w:bCs/>
                <w:webHidden/>
              </w:rPr>
              <w:fldChar w:fldCharType="begin"/>
            </w:r>
            <w:r w:rsidRPr="00703D9D">
              <w:rPr>
                <w:b w:val="0"/>
                <w:bCs/>
                <w:webHidden/>
              </w:rPr>
              <w:instrText xml:space="preserve"> PAGEREF _Toc220103463 \h </w:instrText>
            </w:r>
            <w:r w:rsidRPr="00703D9D">
              <w:rPr>
                <w:b w:val="0"/>
                <w:bCs/>
                <w:webHidden/>
              </w:rPr>
            </w:r>
            <w:r w:rsidRPr="00703D9D">
              <w:rPr>
                <w:b w:val="0"/>
                <w:bCs/>
                <w:webHidden/>
              </w:rPr>
              <w:fldChar w:fldCharType="separate"/>
            </w:r>
            <w:r w:rsidR="00E270A7">
              <w:rPr>
                <w:b w:val="0"/>
                <w:bCs/>
                <w:webHidden/>
              </w:rPr>
              <w:t>31</w:t>
            </w:r>
            <w:r w:rsidRPr="00703D9D">
              <w:rPr>
                <w:b w:val="0"/>
                <w:bCs/>
                <w:webHidden/>
              </w:rPr>
              <w:fldChar w:fldCharType="end"/>
            </w:r>
          </w:hyperlink>
        </w:p>
        <w:p w14:paraId="788C81F7" w14:textId="4C07FCE5" w:rsidR="00626D35" w:rsidRPr="00162438"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64" w:history="1">
            <w:r w:rsidRPr="00703D9D">
              <w:rPr>
                <w:rStyle w:val="Hyperlink"/>
                <w:b w:val="0"/>
                <w:bCs/>
              </w:rPr>
              <w:t>KPI 27: The EU economy’s global market share</w:t>
            </w:r>
            <w:r w:rsidRPr="00703D9D">
              <w:rPr>
                <w:b w:val="0"/>
                <w:bCs/>
                <w:webHidden/>
              </w:rPr>
              <w:tab/>
            </w:r>
            <w:r w:rsidRPr="00703D9D">
              <w:rPr>
                <w:b w:val="0"/>
                <w:bCs/>
                <w:webHidden/>
              </w:rPr>
              <w:fldChar w:fldCharType="begin"/>
            </w:r>
            <w:r w:rsidRPr="00703D9D">
              <w:rPr>
                <w:b w:val="0"/>
                <w:bCs/>
                <w:webHidden/>
              </w:rPr>
              <w:instrText xml:space="preserve"> PAGEREF _Toc220103464 \h </w:instrText>
            </w:r>
            <w:r w:rsidRPr="00703D9D">
              <w:rPr>
                <w:b w:val="0"/>
                <w:bCs/>
                <w:webHidden/>
              </w:rPr>
            </w:r>
            <w:r w:rsidRPr="00703D9D">
              <w:rPr>
                <w:b w:val="0"/>
                <w:bCs/>
                <w:webHidden/>
              </w:rPr>
              <w:fldChar w:fldCharType="separate"/>
            </w:r>
            <w:r w:rsidR="00E270A7">
              <w:rPr>
                <w:b w:val="0"/>
                <w:bCs/>
                <w:webHidden/>
              </w:rPr>
              <w:t>32</w:t>
            </w:r>
            <w:r w:rsidRPr="00703D9D">
              <w:rPr>
                <w:b w:val="0"/>
                <w:bCs/>
                <w:webHidden/>
              </w:rPr>
              <w:fldChar w:fldCharType="end"/>
            </w:r>
          </w:hyperlink>
        </w:p>
        <w:p w14:paraId="4162CD60" w14:textId="195063A5" w:rsidR="00626D35" w:rsidRPr="00162438" w:rsidRDefault="00626D35">
          <w:pPr>
            <w:pStyle w:val="TOC3"/>
            <w:rPr>
              <w:rFonts w:asciiTheme="minorHAnsi" w:eastAsiaTheme="minorEastAsia" w:hAnsiTheme="minorHAnsi" w:cstheme="minorBidi"/>
              <w:b w:val="0"/>
              <w:bCs/>
              <w:kern w:val="2"/>
              <w:sz w:val="24"/>
              <w:szCs w:val="24"/>
              <w:lang w:val="en-IE" w:eastAsia="en-IE"/>
              <w14:ligatures w14:val="standardContextual"/>
            </w:rPr>
          </w:pPr>
          <w:hyperlink w:anchor="_Toc220103465" w:history="1">
            <w:r w:rsidRPr="00703D9D">
              <w:rPr>
                <w:rStyle w:val="Hyperlink"/>
                <w:b w:val="0"/>
                <w:bCs/>
              </w:rPr>
              <w:t>KPI 28: Domestic clean tech manufacturing capacity</w:t>
            </w:r>
            <w:r w:rsidRPr="00703D9D">
              <w:rPr>
                <w:b w:val="0"/>
                <w:bCs/>
                <w:webHidden/>
              </w:rPr>
              <w:tab/>
            </w:r>
            <w:r w:rsidRPr="00703D9D">
              <w:rPr>
                <w:b w:val="0"/>
                <w:bCs/>
                <w:webHidden/>
              </w:rPr>
              <w:fldChar w:fldCharType="begin"/>
            </w:r>
            <w:r w:rsidRPr="00703D9D">
              <w:rPr>
                <w:b w:val="0"/>
                <w:bCs/>
                <w:webHidden/>
              </w:rPr>
              <w:instrText xml:space="preserve"> PAGEREF _Toc220103465 \h </w:instrText>
            </w:r>
            <w:r w:rsidRPr="00703D9D">
              <w:rPr>
                <w:b w:val="0"/>
                <w:bCs/>
                <w:webHidden/>
              </w:rPr>
            </w:r>
            <w:r w:rsidRPr="00703D9D">
              <w:rPr>
                <w:b w:val="0"/>
                <w:bCs/>
                <w:webHidden/>
              </w:rPr>
              <w:fldChar w:fldCharType="separate"/>
            </w:r>
            <w:r w:rsidR="00E270A7">
              <w:rPr>
                <w:b w:val="0"/>
                <w:bCs/>
                <w:webHidden/>
              </w:rPr>
              <w:t>33</w:t>
            </w:r>
            <w:r w:rsidRPr="00703D9D">
              <w:rPr>
                <w:b w:val="0"/>
                <w:bCs/>
                <w:webHidden/>
              </w:rPr>
              <w:fldChar w:fldCharType="end"/>
            </w:r>
          </w:hyperlink>
        </w:p>
        <w:p w14:paraId="066DC467" w14:textId="209BBA8E" w:rsidR="00626D35" w:rsidRDefault="00626D35">
          <w:pPr>
            <w:pStyle w:val="TOC3"/>
            <w:rPr>
              <w:rStyle w:val="Hyperlink"/>
              <w:b w:val="0"/>
              <w:bCs/>
            </w:rPr>
          </w:pPr>
          <w:hyperlink w:anchor="_Toc220103466" w:history="1">
            <w:r w:rsidRPr="00703D9D">
              <w:rPr>
                <w:rStyle w:val="Hyperlink"/>
                <w:b w:val="0"/>
                <w:bCs/>
              </w:rPr>
              <w:t>KPI 29: External vulnerability</w:t>
            </w:r>
            <w:r w:rsidRPr="00703D9D">
              <w:rPr>
                <w:b w:val="0"/>
                <w:bCs/>
                <w:webHidden/>
              </w:rPr>
              <w:tab/>
            </w:r>
            <w:r w:rsidRPr="00703D9D">
              <w:rPr>
                <w:b w:val="0"/>
                <w:bCs/>
                <w:webHidden/>
              </w:rPr>
              <w:fldChar w:fldCharType="begin"/>
            </w:r>
            <w:r w:rsidRPr="00703D9D">
              <w:rPr>
                <w:b w:val="0"/>
                <w:bCs/>
                <w:webHidden/>
              </w:rPr>
              <w:instrText xml:space="preserve"> PAGEREF _Toc220103466 \h </w:instrText>
            </w:r>
            <w:r w:rsidRPr="00703D9D">
              <w:rPr>
                <w:b w:val="0"/>
                <w:bCs/>
                <w:webHidden/>
              </w:rPr>
            </w:r>
            <w:r w:rsidRPr="00703D9D">
              <w:rPr>
                <w:b w:val="0"/>
                <w:bCs/>
                <w:webHidden/>
              </w:rPr>
              <w:fldChar w:fldCharType="separate"/>
            </w:r>
            <w:r w:rsidR="00E270A7">
              <w:rPr>
                <w:b w:val="0"/>
                <w:bCs/>
                <w:webHidden/>
              </w:rPr>
              <w:t>34</w:t>
            </w:r>
            <w:r w:rsidRPr="00703D9D">
              <w:rPr>
                <w:b w:val="0"/>
                <w:bCs/>
                <w:webHidden/>
              </w:rPr>
              <w:fldChar w:fldCharType="end"/>
            </w:r>
          </w:hyperlink>
        </w:p>
        <w:p w14:paraId="657384D3" w14:textId="77777777" w:rsidR="00162438" w:rsidRPr="00703D9D" w:rsidRDefault="00162438" w:rsidP="00703D9D">
          <w:pPr>
            <w:rPr>
              <w:b/>
              <w:noProof/>
              <w:lang w:val="en-US"/>
            </w:rPr>
          </w:pPr>
        </w:p>
        <w:p w14:paraId="3C1465CE" w14:textId="5EE0BB33" w:rsidR="00626D35" w:rsidRDefault="00626D35">
          <w:pPr>
            <w:pStyle w:val="TOC1"/>
            <w:rPr>
              <w:rFonts w:asciiTheme="minorHAnsi" w:eastAsiaTheme="minorEastAsia" w:hAnsiTheme="minorHAnsi" w:cstheme="minorBidi"/>
              <w:b w:val="0"/>
              <w:bCs w:val="0"/>
              <w:kern w:val="2"/>
              <w:sz w:val="24"/>
              <w:lang w:eastAsia="en-IE"/>
              <w14:ligatures w14:val="standardContextual"/>
            </w:rPr>
          </w:pPr>
          <w:hyperlink w:anchor="_Toc220103467" w:history="1">
            <w:r w:rsidRPr="00CB20F5">
              <w:rPr>
                <w:rStyle w:val="Hyperlink"/>
              </w:rPr>
              <w:t>Annex 2</w:t>
            </w:r>
            <w:r>
              <w:rPr>
                <w:webHidden/>
              </w:rPr>
              <w:tab/>
            </w:r>
            <w:r>
              <w:rPr>
                <w:webHidden/>
              </w:rPr>
              <w:fldChar w:fldCharType="begin"/>
            </w:r>
            <w:r>
              <w:rPr>
                <w:webHidden/>
              </w:rPr>
              <w:instrText xml:space="preserve"> PAGEREF _Toc220103467 \h </w:instrText>
            </w:r>
            <w:r>
              <w:rPr>
                <w:webHidden/>
              </w:rPr>
            </w:r>
            <w:r>
              <w:rPr>
                <w:webHidden/>
              </w:rPr>
              <w:fldChar w:fldCharType="separate"/>
            </w:r>
            <w:r w:rsidR="00E270A7">
              <w:rPr>
                <w:webHidden/>
              </w:rPr>
              <w:t>35</w:t>
            </w:r>
            <w:r>
              <w:rPr>
                <w:webHidden/>
              </w:rPr>
              <w:fldChar w:fldCharType="end"/>
            </w:r>
          </w:hyperlink>
        </w:p>
        <w:p w14:paraId="75926720" w14:textId="6DF59073" w:rsidR="00626D35" w:rsidRDefault="00626D35">
          <w:pPr>
            <w:pStyle w:val="TOC1"/>
            <w:rPr>
              <w:rFonts w:asciiTheme="minorHAnsi" w:eastAsiaTheme="minorEastAsia" w:hAnsiTheme="minorHAnsi" w:cstheme="minorBidi"/>
              <w:b w:val="0"/>
              <w:bCs w:val="0"/>
              <w:kern w:val="2"/>
              <w:sz w:val="24"/>
              <w:lang w:eastAsia="en-IE"/>
              <w14:ligatures w14:val="standardContextual"/>
            </w:rPr>
          </w:pPr>
          <w:hyperlink w:anchor="_Toc220103468" w:history="1">
            <w:r w:rsidRPr="00CB20F5">
              <w:rPr>
                <w:rStyle w:val="Hyperlink"/>
              </w:rPr>
              <w:t>Implementation trackers</w:t>
            </w:r>
            <w:r>
              <w:rPr>
                <w:webHidden/>
              </w:rPr>
              <w:tab/>
            </w:r>
            <w:r>
              <w:rPr>
                <w:webHidden/>
              </w:rPr>
              <w:fldChar w:fldCharType="begin"/>
            </w:r>
            <w:r>
              <w:rPr>
                <w:webHidden/>
              </w:rPr>
              <w:instrText xml:space="preserve"> PAGEREF _Toc220103468 \h </w:instrText>
            </w:r>
            <w:r>
              <w:rPr>
                <w:webHidden/>
              </w:rPr>
            </w:r>
            <w:r>
              <w:rPr>
                <w:webHidden/>
              </w:rPr>
              <w:fldChar w:fldCharType="separate"/>
            </w:r>
            <w:r w:rsidR="00E270A7">
              <w:rPr>
                <w:webHidden/>
              </w:rPr>
              <w:t>35</w:t>
            </w:r>
            <w:r>
              <w:rPr>
                <w:webHidden/>
              </w:rPr>
              <w:fldChar w:fldCharType="end"/>
            </w:r>
          </w:hyperlink>
        </w:p>
        <w:p w14:paraId="0C8B27EC" w14:textId="01F9FA5A" w:rsidR="00626D35" w:rsidRDefault="00626D35">
          <w:pPr>
            <w:pStyle w:val="TOC2"/>
            <w:rPr>
              <w:rFonts w:asciiTheme="minorHAnsi" w:eastAsiaTheme="minorEastAsia" w:hAnsiTheme="minorHAnsi" w:cstheme="minorBidi"/>
              <w:kern w:val="2"/>
              <w:sz w:val="24"/>
              <w:szCs w:val="24"/>
              <w:lang w:eastAsia="en-IE"/>
              <w14:ligatures w14:val="standardContextual"/>
            </w:rPr>
          </w:pPr>
          <w:hyperlink w:anchor="_Toc220103469" w:history="1">
            <w:r w:rsidRPr="00CB20F5">
              <w:rPr>
                <w:rStyle w:val="Hyperlink"/>
                <w:b/>
              </w:rPr>
              <w:t>1.</w:t>
            </w:r>
            <w:r>
              <w:rPr>
                <w:rFonts w:asciiTheme="minorHAnsi" w:eastAsiaTheme="minorEastAsia" w:hAnsiTheme="minorHAnsi" w:cstheme="minorBidi"/>
                <w:kern w:val="2"/>
                <w:sz w:val="24"/>
                <w:szCs w:val="24"/>
                <w:lang w:eastAsia="en-IE"/>
                <w14:ligatures w14:val="standardContextual"/>
              </w:rPr>
              <w:tab/>
            </w:r>
            <w:r w:rsidRPr="00CB20F5">
              <w:rPr>
                <w:rStyle w:val="Hyperlink"/>
                <w:b/>
              </w:rPr>
              <w:t xml:space="preserve">A Competitiveness Compass for the EU </w:t>
            </w:r>
            <w:r w:rsidRPr="00CF1309">
              <w:rPr>
                <w:rStyle w:val="Hyperlink"/>
                <w:bCs w:val="0"/>
              </w:rPr>
              <w:t>(adopted on 29 January 2025)</w:t>
            </w:r>
            <w:r w:rsidRPr="00CF1309">
              <w:rPr>
                <w:bCs w:val="0"/>
                <w:webHidden/>
              </w:rPr>
              <w:tab/>
            </w:r>
            <w:r w:rsidRPr="00CF1309">
              <w:rPr>
                <w:bCs w:val="0"/>
                <w:webHidden/>
              </w:rPr>
              <w:fldChar w:fldCharType="begin"/>
            </w:r>
            <w:r w:rsidRPr="00CF1309">
              <w:rPr>
                <w:bCs w:val="0"/>
                <w:webHidden/>
              </w:rPr>
              <w:instrText xml:space="preserve"> PAGEREF _Toc220103469 \h </w:instrText>
            </w:r>
            <w:r w:rsidRPr="00CF1309">
              <w:rPr>
                <w:bCs w:val="0"/>
                <w:webHidden/>
              </w:rPr>
            </w:r>
            <w:r w:rsidRPr="00CF1309">
              <w:rPr>
                <w:bCs w:val="0"/>
                <w:webHidden/>
              </w:rPr>
              <w:fldChar w:fldCharType="separate"/>
            </w:r>
            <w:r w:rsidR="00E270A7">
              <w:rPr>
                <w:bCs w:val="0"/>
                <w:webHidden/>
              </w:rPr>
              <w:t>35</w:t>
            </w:r>
            <w:r w:rsidRPr="00CF1309">
              <w:rPr>
                <w:bCs w:val="0"/>
                <w:webHidden/>
              </w:rPr>
              <w:fldChar w:fldCharType="end"/>
            </w:r>
          </w:hyperlink>
        </w:p>
        <w:p w14:paraId="51872E6C" w14:textId="7494716D" w:rsidR="00626D35" w:rsidRPr="00CF1309" w:rsidRDefault="00626D35">
          <w:pPr>
            <w:pStyle w:val="TOC2"/>
            <w:rPr>
              <w:rFonts w:asciiTheme="minorHAnsi" w:eastAsiaTheme="minorEastAsia" w:hAnsiTheme="minorHAnsi" w:cstheme="minorBidi"/>
              <w:kern w:val="2"/>
              <w:sz w:val="24"/>
              <w:szCs w:val="24"/>
              <w:lang w:eastAsia="en-IE"/>
              <w14:ligatures w14:val="standardContextual"/>
            </w:rPr>
          </w:pPr>
          <w:hyperlink w:anchor="_Toc220103470" w:history="1">
            <w:r w:rsidRPr="00703D9D">
              <w:rPr>
                <w:rStyle w:val="Hyperlink"/>
                <w:b/>
              </w:rPr>
              <w:t>2.</w:t>
            </w:r>
            <w:r w:rsidRPr="00CF1309">
              <w:rPr>
                <w:rFonts w:asciiTheme="minorHAnsi" w:eastAsiaTheme="minorEastAsia" w:hAnsiTheme="minorHAnsi" w:cstheme="minorBidi"/>
                <w:kern w:val="2"/>
                <w:sz w:val="24"/>
                <w:szCs w:val="24"/>
                <w:lang w:eastAsia="en-IE"/>
                <w14:ligatures w14:val="standardContextual"/>
              </w:rPr>
              <w:tab/>
            </w:r>
            <w:r w:rsidRPr="00703D9D">
              <w:rPr>
                <w:rStyle w:val="Hyperlink"/>
                <w:b/>
              </w:rPr>
              <w:t xml:space="preserve">The Clean Industrial Deal: A joint roadmap for competitiveness and decarbonisation </w:t>
            </w:r>
            <w:r w:rsidRPr="00CF1309">
              <w:rPr>
                <w:rStyle w:val="Hyperlink"/>
                <w:bCs w:val="0"/>
              </w:rPr>
              <w:t>(adopted on 26 February 2025)</w:t>
            </w:r>
            <w:r w:rsidRPr="00CF1309">
              <w:rPr>
                <w:bCs w:val="0"/>
                <w:webHidden/>
              </w:rPr>
              <w:tab/>
            </w:r>
            <w:r w:rsidRPr="00CF1309">
              <w:rPr>
                <w:bCs w:val="0"/>
                <w:webHidden/>
              </w:rPr>
              <w:fldChar w:fldCharType="begin"/>
            </w:r>
            <w:r w:rsidRPr="00CF1309">
              <w:rPr>
                <w:bCs w:val="0"/>
                <w:webHidden/>
              </w:rPr>
              <w:instrText xml:space="preserve"> PAGEREF _Toc220103470 \h </w:instrText>
            </w:r>
            <w:r w:rsidRPr="00CF1309">
              <w:rPr>
                <w:bCs w:val="0"/>
                <w:webHidden/>
              </w:rPr>
            </w:r>
            <w:r w:rsidRPr="00CF1309">
              <w:rPr>
                <w:bCs w:val="0"/>
                <w:webHidden/>
              </w:rPr>
              <w:fldChar w:fldCharType="separate"/>
            </w:r>
            <w:r w:rsidR="00E270A7">
              <w:rPr>
                <w:bCs w:val="0"/>
                <w:webHidden/>
              </w:rPr>
              <w:t>38</w:t>
            </w:r>
            <w:r w:rsidRPr="00CF1309">
              <w:rPr>
                <w:bCs w:val="0"/>
                <w:webHidden/>
              </w:rPr>
              <w:fldChar w:fldCharType="end"/>
            </w:r>
          </w:hyperlink>
        </w:p>
        <w:p w14:paraId="4A0CCD16" w14:textId="3A0A16A8" w:rsidR="00626D35" w:rsidRDefault="00626D35">
          <w:pPr>
            <w:pStyle w:val="TOC2"/>
            <w:rPr>
              <w:rFonts w:asciiTheme="minorHAnsi" w:eastAsiaTheme="minorEastAsia" w:hAnsiTheme="minorHAnsi" w:cstheme="minorBidi"/>
              <w:b/>
              <w:kern w:val="2"/>
              <w:sz w:val="24"/>
              <w:szCs w:val="24"/>
              <w:lang w:eastAsia="en-IE"/>
              <w14:ligatures w14:val="standardContextual"/>
            </w:rPr>
          </w:pPr>
          <w:hyperlink w:anchor="_Toc220103471" w:history="1">
            <w:r w:rsidRPr="00CB20F5">
              <w:rPr>
                <w:rStyle w:val="Hyperlink"/>
                <w:b/>
              </w:rPr>
              <w:t>3.</w:t>
            </w:r>
            <w:r>
              <w:rPr>
                <w:rFonts w:asciiTheme="minorHAnsi" w:eastAsiaTheme="minorEastAsia" w:hAnsiTheme="minorHAnsi" w:cstheme="minorBidi"/>
                <w:b/>
                <w:kern w:val="2"/>
                <w:sz w:val="24"/>
                <w:szCs w:val="24"/>
                <w:lang w:eastAsia="en-IE"/>
                <w14:ligatures w14:val="standardContextual"/>
              </w:rPr>
              <w:tab/>
            </w:r>
            <w:r w:rsidRPr="00CB20F5">
              <w:rPr>
                <w:rStyle w:val="Hyperlink"/>
                <w:b/>
              </w:rPr>
              <w:t xml:space="preserve">The Single Market Strategy </w:t>
            </w:r>
            <w:r w:rsidRPr="00CB20F5">
              <w:rPr>
                <w:rStyle w:val="Hyperlink"/>
              </w:rPr>
              <w:t>(adopted on 21 May 2025)</w:t>
            </w:r>
            <w:r>
              <w:rPr>
                <w:webHidden/>
              </w:rPr>
              <w:tab/>
            </w:r>
            <w:r>
              <w:rPr>
                <w:webHidden/>
              </w:rPr>
              <w:fldChar w:fldCharType="begin"/>
            </w:r>
            <w:r>
              <w:rPr>
                <w:webHidden/>
              </w:rPr>
              <w:instrText xml:space="preserve"> PAGEREF _Toc220103471 \h </w:instrText>
            </w:r>
            <w:r>
              <w:rPr>
                <w:webHidden/>
              </w:rPr>
            </w:r>
            <w:r>
              <w:rPr>
                <w:webHidden/>
              </w:rPr>
              <w:fldChar w:fldCharType="separate"/>
            </w:r>
            <w:r w:rsidR="00E270A7">
              <w:rPr>
                <w:webHidden/>
              </w:rPr>
              <w:t>41</w:t>
            </w:r>
            <w:r>
              <w:rPr>
                <w:webHidden/>
              </w:rPr>
              <w:fldChar w:fldCharType="end"/>
            </w:r>
          </w:hyperlink>
        </w:p>
        <w:p w14:paraId="68249563" w14:textId="0B6D6C4A" w:rsidR="00626D35" w:rsidRDefault="00626D35">
          <w:pPr>
            <w:pStyle w:val="TOC1"/>
            <w:rPr>
              <w:rFonts w:asciiTheme="minorHAnsi" w:eastAsiaTheme="minorEastAsia" w:hAnsiTheme="minorHAnsi" w:cstheme="minorBidi"/>
              <w:b w:val="0"/>
              <w:bCs w:val="0"/>
              <w:kern w:val="2"/>
              <w:sz w:val="24"/>
              <w:lang w:eastAsia="en-IE"/>
              <w14:ligatures w14:val="standardContextual"/>
            </w:rPr>
          </w:pPr>
          <w:hyperlink w:anchor="_Toc220103472" w:history="1">
            <w:r w:rsidRPr="00CB20F5">
              <w:rPr>
                <w:rStyle w:val="Hyperlink"/>
              </w:rPr>
              <w:t>Annex 3</w:t>
            </w:r>
            <w:r>
              <w:rPr>
                <w:webHidden/>
              </w:rPr>
              <w:tab/>
            </w:r>
            <w:r>
              <w:rPr>
                <w:webHidden/>
              </w:rPr>
              <w:fldChar w:fldCharType="begin"/>
            </w:r>
            <w:r>
              <w:rPr>
                <w:webHidden/>
              </w:rPr>
              <w:instrText xml:space="preserve"> PAGEREF _Toc220103472 \h </w:instrText>
            </w:r>
            <w:r>
              <w:rPr>
                <w:webHidden/>
              </w:rPr>
            </w:r>
            <w:r>
              <w:rPr>
                <w:webHidden/>
              </w:rPr>
              <w:fldChar w:fldCharType="separate"/>
            </w:r>
            <w:r w:rsidR="00E270A7">
              <w:rPr>
                <w:webHidden/>
              </w:rPr>
              <w:t>44</w:t>
            </w:r>
            <w:r>
              <w:rPr>
                <w:webHidden/>
              </w:rPr>
              <w:fldChar w:fldCharType="end"/>
            </w:r>
          </w:hyperlink>
        </w:p>
        <w:p w14:paraId="5E83F358" w14:textId="524F32D9" w:rsidR="00626D35" w:rsidRDefault="00626D35">
          <w:pPr>
            <w:pStyle w:val="TOC1"/>
            <w:rPr>
              <w:rFonts w:asciiTheme="minorHAnsi" w:eastAsiaTheme="minorEastAsia" w:hAnsiTheme="minorHAnsi" w:cstheme="minorBidi"/>
              <w:b w:val="0"/>
              <w:bCs w:val="0"/>
              <w:kern w:val="2"/>
              <w:sz w:val="24"/>
              <w:lang w:eastAsia="en-IE"/>
              <w14:ligatures w14:val="standardContextual"/>
            </w:rPr>
          </w:pPr>
          <w:hyperlink w:anchor="_Toc220103473" w:history="1">
            <w:r w:rsidRPr="00CB20F5">
              <w:rPr>
                <w:rStyle w:val="Hyperlink"/>
              </w:rPr>
              <w:t>Overview of resilience measures by selected global players</w:t>
            </w:r>
            <w:r>
              <w:rPr>
                <w:webHidden/>
              </w:rPr>
              <w:tab/>
            </w:r>
            <w:r>
              <w:rPr>
                <w:webHidden/>
              </w:rPr>
              <w:fldChar w:fldCharType="begin"/>
            </w:r>
            <w:r>
              <w:rPr>
                <w:webHidden/>
              </w:rPr>
              <w:instrText xml:space="preserve"> PAGEREF _Toc220103473 \h </w:instrText>
            </w:r>
            <w:r>
              <w:rPr>
                <w:webHidden/>
              </w:rPr>
            </w:r>
            <w:r>
              <w:rPr>
                <w:webHidden/>
              </w:rPr>
              <w:fldChar w:fldCharType="separate"/>
            </w:r>
            <w:r w:rsidR="00E270A7">
              <w:rPr>
                <w:webHidden/>
              </w:rPr>
              <w:t>44</w:t>
            </w:r>
            <w:r>
              <w:rPr>
                <w:webHidden/>
              </w:rPr>
              <w:fldChar w:fldCharType="end"/>
            </w:r>
          </w:hyperlink>
        </w:p>
        <w:p w14:paraId="071B64E4" w14:textId="1FA4DE04" w:rsidR="00626D35" w:rsidRDefault="00626D35">
          <w:pPr>
            <w:pStyle w:val="TOC2"/>
            <w:rPr>
              <w:rFonts w:asciiTheme="minorHAnsi" w:eastAsiaTheme="minorEastAsia" w:hAnsiTheme="minorHAnsi" w:cstheme="minorBidi"/>
              <w:b/>
              <w:kern w:val="2"/>
              <w:sz w:val="24"/>
              <w:szCs w:val="24"/>
              <w:lang w:eastAsia="en-IE"/>
              <w14:ligatures w14:val="standardContextual"/>
            </w:rPr>
          </w:pPr>
          <w:hyperlink w:anchor="_Toc220103474" w:history="1">
            <w:r w:rsidRPr="00CB20F5">
              <w:rPr>
                <w:rStyle w:val="Hyperlink"/>
                <w:b/>
              </w:rPr>
              <w:t>1.</w:t>
            </w:r>
            <w:r>
              <w:rPr>
                <w:rFonts w:asciiTheme="minorHAnsi" w:eastAsiaTheme="minorEastAsia" w:hAnsiTheme="minorHAnsi" w:cstheme="minorBidi"/>
                <w:b/>
                <w:kern w:val="2"/>
                <w:sz w:val="24"/>
                <w:szCs w:val="24"/>
                <w:lang w:eastAsia="en-IE"/>
                <w14:ligatures w14:val="standardContextual"/>
              </w:rPr>
              <w:tab/>
            </w:r>
            <w:r w:rsidRPr="00CB20F5">
              <w:rPr>
                <w:rStyle w:val="Hyperlink"/>
                <w:b/>
              </w:rPr>
              <w:t>Introduction</w:t>
            </w:r>
            <w:r>
              <w:rPr>
                <w:webHidden/>
              </w:rPr>
              <w:tab/>
            </w:r>
            <w:r>
              <w:rPr>
                <w:webHidden/>
              </w:rPr>
              <w:fldChar w:fldCharType="begin"/>
            </w:r>
            <w:r>
              <w:rPr>
                <w:webHidden/>
              </w:rPr>
              <w:instrText xml:space="preserve"> PAGEREF _Toc220103474 \h </w:instrText>
            </w:r>
            <w:r>
              <w:rPr>
                <w:webHidden/>
              </w:rPr>
            </w:r>
            <w:r>
              <w:rPr>
                <w:webHidden/>
              </w:rPr>
              <w:fldChar w:fldCharType="separate"/>
            </w:r>
            <w:r w:rsidR="00E270A7">
              <w:rPr>
                <w:webHidden/>
              </w:rPr>
              <w:t>44</w:t>
            </w:r>
            <w:r>
              <w:rPr>
                <w:webHidden/>
              </w:rPr>
              <w:fldChar w:fldCharType="end"/>
            </w:r>
          </w:hyperlink>
        </w:p>
        <w:p w14:paraId="40FA4436" w14:textId="1E42FC7E" w:rsidR="00626D35" w:rsidRDefault="00626D35">
          <w:pPr>
            <w:pStyle w:val="TOC2"/>
            <w:rPr>
              <w:rFonts w:asciiTheme="minorHAnsi" w:eastAsiaTheme="minorEastAsia" w:hAnsiTheme="minorHAnsi" w:cstheme="minorBidi"/>
              <w:b/>
              <w:kern w:val="2"/>
              <w:sz w:val="24"/>
              <w:szCs w:val="24"/>
              <w:lang w:eastAsia="en-IE"/>
              <w14:ligatures w14:val="standardContextual"/>
            </w:rPr>
          </w:pPr>
          <w:hyperlink w:anchor="_Toc220103475" w:history="1">
            <w:r w:rsidRPr="00CB20F5">
              <w:rPr>
                <w:rStyle w:val="Hyperlink"/>
                <w:b/>
              </w:rPr>
              <w:t>2.</w:t>
            </w:r>
            <w:r>
              <w:rPr>
                <w:rFonts w:asciiTheme="minorHAnsi" w:eastAsiaTheme="minorEastAsia" w:hAnsiTheme="minorHAnsi" w:cstheme="minorBidi"/>
                <w:b/>
                <w:kern w:val="2"/>
                <w:sz w:val="24"/>
                <w:szCs w:val="24"/>
                <w:lang w:eastAsia="en-IE"/>
                <w14:ligatures w14:val="standardContextual"/>
              </w:rPr>
              <w:tab/>
            </w:r>
            <w:r w:rsidRPr="00CB20F5">
              <w:rPr>
                <w:rStyle w:val="Hyperlink"/>
                <w:b/>
              </w:rPr>
              <w:t>Overview of resilience measures by category and by countries</w:t>
            </w:r>
            <w:r>
              <w:rPr>
                <w:webHidden/>
              </w:rPr>
              <w:tab/>
            </w:r>
            <w:r>
              <w:rPr>
                <w:webHidden/>
              </w:rPr>
              <w:fldChar w:fldCharType="begin"/>
            </w:r>
            <w:r>
              <w:rPr>
                <w:webHidden/>
              </w:rPr>
              <w:instrText xml:space="preserve"> PAGEREF _Toc220103475 \h </w:instrText>
            </w:r>
            <w:r>
              <w:rPr>
                <w:webHidden/>
              </w:rPr>
            </w:r>
            <w:r>
              <w:rPr>
                <w:webHidden/>
              </w:rPr>
              <w:fldChar w:fldCharType="separate"/>
            </w:r>
            <w:r w:rsidR="00E270A7">
              <w:rPr>
                <w:webHidden/>
              </w:rPr>
              <w:t>46</w:t>
            </w:r>
            <w:r>
              <w:rPr>
                <w:webHidden/>
              </w:rPr>
              <w:fldChar w:fldCharType="end"/>
            </w:r>
          </w:hyperlink>
        </w:p>
        <w:p w14:paraId="5C17AD19" w14:textId="629BCB8A" w:rsidR="00626D35" w:rsidRDefault="00626D35">
          <w:pPr>
            <w:pStyle w:val="TOC3"/>
            <w:rPr>
              <w:rFonts w:asciiTheme="minorHAnsi" w:eastAsiaTheme="minorEastAsia" w:hAnsiTheme="minorHAnsi" w:cstheme="minorBidi"/>
              <w:b w:val="0"/>
              <w:kern w:val="2"/>
              <w:sz w:val="24"/>
              <w:szCs w:val="24"/>
              <w:lang w:val="en-IE" w:eastAsia="en-IE"/>
              <w14:ligatures w14:val="standardContextual"/>
            </w:rPr>
          </w:pPr>
          <w:hyperlink w:anchor="_Toc220103476" w:history="1">
            <w:r w:rsidRPr="00CB20F5">
              <w:rPr>
                <w:rStyle w:val="Hyperlink"/>
              </w:rPr>
              <w:t>2.1 Industrial strategies, regulatory measures and crisis preparedness</w:t>
            </w:r>
            <w:r>
              <w:rPr>
                <w:webHidden/>
              </w:rPr>
              <w:tab/>
            </w:r>
            <w:r>
              <w:rPr>
                <w:webHidden/>
              </w:rPr>
              <w:fldChar w:fldCharType="begin"/>
            </w:r>
            <w:r>
              <w:rPr>
                <w:webHidden/>
              </w:rPr>
              <w:instrText xml:space="preserve"> PAGEREF _Toc220103476 \h </w:instrText>
            </w:r>
            <w:r>
              <w:rPr>
                <w:webHidden/>
              </w:rPr>
            </w:r>
            <w:r>
              <w:rPr>
                <w:webHidden/>
              </w:rPr>
              <w:fldChar w:fldCharType="separate"/>
            </w:r>
            <w:r w:rsidR="00E270A7">
              <w:rPr>
                <w:webHidden/>
              </w:rPr>
              <w:t>46</w:t>
            </w:r>
            <w:r>
              <w:rPr>
                <w:webHidden/>
              </w:rPr>
              <w:fldChar w:fldCharType="end"/>
            </w:r>
          </w:hyperlink>
        </w:p>
        <w:p w14:paraId="13587DFD" w14:textId="5708CB37"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77" w:history="1">
            <w:r w:rsidRPr="00CB20F5">
              <w:rPr>
                <w:rStyle w:val="Hyperlink"/>
                <w:rFonts w:eastAsiaTheme="majorEastAsia"/>
                <w:i/>
                <w:iCs/>
                <w:noProof/>
              </w:rPr>
              <w:t>United States</w:t>
            </w:r>
            <w:r w:rsidRPr="00CB20F5">
              <w:rPr>
                <w:rStyle w:val="Hyperlink"/>
                <w:noProof/>
              </w:rPr>
              <w:t xml:space="preserve"> </w:t>
            </w:r>
            <w:r w:rsidRPr="00CB20F5">
              <w:rPr>
                <w:rStyle w:val="Hyperlink"/>
                <w:rFonts w:eastAsia="Franklin Gothic Book"/>
                <w:b/>
                <w:bCs/>
                <w:noProof/>
                <w:lang w:eastAsia="en-GB"/>
              </w:rPr>
              <mc:AlternateContent>
                <mc:Choice Requires="wps">
                  <w:drawing>
                    <wp:inline distT="0" distB="0" distL="0" distR="0" wp14:anchorId="260A2A4A" wp14:editId="0F032259">
                      <wp:extent cx="147711" cy="138093"/>
                      <wp:effectExtent l="0" t="0" r="5080" b="0"/>
                      <wp:docPr id="2030963104"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Y7tFUkkGAABJBg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" w14:anchorId="412CED51">
                      <v:fill type="frame" o:title="" recolor="t" rotate="t" r:id="rId19"/>
                      <v:stroke joinstyle="miter"/>
                      <w10:anchorlock/>
                    </v:oval>
                  </w:pict>
                </mc:Fallback>
              </mc:AlternateContent>
            </w:r>
            <w:r>
              <w:rPr>
                <w:noProof/>
                <w:webHidden/>
              </w:rPr>
              <w:tab/>
            </w:r>
            <w:r>
              <w:rPr>
                <w:noProof/>
                <w:webHidden/>
              </w:rPr>
              <w:fldChar w:fldCharType="begin"/>
            </w:r>
            <w:r>
              <w:rPr>
                <w:noProof/>
                <w:webHidden/>
              </w:rPr>
              <w:instrText xml:space="preserve"> PAGEREF _Toc220103477 \h </w:instrText>
            </w:r>
            <w:r>
              <w:rPr>
                <w:noProof/>
                <w:webHidden/>
              </w:rPr>
            </w:r>
            <w:r>
              <w:rPr>
                <w:noProof/>
                <w:webHidden/>
              </w:rPr>
              <w:fldChar w:fldCharType="separate"/>
            </w:r>
            <w:r w:rsidR="00E270A7">
              <w:rPr>
                <w:noProof/>
                <w:webHidden/>
              </w:rPr>
              <w:t>46</w:t>
            </w:r>
            <w:r>
              <w:rPr>
                <w:noProof/>
                <w:webHidden/>
              </w:rPr>
              <w:fldChar w:fldCharType="end"/>
            </w:r>
          </w:hyperlink>
        </w:p>
        <w:p w14:paraId="44E60796" w14:textId="5B7C0E2B"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78" w:history="1">
            <w:r w:rsidRPr="00CB20F5">
              <w:rPr>
                <w:rStyle w:val="Hyperlink"/>
                <w:rFonts w:eastAsiaTheme="majorEastAsia"/>
                <w:i/>
                <w:iCs/>
                <w:noProof/>
              </w:rPr>
              <w:t>United Kingdom</w:t>
            </w:r>
            <w:r w:rsidRPr="00CB20F5">
              <w:rPr>
                <w:rStyle w:val="Hyperlink"/>
                <w:noProof/>
              </w:rPr>
              <w:t xml:space="preserve"> </w:t>
            </w:r>
            <w:r w:rsidRPr="00CB20F5">
              <w:rPr>
                <w:rStyle w:val="Hyperlink"/>
                <w:rFonts w:eastAsia="Franklin Gothic Book"/>
                <w:b/>
                <w:bCs/>
                <w:noProof/>
                <w:lang w:eastAsia="en-GB"/>
              </w:rPr>
              <w:drawing>
                <wp:inline distT="0" distB="0" distL="0" distR="0" wp14:anchorId="32F0F1FA" wp14:editId="607FE3CD">
                  <wp:extent cx="133350" cy="133350"/>
                  <wp:effectExtent l="0" t="0" r="0" b="0"/>
                  <wp:docPr id="1770820026" name="Picture 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497296" name="Picture 7" descr="Pic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_Toc220103478 \h </w:instrText>
            </w:r>
            <w:r>
              <w:rPr>
                <w:noProof/>
                <w:webHidden/>
              </w:rPr>
            </w:r>
            <w:r>
              <w:rPr>
                <w:noProof/>
                <w:webHidden/>
              </w:rPr>
              <w:fldChar w:fldCharType="separate"/>
            </w:r>
            <w:r w:rsidR="00E270A7">
              <w:rPr>
                <w:noProof/>
                <w:webHidden/>
              </w:rPr>
              <w:t>47</w:t>
            </w:r>
            <w:r>
              <w:rPr>
                <w:noProof/>
                <w:webHidden/>
              </w:rPr>
              <w:fldChar w:fldCharType="end"/>
            </w:r>
          </w:hyperlink>
        </w:p>
        <w:p w14:paraId="47BDD391" w14:textId="2BD473F8"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79" w:history="1">
            <w:r w:rsidRPr="00CB20F5">
              <w:rPr>
                <w:rStyle w:val="Hyperlink"/>
                <w:rFonts w:eastAsiaTheme="majorEastAsia"/>
                <w:i/>
                <w:iCs/>
                <w:noProof/>
              </w:rPr>
              <w:t>Japan</w:t>
            </w:r>
            <w:r w:rsidRPr="00CB20F5">
              <w:rPr>
                <w:rStyle w:val="Hyperlink"/>
                <w:noProof/>
              </w:rPr>
              <w:t xml:space="preserve"> </w:t>
            </w:r>
            <w:r w:rsidRPr="00CB20F5">
              <w:rPr>
                <w:rStyle w:val="Hyperlink"/>
                <w:b/>
                <w:bCs/>
                <w:noProof/>
                <w:lang w:eastAsia="en-GB"/>
              </w:rPr>
              <w:drawing>
                <wp:inline distT="0" distB="0" distL="0" distR="0" wp14:anchorId="25532377" wp14:editId="0184469B">
                  <wp:extent cx="146050" cy="146050"/>
                  <wp:effectExtent l="0" t="0" r="6350" b="6350"/>
                  <wp:docPr id="9257438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_Toc220103479 \h </w:instrText>
            </w:r>
            <w:r>
              <w:rPr>
                <w:noProof/>
                <w:webHidden/>
              </w:rPr>
            </w:r>
            <w:r>
              <w:rPr>
                <w:noProof/>
                <w:webHidden/>
              </w:rPr>
              <w:fldChar w:fldCharType="separate"/>
            </w:r>
            <w:r w:rsidR="00E270A7">
              <w:rPr>
                <w:noProof/>
                <w:webHidden/>
              </w:rPr>
              <w:t>48</w:t>
            </w:r>
            <w:r>
              <w:rPr>
                <w:noProof/>
                <w:webHidden/>
              </w:rPr>
              <w:fldChar w:fldCharType="end"/>
            </w:r>
          </w:hyperlink>
        </w:p>
        <w:p w14:paraId="586A45DB" w14:textId="78BC81E8"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80" w:history="1">
            <w:r w:rsidRPr="00CB20F5">
              <w:rPr>
                <w:rStyle w:val="Hyperlink"/>
                <w:rFonts w:eastAsiaTheme="majorEastAsia"/>
                <w:i/>
                <w:iCs/>
                <w:noProof/>
              </w:rPr>
              <w:t>Republic of Korea</w:t>
            </w:r>
            <w:r w:rsidRPr="00CB20F5">
              <w:rPr>
                <w:rStyle w:val="Hyperlink"/>
                <w:noProof/>
              </w:rPr>
              <w:t xml:space="preserve"> </w:t>
            </w:r>
            <w:r w:rsidRPr="00CB20F5">
              <w:rPr>
                <w:rStyle w:val="Hyperlink"/>
                <w:b/>
                <w:bCs/>
                <w:noProof/>
                <w:lang w:eastAsia="en-GB"/>
              </w:rPr>
              <w:drawing>
                <wp:inline distT="0" distB="0" distL="0" distR="0" wp14:anchorId="4A954887" wp14:editId="5C0C40EE">
                  <wp:extent cx="133350" cy="133350"/>
                  <wp:effectExtent l="0" t="0" r="0" b="0"/>
                  <wp:docPr id="7289057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_Toc220103480 \h </w:instrText>
            </w:r>
            <w:r>
              <w:rPr>
                <w:noProof/>
                <w:webHidden/>
              </w:rPr>
            </w:r>
            <w:r>
              <w:rPr>
                <w:noProof/>
                <w:webHidden/>
              </w:rPr>
              <w:fldChar w:fldCharType="separate"/>
            </w:r>
            <w:r w:rsidR="00E270A7">
              <w:rPr>
                <w:noProof/>
                <w:webHidden/>
              </w:rPr>
              <w:t>48</w:t>
            </w:r>
            <w:r>
              <w:rPr>
                <w:noProof/>
                <w:webHidden/>
              </w:rPr>
              <w:fldChar w:fldCharType="end"/>
            </w:r>
          </w:hyperlink>
        </w:p>
        <w:p w14:paraId="0006B6C8" w14:textId="47E42E66"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81" w:history="1">
            <w:r w:rsidRPr="00CB20F5">
              <w:rPr>
                <w:rStyle w:val="Hyperlink"/>
                <w:rFonts w:eastAsiaTheme="majorEastAsia"/>
                <w:i/>
                <w:iCs/>
                <w:noProof/>
              </w:rPr>
              <w:t>Singapore</w:t>
            </w:r>
            <w:r w:rsidRPr="00CB20F5">
              <w:rPr>
                <w:rStyle w:val="Hyperlink"/>
                <w:noProof/>
              </w:rPr>
              <w:t xml:space="preserve"> </w:t>
            </w:r>
            <w:r w:rsidRPr="00CB20F5">
              <w:rPr>
                <w:rStyle w:val="Hyperlink"/>
                <w:rFonts w:eastAsia="Franklin Gothic Book"/>
                <w:b/>
                <w:bCs/>
                <w:noProof/>
                <w:lang w:eastAsia="en-GB"/>
              </w:rPr>
              <mc:AlternateContent>
                <mc:Choice Requires="wps">
                  <w:drawing>
                    <wp:inline distT="0" distB="0" distL="0" distR="0" wp14:anchorId="5D23C041" wp14:editId="05EDCDF7">
                      <wp:extent cx="147711" cy="138093"/>
                      <wp:effectExtent l="0" t="0" r="5080" b="0"/>
                      <wp:docPr id="1063912715"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23"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JapSjPoEAAD6BA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&#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" w14:anchorId="0039CC21">
                      <v:fill type="frame" o:title="" recolor="t" rotate="t" r:id="rId24"/>
                      <v:stroke joinstyle="miter"/>
                      <w10:anchorlock/>
                    </v:oval>
                  </w:pict>
                </mc:Fallback>
              </mc:AlternateContent>
            </w:r>
            <w:r>
              <w:rPr>
                <w:noProof/>
                <w:webHidden/>
              </w:rPr>
              <w:tab/>
            </w:r>
            <w:r>
              <w:rPr>
                <w:noProof/>
                <w:webHidden/>
              </w:rPr>
              <w:fldChar w:fldCharType="begin"/>
            </w:r>
            <w:r>
              <w:rPr>
                <w:noProof/>
                <w:webHidden/>
              </w:rPr>
              <w:instrText xml:space="preserve"> PAGEREF _Toc220103481 \h </w:instrText>
            </w:r>
            <w:r>
              <w:rPr>
                <w:noProof/>
                <w:webHidden/>
              </w:rPr>
            </w:r>
            <w:r>
              <w:rPr>
                <w:noProof/>
                <w:webHidden/>
              </w:rPr>
              <w:fldChar w:fldCharType="separate"/>
            </w:r>
            <w:r w:rsidR="00E270A7">
              <w:rPr>
                <w:noProof/>
                <w:webHidden/>
              </w:rPr>
              <w:t>48</w:t>
            </w:r>
            <w:r>
              <w:rPr>
                <w:noProof/>
                <w:webHidden/>
              </w:rPr>
              <w:fldChar w:fldCharType="end"/>
            </w:r>
          </w:hyperlink>
        </w:p>
        <w:p w14:paraId="1C9ED06E" w14:textId="5B74DC28"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82" w:history="1">
            <w:r w:rsidRPr="00CB20F5">
              <w:rPr>
                <w:rStyle w:val="Hyperlink"/>
                <w:rFonts w:eastAsiaTheme="majorEastAsia"/>
                <w:i/>
                <w:iCs/>
                <w:noProof/>
              </w:rPr>
              <w:t>Australia</w:t>
            </w:r>
            <w:r w:rsidRPr="00CB20F5">
              <w:rPr>
                <w:rStyle w:val="Hyperlink"/>
                <w:noProof/>
              </w:rPr>
              <w:t xml:space="preserve"> </w:t>
            </w:r>
            <w:r w:rsidRPr="00CB20F5">
              <w:rPr>
                <w:rStyle w:val="Hyperlink"/>
                <w:rFonts w:eastAsia="Franklin Gothic Book"/>
                <w:b/>
                <w:bCs/>
                <w:noProof/>
                <w:lang w:eastAsia="en-GB"/>
              </w:rPr>
              <w:drawing>
                <wp:inline distT="0" distB="0" distL="0" distR="0" wp14:anchorId="126F303D" wp14:editId="4E9A4E27">
                  <wp:extent cx="140400" cy="140400"/>
                  <wp:effectExtent l="0" t="0" r="0" b="0"/>
                  <wp:docPr id="708714896" name="Picture 1" descr="A flag of australia with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00973" name="Picture 1" descr="A flag of australia with stars&#10;&#10;AI-generated content may be incorrect."/>
                          <pic:cNvPicPr/>
                        </pic:nvPicPr>
                        <pic:blipFill>
                          <a:blip r:embed="rId25"/>
                          <a:stretch>
                            <a:fillRect/>
                          </a:stretch>
                        </pic:blipFill>
                        <pic:spPr>
                          <a:xfrm>
                            <a:off x="0" y="0"/>
                            <a:ext cx="140400" cy="140400"/>
                          </a:xfrm>
                          <a:prstGeom prst="rect">
                            <a:avLst/>
                          </a:prstGeom>
                        </pic:spPr>
                      </pic:pic>
                    </a:graphicData>
                  </a:graphic>
                </wp:inline>
              </w:drawing>
            </w:r>
            <w:r>
              <w:rPr>
                <w:noProof/>
                <w:webHidden/>
              </w:rPr>
              <w:tab/>
            </w:r>
            <w:r>
              <w:rPr>
                <w:noProof/>
                <w:webHidden/>
              </w:rPr>
              <w:fldChar w:fldCharType="begin"/>
            </w:r>
            <w:r>
              <w:rPr>
                <w:noProof/>
                <w:webHidden/>
              </w:rPr>
              <w:instrText xml:space="preserve"> PAGEREF _Toc220103482 \h </w:instrText>
            </w:r>
            <w:r>
              <w:rPr>
                <w:noProof/>
                <w:webHidden/>
              </w:rPr>
            </w:r>
            <w:r>
              <w:rPr>
                <w:noProof/>
                <w:webHidden/>
              </w:rPr>
              <w:fldChar w:fldCharType="separate"/>
            </w:r>
            <w:r w:rsidR="00E270A7">
              <w:rPr>
                <w:noProof/>
                <w:webHidden/>
              </w:rPr>
              <w:t>48</w:t>
            </w:r>
            <w:r>
              <w:rPr>
                <w:noProof/>
                <w:webHidden/>
              </w:rPr>
              <w:fldChar w:fldCharType="end"/>
            </w:r>
          </w:hyperlink>
        </w:p>
        <w:p w14:paraId="13AEC12A" w14:textId="768C3E0B"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83" w:history="1">
            <w:r w:rsidRPr="00CB20F5">
              <w:rPr>
                <w:rStyle w:val="Hyperlink"/>
                <w:rFonts w:eastAsiaTheme="majorEastAsia"/>
                <w:i/>
                <w:iCs/>
                <w:noProof/>
              </w:rPr>
              <w:t>India</w:t>
            </w:r>
            <w:r w:rsidRPr="00CB20F5">
              <w:rPr>
                <w:rStyle w:val="Hyperlink"/>
                <w:noProof/>
              </w:rPr>
              <w:t xml:space="preserve"> </w:t>
            </w:r>
            <w:r w:rsidRPr="00CB20F5">
              <w:rPr>
                <w:rStyle w:val="Hyperlink"/>
                <w:b/>
                <w:bCs/>
                <w:noProof/>
                <w:lang w:eastAsia="en-GB"/>
              </w:rPr>
              <w:drawing>
                <wp:inline distT="0" distB="0" distL="0" distR="0" wp14:anchorId="10B51EA3" wp14:editId="0F651F58">
                  <wp:extent cx="129540" cy="129540"/>
                  <wp:effectExtent l="0" t="0" r="3810" b="3810"/>
                  <wp:docPr id="7659757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_Toc220103483 \h </w:instrText>
            </w:r>
            <w:r>
              <w:rPr>
                <w:noProof/>
                <w:webHidden/>
              </w:rPr>
            </w:r>
            <w:r>
              <w:rPr>
                <w:noProof/>
                <w:webHidden/>
              </w:rPr>
              <w:fldChar w:fldCharType="separate"/>
            </w:r>
            <w:r w:rsidR="00E270A7">
              <w:rPr>
                <w:noProof/>
                <w:webHidden/>
              </w:rPr>
              <w:t>49</w:t>
            </w:r>
            <w:r>
              <w:rPr>
                <w:noProof/>
                <w:webHidden/>
              </w:rPr>
              <w:fldChar w:fldCharType="end"/>
            </w:r>
          </w:hyperlink>
        </w:p>
        <w:p w14:paraId="32352806" w14:textId="79585004"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84" w:history="1">
            <w:r w:rsidRPr="00CB20F5">
              <w:rPr>
                <w:rStyle w:val="Hyperlink"/>
                <w:rFonts w:eastAsiaTheme="majorEastAsia"/>
                <w:i/>
                <w:iCs/>
                <w:noProof/>
              </w:rPr>
              <w:t xml:space="preserve">Canada </w:t>
            </w:r>
            <w:r w:rsidRPr="00CB20F5">
              <w:rPr>
                <w:rStyle w:val="Hyperlink"/>
                <w:b/>
                <w:bCs/>
                <w:noProof/>
                <w:lang w:eastAsia="en-GB"/>
              </w:rPr>
              <w:drawing>
                <wp:inline distT="0" distB="0" distL="0" distR="0" wp14:anchorId="35703B6D" wp14:editId="2DA490E0">
                  <wp:extent cx="152400" cy="152400"/>
                  <wp:effectExtent l="0" t="0" r="0" b="0"/>
                  <wp:docPr id="12517122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Pr>
                <w:noProof/>
                <w:webHidden/>
              </w:rPr>
              <w:tab/>
            </w:r>
            <w:r>
              <w:rPr>
                <w:noProof/>
                <w:webHidden/>
              </w:rPr>
              <w:fldChar w:fldCharType="begin"/>
            </w:r>
            <w:r>
              <w:rPr>
                <w:noProof/>
                <w:webHidden/>
              </w:rPr>
              <w:instrText xml:space="preserve"> PAGEREF _Toc220103484 \h </w:instrText>
            </w:r>
            <w:r>
              <w:rPr>
                <w:noProof/>
                <w:webHidden/>
              </w:rPr>
            </w:r>
            <w:r>
              <w:rPr>
                <w:noProof/>
                <w:webHidden/>
              </w:rPr>
              <w:fldChar w:fldCharType="separate"/>
            </w:r>
            <w:r w:rsidR="00E270A7">
              <w:rPr>
                <w:noProof/>
                <w:webHidden/>
              </w:rPr>
              <w:t>49</w:t>
            </w:r>
            <w:r>
              <w:rPr>
                <w:noProof/>
                <w:webHidden/>
              </w:rPr>
              <w:fldChar w:fldCharType="end"/>
            </w:r>
          </w:hyperlink>
        </w:p>
        <w:p w14:paraId="3C4D37C3" w14:textId="1C812BCC" w:rsidR="00626D35" w:rsidRDefault="00626D35">
          <w:pPr>
            <w:pStyle w:val="TOC3"/>
            <w:rPr>
              <w:rFonts w:asciiTheme="minorHAnsi" w:eastAsiaTheme="minorEastAsia" w:hAnsiTheme="minorHAnsi" w:cstheme="minorBidi"/>
              <w:b w:val="0"/>
              <w:kern w:val="2"/>
              <w:sz w:val="24"/>
              <w:szCs w:val="24"/>
              <w:lang w:val="en-IE" w:eastAsia="en-IE"/>
              <w14:ligatures w14:val="standardContextual"/>
            </w:rPr>
          </w:pPr>
          <w:hyperlink w:anchor="_Toc220103485" w:history="1">
            <w:r w:rsidRPr="00CB20F5">
              <w:rPr>
                <w:rStyle w:val="Hyperlink"/>
                <w:bCs/>
              </w:rPr>
              <w:t>2.2 Financial and fiscal support (including R&amp;D)</w:t>
            </w:r>
            <w:r>
              <w:rPr>
                <w:webHidden/>
              </w:rPr>
              <w:tab/>
            </w:r>
            <w:r>
              <w:rPr>
                <w:webHidden/>
              </w:rPr>
              <w:fldChar w:fldCharType="begin"/>
            </w:r>
            <w:r>
              <w:rPr>
                <w:webHidden/>
              </w:rPr>
              <w:instrText xml:space="preserve"> PAGEREF _Toc220103485 \h </w:instrText>
            </w:r>
            <w:r>
              <w:rPr>
                <w:webHidden/>
              </w:rPr>
            </w:r>
            <w:r>
              <w:rPr>
                <w:webHidden/>
              </w:rPr>
              <w:fldChar w:fldCharType="separate"/>
            </w:r>
            <w:r w:rsidR="00E270A7">
              <w:rPr>
                <w:webHidden/>
              </w:rPr>
              <w:t>49</w:t>
            </w:r>
            <w:r>
              <w:rPr>
                <w:webHidden/>
              </w:rPr>
              <w:fldChar w:fldCharType="end"/>
            </w:r>
          </w:hyperlink>
        </w:p>
        <w:p w14:paraId="7960F58C" w14:textId="3E08C933"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86" w:history="1">
            <w:r w:rsidRPr="00CB20F5">
              <w:rPr>
                <w:rStyle w:val="Hyperlink"/>
                <w:rFonts w:eastAsiaTheme="majorEastAsia"/>
                <w:i/>
                <w:iCs/>
                <w:noProof/>
              </w:rPr>
              <w:t>United States</w:t>
            </w:r>
            <w:r w:rsidRPr="00CB20F5">
              <w:rPr>
                <w:rStyle w:val="Hyperlink"/>
                <w:noProof/>
              </w:rPr>
              <w:t xml:space="preserve"> </w:t>
            </w:r>
            <w:r w:rsidRPr="00CB20F5">
              <w:rPr>
                <w:rStyle w:val="Hyperlink"/>
                <w:rFonts w:eastAsia="Franklin Gothic Book"/>
                <w:b/>
                <w:bCs/>
                <w:noProof/>
                <w:lang w:eastAsia="en-GB"/>
              </w:rPr>
              <mc:AlternateContent>
                <mc:Choice Requires="wps">
                  <w:drawing>
                    <wp:inline distT="0" distB="0" distL="0" distR="0" wp14:anchorId="1D56B7C5" wp14:editId="27D3DDB9">
                      <wp:extent cx="147711" cy="138093"/>
                      <wp:effectExtent l="0" t="0" r="5080" b="0"/>
                      <wp:docPr id="384185257"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Y7tFUkkGAABJBg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" w14:anchorId="19DE3183">
                      <v:fill type="frame" o:title="" recolor="t" rotate="t" r:id="rId19"/>
                      <v:stroke joinstyle="miter"/>
                      <w10:anchorlock/>
                    </v:oval>
                  </w:pict>
                </mc:Fallback>
              </mc:AlternateContent>
            </w:r>
            <w:r>
              <w:rPr>
                <w:noProof/>
                <w:webHidden/>
              </w:rPr>
              <w:tab/>
            </w:r>
            <w:r>
              <w:rPr>
                <w:noProof/>
                <w:webHidden/>
              </w:rPr>
              <w:fldChar w:fldCharType="begin"/>
            </w:r>
            <w:r>
              <w:rPr>
                <w:noProof/>
                <w:webHidden/>
              </w:rPr>
              <w:instrText xml:space="preserve"> PAGEREF _Toc220103486 \h </w:instrText>
            </w:r>
            <w:r>
              <w:rPr>
                <w:noProof/>
                <w:webHidden/>
              </w:rPr>
            </w:r>
            <w:r>
              <w:rPr>
                <w:noProof/>
                <w:webHidden/>
              </w:rPr>
              <w:fldChar w:fldCharType="separate"/>
            </w:r>
            <w:r w:rsidR="00E270A7">
              <w:rPr>
                <w:noProof/>
                <w:webHidden/>
              </w:rPr>
              <w:t>49</w:t>
            </w:r>
            <w:r>
              <w:rPr>
                <w:noProof/>
                <w:webHidden/>
              </w:rPr>
              <w:fldChar w:fldCharType="end"/>
            </w:r>
          </w:hyperlink>
        </w:p>
        <w:p w14:paraId="17B90787" w14:textId="267708B5"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87" w:history="1">
            <w:r w:rsidRPr="00CB20F5">
              <w:rPr>
                <w:rStyle w:val="Hyperlink"/>
                <w:rFonts w:eastAsiaTheme="majorEastAsia"/>
                <w:i/>
                <w:iCs/>
                <w:noProof/>
              </w:rPr>
              <w:t>Canada</w:t>
            </w:r>
            <w:r w:rsidRPr="00CB20F5">
              <w:rPr>
                <w:rStyle w:val="Hyperlink"/>
                <w:noProof/>
              </w:rPr>
              <w:t xml:space="preserve"> </w:t>
            </w:r>
            <w:r w:rsidRPr="00CB20F5">
              <w:rPr>
                <w:rStyle w:val="Hyperlink"/>
                <w:b/>
                <w:bCs/>
                <w:noProof/>
                <w:lang w:eastAsia="en-GB"/>
              </w:rPr>
              <w:drawing>
                <wp:inline distT="0" distB="0" distL="0" distR="0" wp14:anchorId="57871F16" wp14:editId="75C07258">
                  <wp:extent cx="152400" cy="152400"/>
                  <wp:effectExtent l="0" t="0" r="0" b="0"/>
                  <wp:docPr id="16104903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Pr>
                <w:noProof/>
                <w:webHidden/>
              </w:rPr>
              <w:tab/>
            </w:r>
            <w:r>
              <w:rPr>
                <w:noProof/>
                <w:webHidden/>
              </w:rPr>
              <w:fldChar w:fldCharType="begin"/>
            </w:r>
            <w:r>
              <w:rPr>
                <w:noProof/>
                <w:webHidden/>
              </w:rPr>
              <w:instrText xml:space="preserve"> PAGEREF _Toc220103487 \h </w:instrText>
            </w:r>
            <w:r>
              <w:rPr>
                <w:noProof/>
                <w:webHidden/>
              </w:rPr>
            </w:r>
            <w:r>
              <w:rPr>
                <w:noProof/>
                <w:webHidden/>
              </w:rPr>
              <w:fldChar w:fldCharType="separate"/>
            </w:r>
            <w:r w:rsidR="00E270A7">
              <w:rPr>
                <w:noProof/>
                <w:webHidden/>
              </w:rPr>
              <w:t>50</w:t>
            </w:r>
            <w:r>
              <w:rPr>
                <w:noProof/>
                <w:webHidden/>
              </w:rPr>
              <w:fldChar w:fldCharType="end"/>
            </w:r>
          </w:hyperlink>
        </w:p>
        <w:p w14:paraId="30628FB3" w14:textId="71CEAEFA"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88" w:history="1">
            <w:r w:rsidRPr="00CB20F5">
              <w:rPr>
                <w:rStyle w:val="Hyperlink"/>
                <w:rFonts w:eastAsiaTheme="majorEastAsia"/>
                <w:i/>
                <w:iCs/>
                <w:noProof/>
              </w:rPr>
              <w:t>United Kingdom</w:t>
            </w:r>
            <w:r w:rsidRPr="00CB20F5">
              <w:rPr>
                <w:rStyle w:val="Hyperlink"/>
                <w:noProof/>
              </w:rPr>
              <w:t xml:space="preserve"> </w:t>
            </w:r>
            <w:r w:rsidRPr="00CB20F5">
              <w:rPr>
                <w:rStyle w:val="Hyperlink"/>
                <w:rFonts w:eastAsia="Franklin Gothic Book"/>
                <w:b/>
                <w:bCs/>
                <w:noProof/>
                <w:lang w:eastAsia="en-GB"/>
              </w:rPr>
              <w:drawing>
                <wp:inline distT="0" distB="0" distL="0" distR="0" wp14:anchorId="72EF94A0" wp14:editId="6C25A54D">
                  <wp:extent cx="133350" cy="133350"/>
                  <wp:effectExtent l="0" t="0" r="0" b="0"/>
                  <wp:docPr id="1313523469" name="Picture 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ic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_Toc220103488 \h </w:instrText>
            </w:r>
            <w:r>
              <w:rPr>
                <w:noProof/>
                <w:webHidden/>
              </w:rPr>
            </w:r>
            <w:r>
              <w:rPr>
                <w:noProof/>
                <w:webHidden/>
              </w:rPr>
              <w:fldChar w:fldCharType="separate"/>
            </w:r>
            <w:r w:rsidR="00E270A7">
              <w:rPr>
                <w:noProof/>
                <w:webHidden/>
              </w:rPr>
              <w:t>50</w:t>
            </w:r>
            <w:r>
              <w:rPr>
                <w:noProof/>
                <w:webHidden/>
              </w:rPr>
              <w:fldChar w:fldCharType="end"/>
            </w:r>
          </w:hyperlink>
        </w:p>
        <w:p w14:paraId="502F8EB5" w14:textId="3CCC9C4F"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89" w:history="1">
            <w:r w:rsidRPr="00CB20F5">
              <w:rPr>
                <w:rStyle w:val="Hyperlink"/>
                <w:rFonts w:eastAsiaTheme="majorEastAsia"/>
                <w:i/>
                <w:iCs/>
                <w:noProof/>
              </w:rPr>
              <w:t>India</w:t>
            </w:r>
            <w:r w:rsidRPr="00CB20F5">
              <w:rPr>
                <w:rStyle w:val="Hyperlink"/>
                <w:noProof/>
              </w:rPr>
              <w:t xml:space="preserve"> </w:t>
            </w:r>
            <w:r w:rsidRPr="00CB20F5">
              <w:rPr>
                <w:rStyle w:val="Hyperlink"/>
                <w:b/>
                <w:bCs/>
                <w:noProof/>
                <w:lang w:eastAsia="en-GB"/>
              </w:rPr>
              <w:drawing>
                <wp:inline distT="0" distB="0" distL="0" distR="0" wp14:anchorId="7B435974" wp14:editId="61CBB94A">
                  <wp:extent cx="129540" cy="129540"/>
                  <wp:effectExtent l="0" t="0" r="3810" b="3810"/>
                  <wp:docPr id="6649440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_Toc220103489 \h </w:instrText>
            </w:r>
            <w:r>
              <w:rPr>
                <w:noProof/>
                <w:webHidden/>
              </w:rPr>
            </w:r>
            <w:r>
              <w:rPr>
                <w:noProof/>
                <w:webHidden/>
              </w:rPr>
              <w:fldChar w:fldCharType="separate"/>
            </w:r>
            <w:r w:rsidR="00E270A7">
              <w:rPr>
                <w:noProof/>
                <w:webHidden/>
              </w:rPr>
              <w:t>50</w:t>
            </w:r>
            <w:r>
              <w:rPr>
                <w:noProof/>
                <w:webHidden/>
              </w:rPr>
              <w:fldChar w:fldCharType="end"/>
            </w:r>
          </w:hyperlink>
        </w:p>
        <w:p w14:paraId="4B8296EF" w14:textId="4AE124C4"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90" w:history="1">
            <w:r w:rsidRPr="00CB20F5">
              <w:rPr>
                <w:rStyle w:val="Hyperlink"/>
                <w:rFonts w:eastAsiaTheme="majorEastAsia"/>
                <w:i/>
                <w:iCs/>
                <w:noProof/>
              </w:rPr>
              <w:t>Taiwan</w:t>
            </w:r>
            <w:r w:rsidRPr="00CB20F5">
              <w:rPr>
                <w:rStyle w:val="Hyperlink"/>
                <w:noProof/>
              </w:rPr>
              <w:t xml:space="preserve"> </w:t>
            </w:r>
            <w:r w:rsidRPr="00CB20F5">
              <w:rPr>
                <w:rStyle w:val="Hyperlink"/>
                <w:b/>
                <w:bCs/>
                <w:noProof/>
                <w:lang w:eastAsia="en-GB"/>
              </w:rPr>
              <w:drawing>
                <wp:inline distT="0" distB="0" distL="0" distR="0" wp14:anchorId="5F90395A" wp14:editId="3AF519FF">
                  <wp:extent cx="132080" cy="132080"/>
                  <wp:effectExtent l="0" t="0" r="1270" b="1270"/>
                  <wp:docPr id="827449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2080" cy="13208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_Toc220103490 \h </w:instrText>
            </w:r>
            <w:r>
              <w:rPr>
                <w:noProof/>
                <w:webHidden/>
              </w:rPr>
            </w:r>
            <w:r>
              <w:rPr>
                <w:noProof/>
                <w:webHidden/>
              </w:rPr>
              <w:fldChar w:fldCharType="separate"/>
            </w:r>
            <w:r w:rsidR="00E270A7">
              <w:rPr>
                <w:noProof/>
                <w:webHidden/>
              </w:rPr>
              <w:t>51</w:t>
            </w:r>
            <w:r>
              <w:rPr>
                <w:noProof/>
                <w:webHidden/>
              </w:rPr>
              <w:fldChar w:fldCharType="end"/>
            </w:r>
          </w:hyperlink>
        </w:p>
        <w:p w14:paraId="6BE53F37" w14:textId="1A99632A"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91" w:history="1">
            <w:r w:rsidRPr="00CB20F5">
              <w:rPr>
                <w:rStyle w:val="Hyperlink"/>
                <w:rFonts w:eastAsiaTheme="majorEastAsia"/>
                <w:i/>
                <w:iCs/>
                <w:noProof/>
              </w:rPr>
              <w:t>Japan</w:t>
            </w:r>
            <w:r w:rsidRPr="00CB20F5">
              <w:rPr>
                <w:rStyle w:val="Hyperlink"/>
                <w:noProof/>
              </w:rPr>
              <w:t xml:space="preserve"> </w:t>
            </w:r>
            <w:r w:rsidRPr="00CB20F5">
              <w:rPr>
                <w:rStyle w:val="Hyperlink"/>
                <w:b/>
                <w:bCs/>
                <w:noProof/>
                <w:lang w:eastAsia="en-GB"/>
              </w:rPr>
              <w:drawing>
                <wp:inline distT="0" distB="0" distL="0" distR="0" wp14:anchorId="67F31F7B" wp14:editId="750B9556">
                  <wp:extent cx="146050" cy="146050"/>
                  <wp:effectExtent l="0" t="0" r="6350" b="6350"/>
                  <wp:docPr id="5161810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_Toc220103491 \h </w:instrText>
            </w:r>
            <w:r>
              <w:rPr>
                <w:noProof/>
                <w:webHidden/>
              </w:rPr>
            </w:r>
            <w:r>
              <w:rPr>
                <w:noProof/>
                <w:webHidden/>
              </w:rPr>
              <w:fldChar w:fldCharType="separate"/>
            </w:r>
            <w:r w:rsidR="00E270A7">
              <w:rPr>
                <w:noProof/>
                <w:webHidden/>
              </w:rPr>
              <w:t>52</w:t>
            </w:r>
            <w:r>
              <w:rPr>
                <w:noProof/>
                <w:webHidden/>
              </w:rPr>
              <w:fldChar w:fldCharType="end"/>
            </w:r>
          </w:hyperlink>
        </w:p>
        <w:p w14:paraId="54B70C80" w14:textId="424B87D2"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92" w:history="1">
            <w:r w:rsidRPr="00CB20F5">
              <w:rPr>
                <w:rStyle w:val="Hyperlink"/>
                <w:rFonts w:eastAsiaTheme="majorEastAsia"/>
                <w:i/>
                <w:iCs/>
                <w:noProof/>
              </w:rPr>
              <w:t>Republic of Korea</w:t>
            </w:r>
            <w:r w:rsidRPr="00CB20F5">
              <w:rPr>
                <w:rStyle w:val="Hyperlink"/>
                <w:noProof/>
              </w:rPr>
              <w:t xml:space="preserve"> </w:t>
            </w:r>
            <w:r w:rsidRPr="00CB20F5">
              <w:rPr>
                <w:rStyle w:val="Hyperlink"/>
                <w:b/>
                <w:bCs/>
                <w:noProof/>
                <w:lang w:eastAsia="en-GB"/>
              </w:rPr>
              <w:drawing>
                <wp:inline distT="0" distB="0" distL="0" distR="0" wp14:anchorId="586CF469" wp14:editId="66E936D6">
                  <wp:extent cx="133350" cy="133350"/>
                  <wp:effectExtent l="0" t="0" r="0" b="0"/>
                  <wp:docPr id="2162898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_Toc220103492 \h </w:instrText>
            </w:r>
            <w:r>
              <w:rPr>
                <w:noProof/>
                <w:webHidden/>
              </w:rPr>
            </w:r>
            <w:r>
              <w:rPr>
                <w:noProof/>
                <w:webHidden/>
              </w:rPr>
              <w:fldChar w:fldCharType="separate"/>
            </w:r>
            <w:r w:rsidR="00E270A7">
              <w:rPr>
                <w:noProof/>
                <w:webHidden/>
              </w:rPr>
              <w:t>53</w:t>
            </w:r>
            <w:r>
              <w:rPr>
                <w:noProof/>
                <w:webHidden/>
              </w:rPr>
              <w:fldChar w:fldCharType="end"/>
            </w:r>
          </w:hyperlink>
        </w:p>
        <w:p w14:paraId="0D677D85" w14:textId="15EDFC92"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93" w:history="1">
            <w:r w:rsidRPr="00CB20F5">
              <w:rPr>
                <w:rStyle w:val="Hyperlink"/>
                <w:rFonts w:eastAsiaTheme="majorEastAsia"/>
                <w:i/>
                <w:iCs/>
                <w:noProof/>
              </w:rPr>
              <w:t>Brazil</w:t>
            </w:r>
            <w:r w:rsidRPr="00CB20F5">
              <w:rPr>
                <w:rStyle w:val="Hyperlink"/>
                <w:noProof/>
              </w:rPr>
              <w:t xml:space="preserve"> </w:t>
            </w:r>
            <w:r w:rsidRPr="00CB20F5">
              <w:rPr>
                <w:rStyle w:val="Hyperlink"/>
                <w:rFonts w:eastAsia="Franklin Gothic Book"/>
                <w:b/>
                <w:bCs/>
                <w:noProof/>
                <w:lang w:eastAsia="en-GB"/>
              </w:rPr>
              <w:drawing>
                <wp:inline distT="0" distB="0" distL="0" distR="0" wp14:anchorId="1BE98FA7" wp14:editId="6A38C053">
                  <wp:extent cx="140400" cy="140400"/>
                  <wp:effectExtent l="0" t="0" r="0" b="0"/>
                  <wp:docPr id="18523561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0400" cy="14040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_Toc220103493 \h </w:instrText>
            </w:r>
            <w:r>
              <w:rPr>
                <w:noProof/>
                <w:webHidden/>
              </w:rPr>
            </w:r>
            <w:r>
              <w:rPr>
                <w:noProof/>
                <w:webHidden/>
              </w:rPr>
              <w:fldChar w:fldCharType="separate"/>
            </w:r>
            <w:r w:rsidR="00E270A7">
              <w:rPr>
                <w:noProof/>
                <w:webHidden/>
              </w:rPr>
              <w:t>53</w:t>
            </w:r>
            <w:r>
              <w:rPr>
                <w:noProof/>
                <w:webHidden/>
              </w:rPr>
              <w:fldChar w:fldCharType="end"/>
            </w:r>
          </w:hyperlink>
        </w:p>
        <w:p w14:paraId="564703D3" w14:textId="08B74C4F" w:rsidR="00626D35" w:rsidRDefault="00626D35">
          <w:pPr>
            <w:pStyle w:val="TOC3"/>
            <w:rPr>
              <w:rFonts w:asciiTheme="minorHAnsi" w:eastAsiaTheme="minorEastAsia" w:hAnsiTheme="minorHAnsi" w:cstheme="minorBidi"/>
              <w:b w:val="0"/>
              <w:kern w:val="2"/>
              <w:sz w:val="24"/>
              <w:szCs w:val="24"/>
              <w:lang w:val="en-IE" w:eastAsia="en-IE"/>
              <w14:ligatures w14:val="standardContextual"/>
            </w:rPr>
          </w:pPr>
          <w:hyperlink w:anchor="_Toc220103494" w:history="1">
            <w:r w:rsidRPr="00CB20F5">
              <w:rPr>
                <w:rStyle w:val="Hyperlink"/>
                <w:bCs/>
              </w:rPr>
              <w:t>2.3 Public procurement and prioritisation measures of domestic supply of goods and services</w:t>
            </w:r>
            <w:r>
              <w:rPr>
                <w:webHidden/>
              </w:rPr>
              <w:tab/>
            </w:r>
            <w:r>
              <w:rPr>
                <w:webHidden/>
              </w:rPr>
              <w:fldChar w:fldCharType="begin"/>
            </w:r>
            <w:r>
              <w:rPr>
                <w:webHidden/>
              </w:rPr>
              <w:instrText xml:space="preserve"> PAGEREF _Toc220103494 \h </w:instrText>
            </w:r>
            <w:r>
              <w:rPr>
                <w:webHidden/>
              </w:rPr>
            </w:r>
            <w:r>
              <w:rPr>
                <w:webHidden/>
              </w:rPr>
              <w:fldChar w:fldCharType="separate"/>
            </w:r>
            <w:r w:rsidR="00E270A7">
              <w:rPr>
                <w:webHidden/>
              </w:rPr>
              <w:t>53</w:t>
            </w:r>
            <w:r>
              <w:rPr>
                <w:webHidden/>
              </w:rPr>
              <w:fldChar w:fldCharType="end"/>
            </w:r>
          </w:hyperlink>
        </w:p>
        <w:p w14:paraId="7D6A8B71" w14:textId="7610430F"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95" w:history="1">
            <w:r w:rsidRPr="00CB20F5">
              <w:rPr>
                <w:rStyle w:val="Hyperlink"/>
                <w:noProof/>
              </w:rPr>
              <w:t xml:space="preserve">United States </w:t>
            </w:r>
            <w:r w:rsidRPr="00CB20F5">
              <w:rPr>
                <w:rStyle w:val="Hyperlink"/>
                <w:rFonts w:eastAsia="Franklin Gothic Book"/>
                <w:i/>
                <w:iCs/>
                <w:noProof/>
                <w:szCs w:val="28"/>
                <w:lang w:eastAsia="en-GB"/>
              </w:rPr>
              <mc:AlternateContent>
                <mc:Choice Requires="wps">
                  <w:drawing>
                    <wp:inline distT="0" distB="0" distL="0" distR="0" wp14:anchorId="1E371502" wp14:editId="5E81778A">
                      <wp:extent cx="147711" cy="138093"/>
                      <wp:effectExtent l="0" t="0" r="5080" b="0"/>
                      <wp:docPr id="844553571"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Y7tFUkkGAABJBg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" w14:anchorId="0A7AE350">
                      <v:fill type="frame" o:title="" recolor="t" rotate="t" r:id="rId19"/>
                      <v:stroke joinstyle="miter"/>
                      <w10:anchorlock/>
                    </v:oval>
                  </w:pict>
                </mc:Fallback>
              </mc:AlternateContent>
            </w:r>
            <w:r>
              <w:rPr>
                <w:noProof/>
                <w:webHidden/>
              </w:rPr>
              <w:tab/>
            </w:r>
            <w:r>
              <w:rPr>
                <w:noProof/>
                <w:webHidden/>
              </w:rPr>
              <w:fldChar w:fldCharType="begin"/>
            </w:r>
            <w:r>
              <w:rPr>
                <w:noProof/>
                <w:webHidden/>
              </w:rPr>
              <w:instrText xml:space="preserve"> PAGEREF _Toc220103495 \h </w:instrText>
            </w:r>
            <w:r>
              <w:rPr>
                <w:noProof/>
                <w:webHidden/>
              </w:rPr>
            </w:r>
            <w:r>
              <w:rPr>
                <w:noProof/>
                <w:webHidden/>
              </w:rPr>
              <w:fldChar w:fldCharType="separate"/>
            </w:r>
            <w:r w:rsidR="00E270A7">
              <w:rPr>
                <w:noProof/>
                <w:webHidden/>
              </w:rPr>
              <w:t>53</w:t>
            </w:r>
            <w:r>
              <w:rPr>
                <w:noProof/>
                <w:webHidden/>
              </w:rPr>
              <w:fldChar w:fldCharType="end"/>
            </w:r>
          </w:hyperlink>
        </w:p>
        <w:p w14:paraId="7B746D6D" w14:textId="654DCA84"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96" w:history="1">
            <w:r w:rsidRPr="00CB20F5">
              <w:rPr>
                <w:rStyle w:val="Hyperlink"/>
                <w:rFonts w:eastAsiaTheme="majorEastAsia"/>
                <w:i/>
                <w:iCs/>
                <w:noProof/>
              </w:rPr>
              <w:t>Canada</w:t>
            </w:r>
            <w:r w:rsidRPr="00CB20F5">
              <w:rPr>
                <w:rStyle w:val="Hyperlink"/>
                <w:noProof/>
              </w:rPr>
              <w:t xml:space="preserve"> </w:t>
            </w:r>
            <w:r w:rsidRPr="00CB20F5">
              <w:rPr>
                <w:rStyle w:val="Hyperlink"/>
                <w:b/>
                <w:bCs/>
                <w:noProof/>
                <w:lang w:eastAsia="en-GB"/>
              </w:rPr>
              <w:drawing>
                <wp:inline distT="0" distB="0" distL="0" distR="0" wp14:anchorId="6E5CB93A" wp14:editId="763AEB5D">
                  <wp:extent cx="152400" cy="152400"/>
                  <wp:effectExtent l="0" t="0" r="0" b="0"/>
                  <wp:docPr id="17256197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Pr>
                <w:noProof/>
                <w:webHidden/>
              </w:rPr>
              <w:tab/>
            </w:r>
            <w:r>
              <w:rPr>
                <w:noProof/>
                <w:webHidden/>
              </w:rPr>
              <w:fldChar w:fldCharType="begin"/>
            </w:r>
            <w:r>
              <w:rPr>
                <w:noProof/>
                <w:webHidden/>
              </w:rPr>
              <w:instrText xml:space="preserve"> PAGEREF _Toc220103496 \h </w:instrText>
            </w:r>
            <w:r>
              <w:rPr>
                <w:noProof/>
                <w:webHidden/>
              </w:rPr>
            </w:r>
            <w:r>
              <w:rPr>
                <w:noProof/>
                <w:webHidden/>
              </w:rPr>
              <w:fldChar w:fldCharType="separate"/>
            </w:r>
            <w:r w:rsidR="00E270A7">
              <w:rPr>
                <w:noProof/>
                <w:webHidden/>
              </w:rPr>
              <w:t>54</w:t>
            </w:r>
            <w:r>
              <w:rPr>
                <w:noProof/>
                <w:webHidden/>
              </w:rPr>
              <w:fldChar w:fldCharType="end"/>
            </w:r>
          </w:hyperlink>
        </w:p>
        <w:p w14:paraId="3C96E6B5" w14:textId="7DC7E167"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97" w:history="1">
            <w:r w:rsidRPr="00CB20F5">
              <w:rPr>
                <w:rStyle w:val="Hyperlink"/>
                <w:rFonts w:eastAsiaTheme="majorEastAsia"/>
                <w:i/>
                <w:iCs/>
                <w:noProof/>
              </w:rPr>
              <w:t>India</w:t>
            </w:r>
            <w:r w:rsidRPr="00CB20F5">
              <w:rPr>
                <w:rStyle w:val="Hyperlink"/>
                <w:noProof/>
              </w:rPr>
              <w:t xml:space="preserve"> </w:t>
            </w:r>
            <w:r w:rsidRPr="00CB20F5">
              <w:rPr>
                <w:rStyle w:val="Hyperlink"/>
                <w:b/>
                <w:bCs/>
                <w:noProof/>
                <w:lang w:eastAsia="en-GB"/>
              </w:rPr>
              <w:drawing>
                <wp:inline distT="0" distB="0" distL="0" distR="0" wp14:anchorId="4D645462" wp14:editId="1D060859">
                  <wp:extent cx="129540" cy="129540"/>
                  <wp:effectExtent l="0" t="0" r="3810" b="3810"/>
                  <wp:docPr id="121875439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_Toc220103497 \h </w:instrText>
            </w:r>
            <w:r>
              <w:rPr>
                <w:noProof/>
                <w:webHidden/>
              </w:rPr>
            </w:r>
            <w:r>
              <w:rPr>
                <w:noProof/>
                <w:webHidden/>
              </w:rPr>
              <w:fldChar w:fldCharType="separate"/>
            </w:r>
            <w:r w:rsidR="00E270A7">
              <w:rPr>
                <w:noProof/>
                <w:webHidden/>
              </w:rPr>
              <w:t>54</w:t>
            </w:r>
            <w:r>
              <w:rPr>
                <w:noProof/>
                <w:webHidden/>
              </w:rPr>
              <w:fldChar w:fldCharType="end"/>
            </w:r>
          </w:hyperlink>
        </w:p>
        <w:p w14:paraId="041D8E31" w14:textId="6024D451"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98" w:history="1">
            <w:r w:rsidRPr="00CB20F5">
              <w:rPr>
                <w:rStyle w:val="Hyperlink"/>
                <w:rFonts w:eastAsiaTheme="majorEastAsia"/>
                <w:i/>
                <w:iCs/>
                <w:noProof/>
              </w:rPr>
              <w:t>China</w:t>
            </w:r>
            <w:r w:rsidRPr="00CB20F5">
              <w:rPr>
                <w:rStyle w:val="Hyperlink"/>
                <w:noProof/>
              </w:rPr>
              <w:t xml:space="preserve"> </w:t>
            </w:r>
            <w:r w:rsidRPr="00CB20F5">
              <w:rPr>
                <w:rStyle w:val="Hyperlink"/>
                <w:b/>
                <w:bCs/>
                <w:noProof/>
                <w:lang w:eastAsia="en-GB"/>
              </w:rPr>
              <w:drawing>
                <wp:inline distT="0" distB="0" distL="0" distR="0" wp14:anchorId="0B7B0285" wp14:editId="091C6709">
                  <wp:extent cx="146050" cy="146050"/>
                  <wp:effectExtent l="0" t="0" r="6350" b="6350"/>
                  <wp:docPr id="1807293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_Toc220103498 \h </w:instrText>
            </w:r>
            <w:r>
              <w:rPr>
                <w:noProof/>
                <w:webHidden/>
              </w:rPr>
            </w:r>
            <w:r>
              <w:rPr>
                <w:noProof/>
                <w:webHidden/>
              </w:rPr>
              <w:fldChar w:fldCharType="separate"/>
            </w:r>
            <w:r w:rsidR="00E270A7">
              <w:rPr>
                <w:noProof/>
                <w:webHidden/>
              </w:rPr>
              <w:t>54</w:t>
            </w:r>
            <w:r>
              <w:rPr>
                <w:noProof/>
                <w:webHidden/>
              </w:rPr>
              <w:fldChar w:fldCharType="end"/>
            </w:r>
          </w:hyperlink>
        </w:p>
        <w:p w14:paraId="7CE49882" w14:textId="03639127"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499" w:history="1">
            <w:r w:rsidRPr="00CB20F5">
              <w:rPr>
                <w:rStyle w:val="Hyperlink"/>
                <w:rFonts w:eastAsiaTheme="majorEastAsia"/>
                <w:i/>
                <w:iCs/>
                <w:noProof/>
              </w:rPr>
              <w:t>United Kingdom</w:t>
            </w:r>
            <w:r w:rsidRPr="00CB20F5">
              <w:rPr>
                <w:rStyle w:val="Hyperlink"/>
                <w:noProof/>
              </w:rPr>
              <w:t xml:space="preserve"> </w:t>
            </w:r>
            <w:r w:rsidRPr="00CB20F5">
              <w:rPr>
                <w:rStyle w:val="Hyperlink"/>
                <w:rFonts w:eastAsia="Franklin Gothic Book"/>
                <w:b/>
                <w:bCs/>
                <w:noProof/>
                <w:lang w:eastAsia="en-GB"/>
              </w:rPr>
              <w:drawing>
                <wp:inline distT="0" distB="0" distL="0" distR="0" wp14:anchorId="21A97905" wp14:editId="7D9489DB">
                  <wp:extent cx="133350" cy="133350"/>
                  <wp:effectExtent l="0" t="0" r="0" b="0"/>
                  <wp:docPr id="1897508961" name="Picture 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ic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_Toc220103499 \h </w:instrText>
            </w:r>
            <w:r>
              <w:rPr>
                <w:noProof/>
                <w:webHidden/>
              </w:rPr>
            </w:r>
            <w:r>
              <w:rPr>
                <w:noProof/>
                <w:webHidden/>
              </w:rPr>
              <w:fldChar w:fldCharType="separate"/>
            </w:r>
            <w:r w:rsidR="00E270A7">
              <w:rPr>
                <w:noProof/>
                <w:webHidden/>
              </w:rPr>
              <w:t>55</w:t>
            </w:r>
            <w:r>
              <w:rPr>
                <w:noProof/>
                <w:webHidden/>
              </w:rPr>
              <w:fldChar w:fldCharType="end"/>
            </w:r>
          </w:hyperlink>
        </w:p>
        <w:p w14:paraId="68BBA198" w14:textId="0CBAD83C"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00" w:history="1">
            <w:r w:rsidRPr="00CB20F5">
              <w:rPr>
                <w:rStyle w:val="Hyperlink"/>
                <w:rFonts w:eastAsiaTheme="majorEastAsia"/>
                <w:i/>
                <w:iCs/>
                <w:noProof/>
              </w:rPr>
              <w:t>South Africa</w:t>
            </w:r>
            <w:r w:rsidRPr="00CB20F5">
              <w:rPr>
                <w:rStyle w:val="Hyperlink"/>
                <w:noProof/>
              </w:rPr>
              <w:t xml:space="preserve"> </w:t>
            </w:r>
            <w:r w:rsidRPr="00CB20F5">
              <w:rPr>
                <w:rStyle w:val="Hyperlink"/>
                <w:rFonts w:eastAsia="Franklin Gothic Book"/>
                <w:b/>
                <w:bCs/>
                <w:noProof/>
                <w:lang w:eastAsia="en-GB"/>
              </w:rPr>
              <mc:AlternateContent>
                <mc:Choice Requires="wps">
                  <w:drawing>
                    <wp:inline distT="0" distB="0" distL="0" distR="0" wp14:anchorId="46799CFB" wp14:editId="42881DED">
                      <wp:extent cx="147711" cy="138093"/>
                      <wp:effectExtent l="0" t="0" r="5080" b="0"/>
                      <wp:docPr id="1868825774"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32"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&#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" w14:anchorId="24AAC119">
                      <v:fill type="frame" o:title="" recolor="t" rotate="t" r:id="rId33"/>
                      <v:stroke joinstyle="miter"/>
                      <w10:anchorlock/>
                    </v:oval>
                  </w:pict>
                </mc:Fallback>
              </mc:AlternateContent>
            </w:r>
            <w:r>
              <w:rPr>
                <w:noProof/>
                <w:webHidden/>
              </w:rPr>
              <w:tab/>
            </w:r>
            <w:r>
              <w:rPr>
                <w:noProof/>
                <w:webHidden/>
              </w:rPr>
              <w:fldChar w:fldCharType="begin"/>
            </w:r>
            <w:r>
              <w:rPr>
                <w:noProof/>
                <w:webHidden/>
              </w:rPr>
              <w:instrText xml:space="preserve"> PAGEREF _Toc220103500 \h </w:instrText>
            </w:r>
            <w:r>
              <w:rPr>
                <w:noProof/>
                <w:webHidden/>
              </w:rPr>
            </w:r>
            <w:r>
              <w:rPr>
                <w:noProof/>
                <w:webHidden/>
              </w:rPr>
              <w:fldChar w:fldCharType="separate"/>
            </w:r>
            <w:r w:rsidR="00E270A7">
              <w:rPr>
                <w:noProof/>
                <w:webHidden/>
              </w:rPr>
              <w:t>55</w:t>
            </w:r>
            <w:r>
              <w:rPr>
                <w:noProof/>
                <w:webHidden/>
              </w:rPr>
              <w:fldChar w:fldCharType="end"/>
            </w:r>
          </w:hyperlink>
        </w:p>
        <w:p w14:paraId="0133337E" w14:textId="457DD0AB" w:rsidR="00626D35" w:rsidRDefault="00626D35">
          <w:pPr>
            <w:pStyle w:val="TOC3"/>
            <w:rPr>
              <w:rFonts w:asciiTheme="minorHAnsi" w:eastAsiaTheme="minorEastAsia" w:hAnsiTheme="minorHAnsi" w:cstheme="minorBidi"/>
              <w:b w:val="0"/>
              <w:kern w:val="2"/>
              <w:sz w:val="24"/>
              <w:szCs w:val="24"/>
              <w:lang w:val="en-IE" w:eastAsia="en-IE"/>
              <w14:ligatures w14:val="standardContextual"/>
            </w:rPr>
          </w:pPr>
          <w:hyperlink w:anchor="_Toc220103501" w:history="1">
            <w:r w:rsidRPr="00CB20F5">
              <w:rPr>
                <w:rStyle w:val="Hyperlink"/>
                <w:rFonts w:eastAsia="Times New Roman"/>
                <w:bCs/>
              </w:rPr>
              <w:t>2.4 Trade toolbox (tariffs, export restrictions, anti-coercion measures, FDI control, etc.)</w:t>
            </w:r>
            <w:r>
              <w:rPr>
                <w:webHidden/>
              </w:rPr>
              <w:tab/>
            </w:r>
            <w:r>
              <w:rPr>
                <w:webHidden/>
              </w:rPr>
              <w:fldChar w:fldCharType="begin"/>
            </w:r>
            <w:r>
              <w:rPr>
                <w:webHidden/>
              </w:rPr>
              <w:instrText xml:space="preserve"> PAGEREF _Toc220103501 \h </w:instrText>
            </w:r>
            <w:r>
              <w:rPr>
                <w:webHidden/>
              </w:rPr>
            </w:r>
            <w:r>
              <w:rPr>
                <w:webHidden/>
              </w:rPr>
              <w:fldChar w:fldCharType="separate"/>
            </w:r>
            <w:r w:rsidR="00E270A7">
              <w:rPr>
                <w:webHidden/>
              </w:rPr>
              <w:t>55</w:t>
            </w:r>
            <w:r>
              <w:rPr>
                <w:webHidden/>
              </w:rPr>
              <w:fldChar w:fldCharType="end"/>
            </w:r>
          </w:hyperlink>
        </w:p>
        <w:p w14:paraId="244B1223" w14:textId="4DEA9186"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02" w:history="1">
            <w:r w:rsidRPr="00CB20F5">
              <w:rPr>
                <w:rStyle w:val="Hyperlink"/>
                <w:rFonts w:eastAsiaTheme="majorEastAsia"/>
                <w:i/>
                <w:iCs/>
                <w:noProof/>
              </w:rPr>
              <w:t>United States</w:t>
            </w:r>
            <w:r w:rsidRPr="00CB20F5">
              <w:rPr>
                <w:rStyle w:val="Hyperlink"/>
                <w:noProof/>
              </w:rPr>
              <w:t xml:space="preserve"> </w:t>
            </w:r>
            <w:r w:rsidRPr="00CB20F5">
              <w:rPr>
                <w:rStyle w:val="Hyperlink"/>
                <w:rFonts w:eastAsia="Franklin Gothic Book"/>
                <w:b/>
                <w:bCs/>
                <w:noProof/>
                <w:lang w:eastAsia="en-GB"/>
              </w:rPr>
              <mc:AlternateContent>
                <mc:Choice Requires="wps">
                  <w:drawing>
                    <wp:inline distT="0" distB="0" distL="0" distR="0" wp14:anchorId="7AF0F7A4" wp14:editId="606A0653">
                      <wp:extent cx="147711" cy="138093"/>
                      <wp:effectExtent l="0" t="0" r="5080" b="0"/>
                      <wp:docPr id="1534149290"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Y7tFUkkGAABJBg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" w14:anchorId="5296CA18">
                      <v:fill type="frame" o:title="" recolor="t" rotate="t" r:id="rId19"/>
                      <v:stroke joinstyle="miter"/>
                      <w10:anchorlock/>
                    </v:oval>
                  </w:pict>
                </mc:Fallback>
              </mc:AlternateContent>
            </w:r>
            <w:r>
              <w:rPr>
                <w:noProof/>
                <w:webHidden/>
              </w:rPr>
              <w:tab/>
            </w:r>
            <w:r>
              <w:rPr>
                <w:noProof/>
                <w:webHidden/>
              </w:rPr>
              <w:fldChar w:fldCharType="begin"/>
            </w:r>
            <w:r>
              <w:rPr>
                <w:noProof/>
                <w:webHidden/>
              </w:rPr>
              <w:instrText xml:space="preserve"> PAGEREF _Toc220103502 \h </w:instrText>
            </w:r>
            <w:r>
              <w:rPr>
                <w:noProof/>
                <w:webHidden/>
              </w:rPr>
            </w:r>
            <w:r>
              <w:rPr>
                <w:noProof/>
                <w:webHidden/>
              </w:rPr>
              <w:fldChar w:fldCharType="separate"/>
            </w:r>
            <w:r w:rsidR="00E270A7">
              <w:rPr>
                <w:noProof/>
                <w:webHidden/>
              </w:rPr>
              <w:t>55</w:t>
            </w:r>
            <w:r>
              <w:rPr>
                <w:noProof/>
                <w:webHidden/>
              </w:rPr>
              <w:fldChar w:fldCharType="end"/>
            </w:r>
          </w:hyperlink>
        </w:p>
        <w:p w14:paraId="6F038661" w14:textId="65672F2C"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03" w:history="1">
            <w:r w:rsidRPr="00CB20F5">
              <w:rPr>
                <w:rStyle w:val="Hyperlink"/>
                <w:rFonts w:eastAsiaTheme="majorEastAsia"/>
                <w:i/>
                <w:iCs/>
                <w:noProof/>
              </w:rPr>
              <w:t>Canada</w:t>
            </w:r>
            <w:r w:rsidRPr="00CB20F5">
              <w:rPr>
                <w:rStyle w:val="Hyperlink"/>
                <w:noProof/>
              </w:rPr>
              <w:t xml:space="preserve"> </w:t>
            </w:r>
            <w:r w:rsidRPr="00CB20F5">
              <w:rPr>
                <w:rStyle w:val="Hyperlink"/>
                <w:b/>
                <w:bCs/>
                <w:noProof/>
                <w:lang w:eastAsia="en-GB"/>
              </w:rPr>
              <w:drawing>
                <wp:inline distT="0" distB="0" distL="0" distR="0" wp14:anchorId="43DF4D01" wp14:editId="6899FB60">
                  <wp:extent cx="152400" cy="152400"/>
                  <wp:effectExtent l="0" t="0" r="0" b="0"/>
                  <wp:docPr id="11101562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Pr>
                <w:noProof/>
                <w:webHidden/>
              </w:rPr>
              <w:tab/>
            </w:r>
            <w:r>
              <w:rPr>
                <w:noProof/>
                <w:webHidden/>
              </w:rPr>
              <w:fldChar w:fldCharType="begin"/>
            </w:r>
            <w:r>
              <w:rPr>
                <w:noProof/>
                <w:webHidden/>
              </w:rPr>
              <w:instrText xml:space="preserve"> PAGEREF _Toc220103503 \h </w:instrText>
            </w:r>
            <w:r>
              <w:rPr>
                <w:noProof/>
                <w:webHidden/>
              </w:rPr>
            </w:r>
            <w:r>
              <w:rPr>
                <w:noProof/>
                <w:webHidden/>
              </w:rPr>
              <w:fldChar w:fldCharType="separate"/>
            </w:r>
            <w:r w:rsidR="00E270A7">
              <w:rPr>
                <w:noProof/>
                <w:webHidden/>
              </w:rPr>
              <w:t>55</w:t>
            </w:r>
            <w:r>
              <w:rPr>
                <w:noProof/>
                <w:webHidden/>
              </w:rPr>
              <w:fldChar w:fldCharType="end"/>
            </w:r>
          </w:hyperlink>
        </w:p>
        <w:p w14:paraId="75472F62" w14:textId="33F53F14"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04" w:history="1">
            <w:r w:rsidRPr="00CB20F5">
              <w:rPr>
                <w:rStyle w:val="Hyperlink"/>
                <w:rFonts w:eastAsiaTheme="majorEastAsia"/>
                <w:i/>
                <w:iCs/>
                <w:noProof/>
              </w:rPr>
              <w:t>Australia</w:t>
            </w:r>
            <w:r w:rsidRPr="00CB20F5">
              <w:rPr>
                <w:rStyle w:val="Hyperlink"/>
                <w:noProof/>
              </w:rPr>
              <w:t xml:space="preserve"> </w:t>
            </w:r>
            <w:r w:rsidRPr="00CB20F5">
              <w:rPr>
                <w:rStyle w:val="Hyperlink"/>
                <w:rFonts w:eastAsia="Franklin Gothic Book"/>
                <w:b/>
                <w:bCs/>
                <w:noProof/>
                <w:lang w:eastAsia="en-GB"/>
              </w:rPr>
              <w:drawing>
                <wp:inline distT="0" distB="0" distL="0" distR="0" wp14:anchorId="764D6DCF" wp14:editId="137A9989">
                  <wp:extent cx="140400" cy="140400"/>
                  <wp:effectExtent l="0" t="0" r="0" b="0"/>
                  <wp:docPr id="465652425" name="Picture 1" descr="A flag of australia with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732037" name="Picture 1" descr="A flag of australia with stars&#10;&#10;AI-generated content may be incorrect."/>
                          <pic:cNvPicPr/>
                        </pic:nvPicPr>
                        <pic:blipFill>
                          <a:blip r:embed="rId25"/>
                          <a:stretch>
                            <a:fillRect/>
                          </a:stretch>
                        </pic:blipFill>
                        <pic:spPr>
                          <a:xfrm>
                            <a:off x="0" y="0"/>
                            <a:ext cx="140400" cy="140400"/>
                          </a:xfrm>
                          <a:prstGeom prst="rect">
                            <a:avLst/>
                          </a:prstGeom>
                        </pic:spPr>
                      </pic:pic>
                    </a:graphicData>
                  </a:graphic>
                </wp:inline>
              </w:drawing>
            </w:r>
            <w:r>
              <w:rPr>
                <w:noProof/>
                <w:webHidden/>
              </w:rPr>
              <w:tab/>
            </w:r>
            <w:r>
              <w:rPr>
                <w:noProof/>
                <w:webHidden/>
              </w:rPr>
              <w:fldChar w:fldCharType="begin"/>
            </w:r>
            <w:r>
              <w:rPr>
                <w:noProof/>
                <w:webHidden/>
              </w:rPr>
              <w:instrText xml:space="preserve"> PAGEREF _Toc220103504 \h </w:instrText>
            </w:r>
            <w:r>
              <w:rPr>
                <w:noProof/>
                <w:webHidden/>
              </w:rPr>
            </w:r>
            <w:r>
              <w:rPr>
                <w:noProof/>
                <w:webHidden/>
              </w:rPr>
              <w:fldChar w:fldCharType="separate"/>
            </w:r>
            <w:r w:rsidR="00E270A7">
              <w:rPr>
                <w:noProof/>
                <w:webHidden/>
              </w:rPr>
              <w:t>56</w:t>
            </w:r>
            <w:r>
              <w:rPr>
                <w:noProof/>
                <w:webHidden/>
              </w:rPr>
              <w:fldChar w:fldCharType="end"/>
            </w:r>
          </w:hyperlink>
        </w:p>
        <w:p w14:paraId="46F1B9AA" w14:textId="2664E61F"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05" w:history="1">
            <w:r w:rsidRPr="00CB20F5">
              <w:rPr>
                <w:rStyle w:val="Hyperlink"/>
                <w:rFonts w:eastAsiaTheme="majorEastAsia"/>
                <w:i/>
                <w:iCs/>
                <w:noProof/>
              </w:rPr>
              <w:t>India</w:t>
            </w:r>
            <w:r w:rsidRPr="00CB20F5">
              <w:rPr>
                <w:rStyle w:val="Hyperlink"/>
                <w:noProof/>
              </w:rPr>
              <w:t xml:space="preserve"> </w:t>
            </w:r>
            <w:r w:rsidRPr="00CB20F5">
              <w:rPr>
                <w:rStyle w:val="Hyperlink"/>
                <w:b/>
                <w:bCs/>
                <w:noProof/>
                <w:lang w:eastAsia="en-GB"/>
              </w:rPr>
              <w:drawing>
                <wp:inline distT="0" distB="0" distL="0" distR="0" wp14:anchorId="6160CFA5" wp14:editId="5A0AD398">
                  <wp:extent cx="129540" cy="129540"/>
                  <wp:effectExtent l="0" t="0" r="3810" b="3810"/>
                  <wp:docPr id="14753397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_Toc220103505 \h </w:instrText>
            </w:r>
            <w:r>
              <w:rPr>
                <w:noProof/>
                <w:webHidden/>
              </w:rPr>
            </w:r>
            <w:r>
              <w:rPr>
                <w:noProof/>
                <w:webHidden/>
              </w:rPr>
              <w:fldChar w:fldCharType="separate"/>
            </w:r>
            <w:r w:rsidR="00E270A7">
              <w:rPr>
                <w:noProof/>
                <w:webHidden/>
              </w:rPr>
              <w:t>56</w:t>
            </w:r>
            <w:r>
              <w:rPr>
                <w:noProof/>
                <w:webHidden/>
              </w:rPr>
              <w:fldChar w:fldCharType="end"/>
            </w:r>
          </w:hyperlink>
        </w:p>
        <w:p w14:paraId="426C7A5C" w14:textId="41AC2566"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06" w:history="1">
            <w:r w:rsidRPr="00CB20F5">
              <w:rPr>
                <w:rStyle w:val="Hyperlink"/>
                <w:rFonts w:eastAsiaTheme="majorEastAsia"/>
                <w:i/>
                <w:iCs/>
                <w:noProof/>
              </w:rPr>
              <w:t>China</w:t>
            </w:r>
            <w:r w:rsidRPr="00CB20F5">
              <w:rPr>
                <w:rStyle w:val="Hyperlink"/>
                <w:noProof/>
              </w:rPr>
              <w:t xml:space="preserve"> </w:t>
            </w:r>
            <w:r w:rsidRPr="00CB20F5">
              <w:rPr>
                <w:rStyle w:val="Hyperlink"/>
                <w:b/>
                <w:bCs/>
                <w:noProof/>
                <w:lang w:eastAsia="en-GB"/>
              </w:rPr>
              <w:drawing>
                <wp:inline distT="0" distB="0" distL="0" distR="0" wp14:anchorId="6C644236" wp14:editId="5D4D0335">
                  <wp:extent cx="146050" cy="146050"/>
                  <wp:effectExtent l="0" t="0" r="6350" b="6350"/>
                  <wp:docPr id="1186885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_Toc220103506 \h </w:instrText>
            </w:r>
            <w:r>
              <w:rPr>
                <w:noProof/>
                <w:webHidden/>
              </w:rPr>
            </w:r>
            <w:r>
              <w:rPr>
                <w:noProof/>
                <w:webHidden/>
              </w:rPr>
              <w:fldChar w:fldCharType="separate"/>
            </w:r>
            <w:r w:rsidR="00E270A7">
              <w:rPr>
                <w:noProof/>
                <w:webHidden/>
              </w:rPr>
              <w:t>56</w:t>
            </w:r>
            <w:r>
              <w:rPr>
                <w:noProof/>
                <w:webHidden/>
              </w:rPr>
              <w:fldChar w:fldCharType="end"/>
            </w:r>
          </w:hyperlink>
        </w:p>
        <w:p w14:paraId="569EFFD3" w14:textId="6557B991"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07" w:history="1">
            <w:r w:rsidRPr="00CB20F5">
              <w:rPr>
                <w:rStyle w:val="Hyperlink"/>
                <w:rFonts w:eastAsiaTheme="majorEastAsia"/>
                <w:i/>
                <w:iCs/>
                <w:noProof/>
              </w:rPr>
              <w:t>Japan</w:t>
            </w:r>
            <w:r w:rsidRPr="00CB20F5">
              <w:rPr>
                <w:rStyle w:val="Hyperlink"/>
                <w:noProof/>
              </w:rPr>
              <w:t xml:space="preserve"> </w:t>
            </w:r>
            <w:r w:rsidRPr="00CB20F5">
              <w:rPr>
                <w:rStyle w:val="Hyperlink"/>
                <w:b/>
                <w:bCs/>
                <w:noProof/>
                <w:lang w:eastAsia="en-GB"/>
              </w:rPr>
              <w:drawing>
                <wp:inline distT="0" distB="0" distL="0" distR="0" wp14:anchorId="6E80F02D" wp14:editId="638AEC13">
                  <wp:extent cx="146050" cy="146050"/>
                  <wp:effectExtent l="0" t="0" r="6350" b="6350"/>
                  <wp:docPr id="4991703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_Toc220103507 \h </w:instrText>
            </w:r>
            <w:r>
              <w:rPr>
                <w:noProof/>
                <w:webHidden/>
              </w:rPr>
            </w:r>
            <w:r>
              <w:rPr>
                <w:noProof/>
                <w:webHidden/>
              </w:rPr>
              <w:fldChar w:fldCharType="separate"/>
            </w:r>
            <w:r w:rsidR="00E270A7">
              <w:rPr>
                <w:noProof/>
                <w:webHidden/>
              </w:rPr>
              <w:t>57</w:t>
            </w:r>
            <w:r>
              <w:rPr>
                <w:noProof/>
                <w:webHidden/>
              </w:rPr>
              <w:fldChar w:fldCharType="end"/>
            </w:r>
          </w:hyperlink>
        </w:p>
        <w:p w14:paraId="2CC92AC7" w14:textId="77B8809E" w:rsidR="00626D35" w:rsidRDefault="00626D35">
          <w:pPr>
            <w:pStyle w:val="TOC3"/>
            <w:rPr>
              <w:rFonts w:asciiTheme="minorHAnsi" w:eastAsiaTheme="minorEastAsia" w:hAnsiTheme="minorHAnsi" w:cstheme="minorBidi"/>
              <w:b w:val="0"/>
              <w:kern w:val="2"/>
              <w:sz w:val="24"/>
              <w:szCs w:val="24"/>
              <w:lang w:val="en-IE" w:eastAsia="en-IE"/>
              <w14:ligatures w14:val="standardContextual"/>
            </w:rPr>
          </w:pPr>
          <w:hyperlink w:anchor="_Toc220103508" w:history="1">
            <w:r w:rsidRPr="00CB20F5">
              <w:rPr>
                <w:rStyle w:val="Hyperlink"/>
                <w:bCs/>
              </w:rPr>
              <w:t>2.5 International deals and partnerships</w:t>
            </w:r>
            <w:r>
              <w:rPr>
                <w:webHidden/>
              </w:rPr>
              <w:tab/>
            </w:r>
            <w:r>
              <w:rPr>
                <w:webHidden/>
              </w:rPr>
              <w:fldChar w:fldCharType="begin"/>
            </w:r>
            <w:r>
              <w:rPr>
                <w:webHidden/>
              </w:rPr>
              <w:instrText xml:space="preserve"> PAGEREF _Toc220103508 \h </w:instrText>
            </w:r>
            <w:r>
              <w:rPr>
                <w:webHidden/>
              </w:rPr>
            </w:r>
            <w:r>
              <w:rPr>
                <w:webHidden/>
              </w:rPr>
              <w:fldChar w:fldCharType="separate"/>
            </w:r>
            <w:r w:rsidR="00E270A7">
              <w:rPr>
                <w:webHidden/>
              </w:rPr>
              <w:t>57</w:t>
            </w:r>
            <w:r>
              <w:rPr>
                <w:webHidden/>
              </w:rPr>
              <w:fldChar w:fldCharType="end"/>
            </w:r>
          </w:hyperlink>
        </w:p>
        <w:p w14:paraId="3C7AE810" w14:textId="1FE8BA0A" w:rsidR="00626D35" w:rsidRDefault="00626D35">
          <w:pPr>
            <w:pStyle w:val="TOC3"/>
            <w:rPr>
              <w:rFonts w:asciiTheme="minorHAnsi" w:eastAsiaTheme="minorEastAsia" w:hAnsiTheme="minorHAnsi" w:cstheme="minorBidi"/>
              <w:b w:val="0"/>
              <w:kern w:val="2"/>
              <w:sz w:val="24"/>
              <w:szCs w:val="24"/>
              <w:lang w:val="en-IE" w:eastAsia="en-IE"/>
              <w14:ligatures w14:val="standardContextual"/>
            </w:rPr>
          </w:pPr>
          <w:hyperlink w:anchor="_Toc220103509" w:history="1">
            <w:r w:rsidRPr="00CB20F5">
              <w:rPr>
                <w:rStyle w:val="Hyperlink"/>
                <w:bCs/>
              </w:rPr>
              <w:t>BILATERAL PARTNERSHIPS</w:t>
            </w:r>
            <w:r>
              <w:rPr>
                <w:webHidden/>
              </w:rPr>
              <w:tab/>
            </w:r>
            <w:r>
              <w:rPr>
                <w:webHidden/>
              </w:rPr>
              <w:fldChar w:fldCharType="begin"/>
            </w:r>
            <w:r>
              <w:rPr>
                <w:webHidden/>
              </w:rPr>
              <w:instrText xml:space="preserve"> PAGEREF _Toc220103509 \h </w:instrText>
            </w:r>
            <w:r>
              <w:rPr>
                <w:webHidden/>
              </w:rPr>
            </w:r>
            <w:r>
              <w:rPr>
                <w:webHidden/>
              </w:rPr>
              <w:fldChar w:fldCharType="separate"/>
            </w:r>
            <w:r w:rsidR="00E270A7">
              <w:rPr>
                <w:webHidden/>
              </w:rPr>
              <w:t>57</w:t>
            </w:r>
            <w:r>
              <w:rPr>
                <w:webHidden/>
              </w:rPr>
              <w:fldChar w:fldCharType="end"/>
            </w:r>
          </w:hyperlink>
        </w:p>
        <w:p w14:paraId="52258A7F" w14:textId="319800AC"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10" w:history="1">
            <w:r w:rsidRPr="00CB20F5">
              <w:rPr>
                <w:rStyle w:val="Hyperlink"/>
                <w:rFonts w:eastAsiaTheme="majorEastAsia"/>
                <w:i/>
                <w:iCs/>
                <w:noProof/>
              </w:rPr>
              <w:t>United States</w:t>
            </w:r>
            <w:r w:rsidRPr="00CB20F5">
              <w:rPr>
                <w:rStyle w:val="Hyperlink"/>
                <w:noProof/>
              </w:rPr>
              <w:t xml:space="preserve"> </w:t>
            </w:r>
            <w:r w:rsidRPr="00CB20F5">
              <w:rPr>
                <w:rStyle w:val="Hyperlink"/>
                <w:rFonts w:eastAsia="Franklin Gothic Book"/>
                <w:b/>
                <w:bCs/>
                <w:noProof/>
                <w:lang w:eastAsia="en-GB"/>
              </w:rPr>
              <mc:AlternateContent>
                <mc:Choice Requires="wps">
                  <w:drawing>
                    <wp:inline distT="0" distB="0" distL="0" distR="0" wp14:anchorId="638F8D4F" wp14:editId="446E8ED3">
                      <wp:extent cx="147711" cy="138093"/>
                      <wp:effectExtent l="0" t="0" r="5080" b="0"/>
                      <wp:docPr id="1728797052"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Y7tFUkkGAABJBg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" w14:anchorId="05DE1345">
                      <v:fill type="frame" o:title="" recolor="t" rotate="t" r:id="rId19"/>
                      <v:stroke joinstyle="miter"/>
                      <w10:anchorlock/>
                    </v:oval>
                  </w:pict>
                </mc:Fallback>
              </mc:AlternateContent>
            </w:r>
            <w:r>
              <w:rPr>
                <w:noProof/>
                <w:webHidden/>
              </w:rPr>
              <w:tab/>
            </w:r>
            <w:r>
              <w:rPr>
                <w:noProof/>
                <w:webHidden/>
              </w:rPr>
              <w:fldChar w:fldCharType="begin"/>
            </w:r>
            <w:r>
              <w:rPr>
                <w:noProof/>
                <w:webHidden/>
              </w:rPr>
              <w:instrText xml:space="preserve"> PAGEREF _Toc220103510 \h </w:instrText>
            </w:r>
            <w:r>
              <w:rPr>
                <w:noProof/>
                <w:webHidden/>
              </w:rPr>
            </w:r>
            <w:r>
              <w:rPr>
                <w:noProof/>
                <w:webHidden/>
              </w:rPr>
              <w:fldChar w:fldCharType="separate"/>
            </w:r>
            <w:r w:rsidR="00E270A7">
              <w:rPr>
                <w:noProof/>
                <w:webHidden/>
              </w:rPr>
              <w:t>57</w:t>
            </w:r>
            <w:r>
              <w:rPr>
                <w:noProof/>
                <w:webHidden/>
              </w:rPr>
              <w:fldChar w:fldCharType="end"/>
            </w:r>
          </w:hyperlink>
        </w:p>
        <w:p w14:paraId="053F1E6E" w14:textId="57CCD4C7"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11" w:history="1">
            <w:r w:rsidRPr="00CB20F5">
              <w:rPr>
                <w:rStyle w:val="Hyperlink"/>
                <w:rFonts w:eastAsiaTheme="majorEastAsia"/>
                <w:i/>
                <w:iCs/>
                <w:noProof/>
              </w:rPr>
              <w:t>United Kingdom</w:t>
            </w:r>
            <w:r w:rsidRPr="00CB20F5">
              <w:rPr>
                <w:rStyle w:val="Hyperlink"/>
                <w:noProof/>
              </w:rPr>
              <w:t xml:space="preserve"> </w:t>
            </w:r>
            <w:r w:rsidRPr="00CB20F5">
              <w:rPr>
                <w:rStyle w:val="Hyperlink"/>
                <w:rFonts w:eastAsia="Franklin Gothic Book"/>
                <w:b/>
                <w:bCs/>
                <w:noProof/>
                <w:lang w:eastAsia="en-GB"/>
              </w:rPr>
              <w:drawing>
                <wp:inline distT="0" distB="0" distL="0" distR="0" wp14:anchorId="7C2F8971" wp14:editId="46B8A80A">
                  <wp:extent cx="133350" cy="133350"/>
                  <wp:effectExtent l="0" t="0" r="0" b="0"/>
                  <wp:docPr id="92227222" name="Picture 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ic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_Toc220103511 \h </w:instrText>
            </w:r>
            <w:r>
              <w:rPr>
                <w:noProof/>
                <w:webHidden/>
              </w:rPr>
            </w:r>
            <w:r>
              <w:rPr>
                <w:noProof/>
                <w:webHidden/>
              </w:rPr>
              <w:fldChar w:fldCharType="separate"/>
            </w:r>
            <w:r w:rsidR="00E270A7">
              <w:rPr>
                <w:noProof/>
                <w:webHidden/>
              </w:rPr>
              <w:t>61</w:t>
            </w:r>
            <w:r>
              <w:rPr>
                <w:noProof/>
                <w:webHidden/>
              </w:rPr>
              <w:fldChar w:fldCharType="end"/>
            </w:r>
          </w:hyperlink>
        </w:p>
        <w:p w14:paraId="617F11D7" w14:textId="253CC555"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12" w:history="1">
            <w:r w:rsidRPr="00CB20F5">
              <w:rPr>
                <w:rStyle w:val="Hyperlink"/>
                <w:rFonts w:eastAsiaTheme="majorEastAsia"/>
                <w:i/>
                <w:iCs/>
                <w:noProof/>
              </w:rPr>
              <w:t>Australia</w:t>
            </w:r>
            <w:r w:rsidRPr="00CB20F5">
              <w:rPr>
                <w:rStyle w:val="Hyperlink"/>
                <w:noProof/>
              </w:rPr>
              <w:t xml:space="preserve"> </w:t>
            </w:r>
            <w:r w:rsidRPr="00CB20F5">
              <w:rPr>
                <w:rStyle w:val="Hyperlink"/>
                <w:rFonts w:eastAsia="Franklin Gothic Book"/>
                <w:b/>
                <w:bCs/>
                <w:noProof/>
                <w:lang w:eastAsia="en-GB"/>
              </w:rPr>
              <w:drawing>
                <wp:inline distT="0" distB="0" distL="0" distR="0" wp14:anchorId="3513685E" wp14:editId="4497A4BB">
                  <wp:extent cx="140400" cy="140400"/>
                  <wp:effectExtent l="0" t="0" r="0" b="0"/>
                  <wp:docPr id="1715472313" name="Picture 1" descr="A flag of australia with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0133" name="Picture 1" descr="A flag of australia with stars&#10;&#10;AI-generated content may be incorrect."/>
                          <pic:cNvPicPr/>
                        </pic:nvPicPr>
                        <pic:blipFill>
                          <a:blip r:embed="rId25"/>
                          <a:stretch>
                            <a:fillRect/>
                          </a:stretch>
                        </pic:blipFill>
                        <pic:spPr>
                          <a:xfrm>
                            <a:off x="0" y="0"/>
                            <a:ext cx="140400" cy="140400"/>
                          </a:xfrm>
                          <a:prstGeom prst="rect">
                            <a:avLst/>
                          </a:prstGeom>
                        </pic:spPr>
                      </pic:pic>
                    </a:graphicData>
                  </a:graphic>
                </wp:inline>
              </w:drawing>
            </w:r>
            <w:r>
              <w:rPr>
                <w:noProof/>
                <w:webHidden/>
              </w:rPr>
              <w:tab/>
            </w:r>
            <w:r>
              <w:rPr>
                <w:noProof/>
                <w:webHidden/>
              </w:rPr>
              <w:fldChar w:fldCharType="begin"/>
            </w:r>
            <w:r>
              <w:rPr>
                <w:noProof/>
                <w:webHidden/>
              </w:rPr>
              <w:instrText xml:space="preserve"> PAGEREF _Toc220103512 \h </w:instrText>
            </w:r>
            <w:r>
              <w:rPr>
                <w:noProof/>
                <w:webHidden/>
              </w:rPr>
            </w:r>
            <w:r>
              <w:rPr>
                <w:noProof/>
                <w:webHidden/>
              </w:rPr>
              <w:fldChar w:fldCharType="separate"/>
            </w:r>
            <w:r w:rsidR="00E270A7">
              <w:rPr>
                <w:noProof/>
                <w:webHidden/>
              </w:rPr>
              <w:t>62</w:t>
            </w:r>
            <w:r>
              <w:rPr>
                <w:noProof/>
                <w:webHidden/>
              </w:rPr>
              <w:fldChar w:fldCharType="end"/>
            </w:r>
          </w:hyperlink>
        </w:p>
        <w:p w14:paraId="62DC4191" w14:textId="53BA5CB5"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13" w:history="1">
            <w:r w:rsidRPr="00CB20F5">
              <w:rPr>
                <w:rStyle w:val="Hyperlink"/>
                <w:rFonts w:eastAsiaTheme="majorEastAsia"/>
                <w:i/>
                <w:iCs/>
                <w:noProof/>
              </w:rPr>
              <w:t>India</w:t>
            </w:r>
            <w:r w:rsidRPr="00CB20F5">
              <w:rPr>
                <w:rStyle w:val="Hyperlink"/>
                <w:noProof/>
              </w:rPr>
              <w:t xml:space="preserve"> </w:t>
            </w:r>
            <w:r w:rsidRPr="00CB20F5">
              <w:rPr>
                <w:rStyle w:val="Hyperlink"/>
                <w:b/>
                <w:bCs/>
                <w:noProof/>
                <w:lang w:eastAsia="en-GB"/>
              </w:rPr>
              <w:drawing>
                <wp:inline distT="0" distB="0" distL="0" distR="0" wp14:anchorId="089777D3" wp14:editId="35DC7D9E">
                  <wp:extent cx="129540" cy="129540"/>
                  <wp:effectExtent l="0" t="0" r="3810" b="3810"/>
                  <wp:docPr id="16516327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_Toc220103513 \h </w:instrText>
            </w:r>
            <w:r>
              <w:rPr>
                <w:noProof/>
                <w:webHidden/>
              </w:rPr>
            </w:r>
            <w:r>
              <w:rPr>
                <w:noProof/>
                <w:webHidden/>
              </w:rPr>
              <w:fldChar w:fldCharType="separate"/>
            </w:r>
            <w:r w:rsidR="00E270A7">
              <w:rPr>
                <w:noProof/>
                <w:webHidden/>
              </w:rPr>
              <w:t>62</w:t>
            </w:r>
            <w:r>
              <w:rPr>
                <w:noProof/>
                <w:webHidden/>
              </w:rPr>
              <w:fldChar w:fldCharType="end"/>
            </w:r>
          </w:hyperlink>
        </w:p>
        <w:p w14:paraId="36CC370F" w14:textId="5E8CCD83"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14" w:history="1">
            <w:r w:rsidRPr="00CB20F5">
              <w:rPr>
                <w:rStyle w:val="Hyperlink"/>
                <w:rFonts w:eastAsiaTheme="majorEastAsia"/>
                <w:i/>
                <w:iCs/>
                <w:noProof/>
              </w:rPr>
              <w:t>Japan</w:t>
            </w:r>
            <w:r w:rsidRPr="00CB20F5">
              <w:rPr>
                <w:rStyle w:val="Hyperlink"/>
                <w:noProof/>
              </w:rPr>
              <w:t xml:space="preserve"> </w:t>
            </w:r>
            <w:r w:rsidRPr="00CB20F5">
              <w:rPr>
                <w:rStyle w:val="Hyperlink"/>
                <w:b/>
                <w:bCs/>
                <w:noProof/>
                <w:lang w:eastAsia="en-GB"/>
              </w:rPr>
              <w:drawing>
                <wp:inline distT="0" distB="0" distL="0" distR="0" wp14:anchorId="66CBF76E" wp14:editId="39E0196B">
                  <wp:extent cx="146050" cy="146050"/>
                  <wp:effectExtent l="0" t="0" r="6350" b="6350"/>
                  <wp:docPr id="13142866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_Toc220103514 \h </w:instrText>
            </w:r>
            <w:r>
              <w:rPr>
                <w:noProof/>
                <w:webHidden/>
              </w:rPr>
            </w:r>
            <w:r>
              <w:rPr>
                <w:noProof/>
                <w:webHidden/>
              </w:rPr>
              <w:fldChar w:fldCharType="separate"/>
            </w:r>
            <w:r w:rsidR="00E270A7">
              <w:rPr>
                <w:noProof/>
                <w:webHidden/>
              </w:rPr>
              <w:t>63</w:t>
            </w:r>
            <w:r>
              <w:rPr>
                <w:noProof/>
                <w:webHidden/>
              </w:rPr>
              <w:fldChar w:fldCharType="end"/>
            </w:r>
          </w:hyperlink>
        </w:p>
        <w:p w14:paraId="53691D0E" w14:textId="6B0C31E4"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15" w:history="1">
            <w:r w:rsidRPr="00CB20F5">
              <w:rPr>
                <w:rStyle w:val="Hyperlink"/>
                <w:rFonts w:eastAsiaTheme="majorEastAsia"/>
                <w:i/>
                <w:iCs/>
                <w:noProof/>
              </w:rPr>
              <w:t>Republic of Korea</w:t>
            </w:r>
            <w:r w:rsidRPr="00CB20F5">
              <w:rPr>
                <w:rStyle w:val="Hyperlink"/>
                <w:noProof/>
              </w:rPr>
              <w:t xml:space="preserve"> </w:t>
            </w:r>
            <w:r w:rsidRPr="00CB20F5">
              <w:rPr>
                <w:rStyle w:val="Hyperlink"/>
                <w:b/>
                <w:bCs/>
                <w:noProof/>
                <w:lang w:eastAsia="en-GB"/>
              </w:rPr>
              <w:drawing>
                <wp:inline distT="0" distB="0" distL="0" distR="0" wp14:anchorId="653BEB45" wp14:editId="46BDA842">
                  <wp:extent cx="133350" cy="133350"/>
                  <wp:effectExtent l="0" t="0" r="0" b="0"/>
                  <wp:docPr id="14034947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Pr>
                <w:noProof/>
                <w:webHidden/>
              </w:rPr>
              <w:tab/>
            </w:r>
            <w:r>
              <w:rPr>
                <w:noProof/>
                <w:webHidden/>
              </w:rPr>
              <w:fldChar w:fldCharType="begin"/>
            </w:r>
            <w:r>
              <w:rPr>
                <w:noProof/>
                <w:webHidden/>
              </w:rPr>
              <w:instrText xml:space="preserve"> PAGEREF _Toc220103515 \h </w:instrText>
            </w:r>
            <w:r>
              <w:rPr>
                <w:noProof/>
                <w:webHidden/>
              </w:rPr>
            </w:r>
            <w:r>
              <w:rPr>
                <w:noProof/>
                <w:webHidden/>
              </w:rPr>
              <w:fldChar w:fldCharType="separate"/>
            </w:r>
            <w:r w:rsidR="00E270A7">
              <w:rPr>
                <w:noProof/>
                <w:webHidden/>
              </w:rPr>
              <w:t>63</w:t>
            </w:r>
            <w:r>
              <w:rPr>
                <w:noProof/>
                <w:webHidden/>
              </w:rPr>
              <w:fldChar w:fldCharType="end"/>
            </w:r>
          </w:hyperlink>
        </w:p>
        <w:p w14:paraId="028C7D6D" w14:textId="12BD516C" w:rsidR="00626D35" w:rsidRDefault="00626D35">
          <w:pPr>
            <w:pStyle w:val="TOC4"/>
            <w:rPr>
              <w:rFonts w:asciiTheme="minorHAnsi" w:eastAsiaTheme="minorEastAsia" w:hAnsiTheme="minorHAnsi" w:cstheme="minorBidi"/>
              <w:noProof/>
              <w:kern w:val="2"/>
              <w:sz w:val="24"/>
              <w:szCs w:val="24"/>
              <w:lang w:val="en-IE" w:eastAsia="en-IE"/>
              <w14:ligatures w14:val="standardContextual"/>
            </w:rPr>
          </w:pPr>
          <w:hyperlink w:anchor="_Toc220103516" w:history="1">
            <w:r w:rsidRPr="00CB20F5">
              <w:rPr>
                <w:rStyle w:val="Hyperlink"/>
                <w:rFonts w:eastAsiaTheme="majorEastAsia"/>
                <w:i/>
                <w:iCs/>
                <w:noProof/>
              </w:rPr>
              <w:t xml:space="preserve">Vietnam </w:t>
            </w:r>
            <w:r w:rsidRPr="00CB20F5">
              <w:rPr>
                <w:rStyle w:val="Hyperlink"/>
                <w:rFonts w:eastAsia="Franklin Gothic Book"/>
                <w:b/>
                <w:bCs/>
                <w:noProof/>
                <w:lang w:eastAsia="en-GB"/>
              </w:rPr>
              <mc:AlternateContent>
                <mc:Choice Requires="wps">
                  <w:drawing>
                    <wp:inline distT="0" distB="0" distL="0" distR="0" wp14:anchorId="74ECBEEB" wp14:editId="393BC12C">
                      <wp:extent cx="147711" cy="138093"/>
                      <wp:effectExtent l="0" t="0" r="5080" b="0"/>
                      <wp:docPr id="1692875561"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34"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TxlNq2oEAABqBA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" w14:anchorId="71A2AA77">
                      <v:fill type="frame" o:title="" recolor="t" rotate="t" r:id="rId35"/>
                      <v:stroke joinstyle="miter"/>
                      <w10:anchorlock/>
                    </v:oval>
                  </w:pict>
                </mc:Fallback>
              </mc:AlternateContent>
            </w:r>
            <w:r>
              <w:rPr>
                <w:noProof/>
                <w:webHidden/>
              </w:rPr>
              <w:tab/>
            </w:r>
            <w:r>
              <w:rPr>
                <w:noProof/>
                <w:webHidden/>
              </w:rPr>
              <w:fldChar w:fldCharType="begin"/>
            </w:r>
            <w:r>
              <w:rPr>
                <w:noProof/>
                <w:webHidden/>
              </w:rPr>
              <w:instrText xml:space="preserve"> PAGEREF _Toc220103516 \h </w:instrText>
            </w:r>
            <w:r>
              <w:rPr>
                <w:noProof/>
                <w:webHidden/>
              </w:rPr>
            </w:r>
            <w:r>
              <w:rPr>
                <w:noProof/>
                <w:webHidden/>
              </w:rPr>
              <w:fldChar w:fldCharType="separate"/>
            </w:r>
            <w:r w:rsidR="00E270A7">
              <w:rPr>
                <w:noProof/>
                <w:webHidden/>
              </w:rPr>
              <w:t>63</w:t>
            </w:r>
            <w:r>
              <w:rPr>
                <w:noProof/>
                <w:webHidden/>
              </w:rPr>
              <w:fldChar w:fldCharType="end"/>
            </w:r>
          </w:hyperlink>
        </w:p>
        <w:p w14:paraId="62B4822E" w14:textId="28A0EAEC" w:rsidR="00626D35" w:rsidRDefault="00626D35">
          <w:pPr>
            <w:pStyle w:val="TOC3"/>
            <w:rPr>
              <w:rFonts w:asciiTheme="minorHAnsi" w:eastAsiaTheme="minorEastAsia" w:hAnsiTheme="minorHAnsi" w:cstheme="minorBidi"/>
              <w:b w:val="0"/>
              <w:kern w:val="2"/>
              <w:sz w:val="24"/>
              <w:szCs w:val="24"/>
              <w:lang w:val="en-IE" w:eastAsia="en-IE"/>
              <w14:ligatures w14:val="standardContextual"/>
            </w:rPr>
          </w:pPr>
          <w:hyperlink w:anchor="_Toc220103517" w:history="1">
            <w:r w:rsidRPr="00CB20F5">
              <w:rPr>
                <w:rStyle w:val="Hyperlink"/>
                <w:bCs/>
              </w:rPr>
              <w:t>PLURILATERAL AND MULTILATERAL PARTNERSHIPS</w:t>
            </w:r>
            <w:r>
              <w:rPr>
                <w:webHidden/>
              </w:rPr>
              <w:tab/>
            </w:r>
            <w:r>
              <w:rPr>
                <w:webHidden/>
              </w:rPr>
              <w:fldChar w:fldCharType="begin"/>
            </w:r>
            <w:r>
              <w:rPr>
                <w:webHidden/>
              </w:rPr>
              <w:instrText xml:space="preserve"> PAGEREF _Toc220103517 \h </w:instrText>
            </w:r>
            <w:r>
              <w:rPr>
                <w:webHidden/>
              </w:rPr>
            </w:r>
            <w:r>
              <w:rPr>
                <w:webHidden/>
              </w:rPr>
              <w:fldChar w:fldCharType="separate"/>
            </w:r>
            <w:r w:rsidR="00E270A7">
              <w:rPr>
                <w:webHidden/>
              </w:rPr>
              <w:t>6</w:t>
            </w:r>
            <w:r w:rsidR="00E270A7">
              <w:rPr>
                <w:webHidden/>
              </w:rPr>
              <w:t>3</w:t>
            </w:r>
            <w:r>
              <w:rPr>
                <w:webHidden/>
              </w:rPr>
              <w:fldChar w:fldCharType="end"/>
            </w:r>
          </w:hyperlink>
        </w:p>
        <w:p w14:paraId="43EDDCDE" w14:textId="38912DB2" w:rsidR="000250FA" w:rsidRPr="00486446" w:rsidRDefault="00965CE1" w:rsidP="0023125A">
          <w:pPr>
            <w:rPr>
              <w:rFonts w:ascii="Times New Roman" w:hAnsi="Times New Roman" w:cs="Times New Roman"/>
              <w:noProof/>
            </w:rPr>
          </w:pPr>
          <w:r>
            <w:rPr>
              <w:rFonts w:ascii="Times New Roman" w:eastAsia="MS Mincho" w:hAnsi="Times New Roman" w:cs="Times New Roman"/>
              <w:b/>
              <w:bCs/>
              <w:i/>
              <w:iCs/>
              <w:noProof/>
              <w:kern w:val="0"/>
              <w:sz w:val="24"/>
              <w:szCs w:val="24"/>
              <w:lang w:val="en-US"/>
            </w:rPr>
            <w:fldChar w:fldCharType="end"/>
          </w:r>
        </w:p>
      </w:sdtContent>
    </w:sdt>
    <w:p w14:paraId="2BD78B08" w14:textId="77777777" w:rsidR="00361CF6" w:rsidRPr="00695D79" w:rsidRDefault="00361CF6" w:rsidP="00534A41">
      <w:pPr>
        <w:rPr>
          <w:rFonts w:ascii="Times New Roman" w:hAnsi="Times New Roman" w:cs="Times New Roman"/>
          <w:b/>
          <w:noProof/>
          <w:sz w:val="28"/>
          <w:szCs w:val="28"/>
          <w:lang w:val="en-IE"/>
        </w:rPr>
      </w:pPr>
    </w:p>
    <w:p w14:paraId="05F22294" w14:textId="45C16327" w:rsidR="0039317A" w:rsidRPr="00695D79" w:rsidRDefault="0039317A" w:rsidP="00534A41">
      <w:pPr>
        <w:rPr>
          <w:rFonts w:ascii="Times New Roman" w:hAnsi="Times New Roman" w:cs="Times New Roman"/>
          <w:b/>
          <w:noProof/>
          <w:sz w:val="28"/>
          <w:szCs w:val="28"/>
          <w:lang w:val="en-IE"/>
        </w:rPr>
      </w:pPr>
    </w:p>
    <w:p w14:paraId="7444DC8F" w14:textId="77777777" w:rsidR="0039317A" w:rsidRPr="00486446" w:rsidRDefault="0039317A" w:rsidP="00534A41">
      <w:pPr>
        <w:rPr>
          <w:rFonts w:ascii="Times New Roman" w:hAnsi="Times New Roman" w:cs="Times New Roman"/>
          <w:noProof/>
          <w:lang w:val="en-IE"/>
        </w:rPr>
      </w:pPr>
    </w:p>
    <w:p w14:paraId="319D2264" w14:textId="77777777" w:rsidR="00534A41" w:rsidRPr="00486446" w:rsidRDefault="00534A41" w:rsidP="00534A41">
      <w:pPr>
        <w:rPr>
          <w:rFonts w:ascii="Times New Roman" w:hAnsi="Times New Roman" w:cs="Times New Roman"/>
          <w:noProof/>
          <w:lang w:val="en-IE"/>
        </w:rPr>
      </w:pPr>
    </w:p>
    <w:p w14:paraId="09EFE1DA" w14:textId="6B98EA6F" w:rsidR="001061A5" w:rsidRPr="00486446" w:rsidRDefault="001061A5" w:rsidP="006C6DB2">
      <w:pPr>
        <w:pStyle w:val="Style7"/>
        <w:rPr>
          <w:b w:val="0"/>
          <w:bCs/>
          <w:noProof/>
          <w:lang w:val="en-IE"/>
        </w:rPr>
      </w:pPr>
      <w:bookmarkStart w:id="1" w:name="_Toc183515518"/>
      <w:bookmarkStart w:id="2" w:name="_Toc185237868"/>
      <w:bookmarkStart w:id="3" w:name="_Toc185239871"/>
    </w:p>
    <w:bookmarkEnd w:id="1"/>
    <w:bookmarkEnd w:id="2"/>
    <w:bookmarkEnd w:id="3"/>
    <w:p w14:paraId="4F894EF6" w14:textId="77777777" w:rsidR="00534A41" w:rsidRPr="00486446" w:rsidRDefault="00534A41">
      <w:pPr>
        <w:suppressAutoHyphens w:val="0"/>
        <w:rPr>
          <w:rFonts w:ascii="Times New Roman" w:hAnsi="Times New Roman" w:cs="Times New Roman"/>
          <w:b/>
          <w:noProof/>
          <w:sz w:val="24"/>
          <w:szCs w:val="32"/>
          <w:lang w:val="en-IE"/>
        </w:rPr>
      </w:pPr>
      <w:r w:rsidRPr="00486446">
        <w:rPr>
          <w:rFonts w:ascii="Times New Roman" w:hAnsi="Times New Roman" w:cs="Times New Roman"/>
          <w:noProof/>
          <w:sz w:val="24"/>
          <w:szCs w:val="32"/>
        </w:rPr>
        <w:br w:type="page"/>
      </w:r>
    </w:p>
    <w:p w14:paraId="24A27C71" w14:textId="77777777" w:rsidR="00E96CBC" w:rsidRPr="00E9362C" w:rsidRDefault="00E96CBC" w:rsidP="0065549F">
      <w:pPr>
        <w:pStyle w:val="Heading1"/>
        <w:spacing w:before="0" w:after="160" w:line="250" w:lineRule="auto"/>
        <w:rPr>
          <w:rFonts w:ascii="Times New Roman" w:hAnsi="Times New Roman"/>
          <w:b/>
          <w:bCs/>
          <w:noProof/>
          <w:color w:val="auto"/>
          <w:sz w:val="28"/>
          <w:szCs w:val="28"/>
          <w:lang w:val="en-IE"/>
        </w:rPr>
      </w:pPr>
      <w:bookmarkStart w:id="4" w:name="_Toc220103432"/>
      <w:r w:rsidRPr="00E9362C">
        <w:rPr>
          <w:rFonts w:ascii="Times New Roman" w:hAnsi="Times New Roman"/>
          <w:b/>
          <w:bCs/>
          <w:noProof/>
          <w:color w:val="auto"/>
          <w:sz w:val="28"/>
          <w:szCs w:val="28"/>
          <w:lang w:val="en-IE"/>
        </w:rPr>
        <w:t>Annex 1</w:t>
      </w:r>
      <w:bookmarkEnd w:id="4"/>
    </w:p>
    <w:p w14:paraId="04615099" w14:textId="4C0284B8" w:rsidR="00B17014" w:rsidRPr="0065549F" w:rsidRDefault="00E96CBC" w:rsidP="0065549F">
      <w:pPr>
        <w:pStyle w:val="Heading1"/>
        <w:spacing w:before="0" w:after="160" w:line="250" w:lineRule="auto"/>
        <w:rPr>
          <w:rFonts w:ascii="Times New Roman" w:hAnsi="Times New Roman"/>
          <w:b/>
          <w:bCs/>
          <w:noProof/>
          <w:sz w:val="28"/>
          <w:szCs w:val="28"/>
          <w:lang w:val="en-IE"/>
        </w:rPr>
      </w:pPr>
      <w:bookmarkStart w:id="5" w:name="_Toc220103433"/>
      <w:r w:rsidRPr="00E9362C">
        <w:rPr>
          <w:rFonts w:ascii="Times New Roman" w:hAnsi="Times New Roman"/>
          <w:b/>
          <w:bCs/>
          <w:noProof/>
          <w:color w:val="auto"/>
          <w:sz w:val="28"/>
          <w:szCs w:val="28"/>
          <w:lang w:val="en-IE"/>
        </w:rPr>
        <w:t>Key performance indicators</w:t>
      </w:r>
      <w:r w:rsidR="00561165" w:rsidRPr="00E9362C">
        <w:rPr>
          <w:rFonts w:ascii="Times New Roman" w:hAnsi="Times New Roman"/>
          <w:b/>
          <w:bCs/>
          <w:noProof/>
          <w:color w:val="auto"/>
          <w:sz w:val="28"/>
          <w:szCs w:val="28"/>
          <w:lang w:val="en-IE"/>
        </w:rPr>
        <w:t xml:space="preserve"> (KPIs)</w:t>
      </w:r>
      <w:bookmarkEnd w:id="5"/>
    </w:p>
    <w:p w14:paraId="11E85B07" w14:textId="6FABAE9A" w:rsidR="00361CF6" w:rsidRPr="0065549F" w:rsidRDefault="001870FB" w:rsidP="006E0577">
      <w:pPr>
        <w:spacing w:after="160" w:line="250" w:lineRule="auto"/>
        <w:rPr>
          <w:rFonts w:ascii="Times New Roman" w:hAnsi="Times New Roman"/>
          <w:b/>
          <w:noProof/>
          <w:sz w:val="24"/>
          <w:szCs w:val="24"/>
          <w:lang w:val="en-IE"/>
        </w:rPr>
      </w:pPr>
      <w:r w:rsidRPr="00A13648">
        <w:rPr>
          <w:rFonts w:ascii="Times New Roman" w:hAnsi="Times New Roman" w:cs="Times New Roman"/>
          <w:b/>
          <w:noProof/>
          <w:sz w:val="24"/>
          <w:szCs w:val="24"/>
          <w:lang w:val="en-IE"/>
        </w:rPr>
        <w:t>Table 1: Summary of KPIs</w:t>
      </w:r>
      <w:r w:rsidR="009B011C">
        <w:rPr>
          <w:rStyle w:val="FootnoteReference"/>
          <w:rFonts w:ascii="Times New Roman" w:hAnsi="Times New Roman" w:cs="Times New Roman"/>
          <w:b/>
          <w:bCs/>
          <w:noProof/>
          <w:sz w:val="24"/>
          <w:szCs w:val="24"/>
          <w:lang w:val="en-IE"/>
        </w:rPr>
        <w:footnoteReference w:id="2"/>
      </w:r>
    </w:p>
    <w:tbl>
      <w:tblPr>
        <w:tblStyle w:val="TableGrid"/>
        <w:tblW w:w="0" w:type="auto"/>
        <w:tblLook w:val="04A0" w:firstRow="1" w:lastRow="0" w:firstColumn="1" w:lastColumn="0" w:noHBand="0" w:noVBand="1"/>
      </w:tblPr>
      <w:tblGrid>
        <w:gridCol w:w="916"/>
        <w:gridCol w:w="2481"/>
        <w:gridCol w:w="1418"/>
        <w:gridCol w:w="2268"/>
        <w:gridCol w:w="1843"/>
      </w:tblGrid>
      <w:tr w:rsidR="00E4338A" w14:paraId="45AE8933" w14:textId="516739A2" w:rsidTr="00782F8D">
        <w:tc>
          <w:tcPr>
            <w:tcW w:w="916" w:type="dxa"/>
            <w:shd w:val="clear" w:color="auto" w:fill="B8CCE4"/>
          </w:tcPr>
          <w:p w14:paraId="1D633B8C" w14:textId="5378AF53" w:rsidR="00E4338A" w:rsidRPr="0065549F" w:rsidRDefault="00E4338A" w:rsidP="00175C03">
            <w:pPr>
              <w:jc w:val="center"/>
              <w:textAlignment w:val="baseline"/>
              <w:rPr>
                <w:rFonts w:ascii="Times New Roman" w:eastAsia="Times New Roman" w:hAnsi="Times New Roman" w:cs="Times New Roman"/>
                <w:b/>
                <w:bCs/>
                <w:noProof/>
                <w:kern w:val="0"/>
                <w:sz w:val="20"/>
                <w:szCs w:val="20"/>
                <w:lang w:eastAsia="en-IE"/>
              </w:rPr>
            </w:pPr>
            <w:r w:rsidRPr="0065549F">
              <w:rPr>
                <w:rFonts w:ascii="Times New Roman" w:eastAsia="Times New Roman" w:hAnsi="Times New Roman" w:cs="Times New Roman"/>
                <w:b/>
                <w:bCs/>
                <w:noProof/>
                <w:kern w:val="0"/>
                <w:sz w:val="20"/>
                <w:szCs w:val="20"/>
                <w:lang w:eastAsia="en-IE"/>
              </w:rPr>
              <w:t>Legend</w:t>
            </w:r>
            <w:r>
              <w:rPr>
                <w:rFonts w:ascii="Times New Roman" w:eastAsia="Times New Roman" w:hAnsi="Times New Roman" w:cs="Times New Roman"/>
                <w:b/>
                <w:bCs/>
                <w:noProof/>
                <w:kern w:val="0"/>
                <w:sz w:val="20"/>
                <w:szCs w:val="20"/>
                <w:lang w:eastAsia="en-IE"/>
              </w:rPr>
              <w:t>:</w:t>
            </w:r>
          </w:p>
        </w:tc>
        <w:tc>
          <w:tcPr>
            <w:tcW w:w="2481" w:type="dxa"/>
            <w:shd w:val="clear" w:color="auto" w:fill="C5E0B3"/>
          </w:tcPr>
          <w:p w14:paraId="27567410" w14:textId="2BA96A64" w:rsidR="00E4338A" w:rsidRPr="0065549F" w:rsidRDefault="00E4338A" w:rsidP="0065549F">
            <w:pPr>
              <w:jc w:val="center"/>
              <w:textAlignment w:val="baseline"/>
              <w:rPr>
                <w:rFonts w:ascii="Times New Roman" w:eastAsia="Times New Roman" w:hAnsi="Times New Roman" w:cs="Times New Roman"/>
                <w:noProof/>
                <w:kern w:val="0"/>
                <w:sz w:val="20"/>
                <w:szCs w:val="20"/>
                <w:lang w:eastAsia="en-IE"/>
              </w:rPr>
            </w:pPr>
            <w:r w:rsidRPr="0065549F">
              <w:rPr>
                <w:rFonts w:ascii="Times New Roman" w:eastAsia="Times New Roman" w:hAnsi="Times New Roman" w:cs="Times New Roman"/>
                <w:noProof/>
                <w:kern w:val="0"/>
                <w:sz w:val="20"/>
                <w:szCs w:val="20"/>
                <w:lang w:eastAsia="en-IE"/>
              </w:rPr>
              <w:t>Improvement year-on-year</w:t>
            </w:r>
          </w:p>
        </w:tc>
        <w:tc>
          <w:tcPr>
            <w:tcW w:w="1418" w:type="dxa"/>
            <w:shd w:val="clear" w:color="auto" w:fill="F6FA84"/>
          </w:tcPr>
          <w:p w14:paraId="3AAF62D4" w14:textId="51B98C66" w:rsidR="00E4338A" w:rsidRPr="0065549F" w:rsidRDefault="00E4338A" w:rsidP="0065549F">
            <w:pPr>
              <w:jc w:val="center"/>
              <w:textAlignment w:val="baseline"/>
              <w:rPr>
                <w:rFonts w:ascii="Times New Roman" w:eastAsia="Times New Roman" w:hAnsi="Times New Roman" w:cs="Times New Roman"/>
                <w:noProof/>
                <w:kern w:val="0"/>
                <w:sz w:val="20"/>
                <w:szCs w:val="20"/>
                <w:lang w:eastAsia="en-IE"/>
              </w:rPr>
            </w:pPr>
            <w:r>
              <w:rPr>
                <w:rFonts w:ascii="Times New Roman" w:eastAsia="Times New Roman" w:hAnsi="Times New Roman" w:cs="Times New Roman"/>
                <w:noProof/>
                <w:kern w:val="0"/>
                <w:sz w:val="20"/>
                <w:szCs w:val="20"/>
                <w:lang w:eastAsia="en-IE"/>
              </w:rPr>
              <w:t>Stab</w:t>
            </w:r>
            <w:r w:rsidR="00935062">
              <w:rPr>
                <w:rFonts w:ascii="Times New Roman" w:eastAsia="Times New Roman" w:hAnsi="Times New Roman" w:cs="Times New Roman"/>
                <w:noProof/>
                <w:kern w:val="0"/>
                <w:sz w:val="20"/>
                <w:szCs w:val="20"/>
                <w:lang w:eastAsia="en-IE"/>
              </w:rPr>
              <w:t>le</w:t>
            </w:r>
          </w:p>
        </w:tc>
        <w:tc>
          <w:tcPr>
            <w:tcW w:w="2268" w:type="dxa"/>
            <w:shd w:val="clear" w:color="auto" w:fill="F4B083"/>
          </w:tcPr>
          <w:p w14:paraId="756F30C2" w14:textId="2DC45FF0" w:rsidR="00E4338A" w:rsidRPr="0065549F" w:rsidRDefault="00E4338A" w:rsidP="0065549F">
            <w:pPr>
              <w:jc w:val="center"/>
              <w:textAlignment w:val="baseline"/>
              <w:rPr>
                <w:rFonts w:ascii="Times New Roman" w:eastAsia="Times New Roman" w:hAnsi="Times New Roman" w:cs="Times New Roman"/>
                <w:noProof/>
                <w:kern w:val="0"/>
                <w:sz w:val="20"/>
                <w:szCs w:val="20"/>
                <w:lang w:eastAsia="en-IE"/>
              </w:rPr>
            </w:pPr>
            <w:r>
              <w:rPr>
                <w:rFonts w:ascii="Times New Roman" w:eastAsia="Times New Roman" w:hAnsi="Times New Roman" w:cs="Times New Roman"/>
                <w:noProof/>
                <w:kern w:val="0"/>
                <w:sz w:val="20"/>
                <w:szCs w:val="20"/>
                <w:lang w:eastAsia="en-IE"/>
              </w:rPr>
              <w:t>Worsening year-on</w:t>
            </w:r>
            <w:r w:rsidR="00AF5CD4">
              <w:rPr>
                <w:rFonts w:ascii="Times New Roman" w:eastAsia="Times New Roman" w:hAnsi="Times New Roman" w:cs="Times New Roman"/>
                <w:noProof/>
                <w:kern w:val="0"/>
                <w:sz w:val="20"/>
                <w:szCs w:val="20"/>
                <w:lang w:eastAsia="en-IE"/>
              </w:rPr>
              <w:t>-</w:t>
            </w:r>
            <w:r>
              <w:rPr>
                <w:rFonts w:ascii="Times New Roman" w:eastAsia="Times New Roman" w:hAnsi="Times New Roman" w:cs="Times New Roman"/>
                <w:noProof/>
                <w:kern w:val="0"/>
                <w:sz w:val="20"/>
                <w:szCs w:val="20"/>
                <w:lang w:eastAsia="en-IE"/>
              </w:rPr>
              <w:t>year</w:t>
            </w:r>
          </w:p>
        </w:tc>
        <w:tc>
          <w:tcPr>
            <w:tcW w:w="1843" w:type="dxa"/>
            <w:shd w:val="clear" w:color="auto" w:fill="FFFFFF" w:themeFill="background1"/>
          </w:tcPr>
          <w:p w14:paraId="7FA01A09" w14:textId="2F5D39FB" w:rsidR="00E4338A" w:rsidRDefault="00F97145" w:rsidP="0065549F">
            <w:pPr>
              <w:jc w:val="center"/>
              <w:textAlignment w:val="baseline"/>
              <w:rPr>
                <w:rFonts w:ascii="Times New Roman" w:eastAsia="Times New Roman" w:hAnsi="Times New Roman" w:cs="Times New Roman"/>
                <w:noProof/>
                <w:kern w:val="0"/>
                <w:sz w:val="20"/>
                <w:szCs w:val="20"/>
                <w:lang w:eastAsia="en-IE"/>
              </w:rPr>
            </w:pPr>
            <w:r>
              <w:rPr>
                <w:rFonts w:ascii="Times New Roman" w:eastAsia="Times New Roman" w:hAnsi="Times New Roman" w:cs="Times New Roman"/>
                <w:noProof/>
                <w:kern w:val="0"/>
                <w:sz w:val="20"/>
                <w:szCs w:val="20"/>
                <w:lang w:eastAsia="en-IE"/>
              </w:rPr>
              <w:t>S</w:t>
            </w:r>
            <w:r w:rsidRPr="00F97145">
              <w:rPr>
                <w:rFonts w:ascii="Times New Roman" w:eastAsia="Times New Roman" w:hAnsi="Times New Roman" w:cs="Times New Roman"/>
                <w:noProof/>
                <w:kern w:val="0"/>
                <w:sz w:val="20"/>
                <w:szCs w:val="20"/>
                <w:lang w:eastAsia="en-IE"/>
              </w:rPr>
              <w:t>ingle observation</w:t>
            </w:r>
          </w:p>
        </w:tc>
      </w:tr>
    </w:tbl>
    <w:p w14:paraId="3EE6A8BC" w14:textId="77777777" w:rsidR="00D3049F" w:rsidRPr="00FD0882" w:rsidRDefault="00D3049F" w:rsidP="00FD0882">
      <w:pPr>
        <w:spacing w:after="0"/>
        <w:rPr>
          <w:rFonts w:ascii="Times New Roman" w:hAnsi="Times New Roman" w:cs="Times New Roman"/>
          <w:b/>
          <w:noProof/>
          <w:sz w:val="16"/>
          <w:szCs w:val="16"/>
          <w:lang w:val="en-IE"/>
        </w:rPr>
      </w:pP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5"/>
        <w:gridCol w:w="3989"/>
        <w:gridCol w:w="2591"/>
      </w:tblGrid>
      <w:tr w:rsidR="00486446" w:rsidRPr="00486446" w14:paraId="47CB9BC0"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7BF2AE53" w14:textId="77777777" w:rsidR="0048336D" w:rsidRPr="0065549F"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65549F">
              <w:rPr>
                <w:rFonts w:ascii="Times New Roman" w:eastAsia="Times New Roman" w:hAnsi="Times New Roman" w:cs="Times New Roman"/>
                <w:b/>
                <w:noProof/>
                <w:kern w:val="0"/>
                <w:sz w:val="20"/>
                <w:szCs w:val="20"/>
                <w:lang w:eastAsia="en-IE"/>
              </w:rPr>
              <w:t>KPI</w:t>
            </w:r>
            <w:r w:rsidRPr="0065549F">
              <w:rPr>
                <w:rFonts w:ascii="Times New Roman" w:eastAsia="Times New Roman" w:hAnsi="Times New Roman" w:cs="Times New Roman"/>
                <w:noProof/>
                <w:kern w:val="0"/>
                <w:sz w:val="20"/>
                <w:szCs w:val="20"/>
                <w:lang w:eastAsia="en-IE"/>
              </w:rPr>
              <w:t> </w:t>
            </w:r>
          </w:p>
        </w:tc>
        <w:tc>
          <w:tcPr>
            <w:tcW w:w="3989"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8169067" w14:textId="77777777" w:rsidR="0048336D" w:rsidRPr="0065549F" w:rsidRDefault="0048336D" w:rsidP="00AC2436">
            <w:pPr>
              <w:spacing w:after="0" w:line="240" w:lineRule="auto"/>
              <w:ind w:left="105"/>
              <w:textAlignment w:val="baseline"/>
              <w:rPr>
                <w:rFonts w:ascii="Times New Roman" w:eastAsia="Times New Roman" w:hAnsi="Times New Roman" w:cs="Times New Roman"/>
                <w:noProof/>
                <w:kern w:val="0"/>
                <w:sz w:val="20"/>
                <w:szCs w:val="20"/>
                <w:lang w:eastAsia="en-IE"/>
              </w:rPr>
            </w:pPr>
            <w:r w:rsidRPr="0065549F">
              <w:rPr>
                <w:rFonts w:ascii="Times New Roman" w:eastAsia="Times New Roman" w:hAnsi="Times New Roman" w:cs="Times New Roman"/>
                <w:b/>
                <w:noProof/>
                <w:kern w:val="0"/>
                <w:sz w:val="20"/>
                <w:szCs w:val="20"/>
                <w:lang w:eastAsia="en-IE"/>
              </w:rPr>
              <w:t>What it measures</w:t>
            </w:r>
            <w:r w:rsidRPr="0065549F">
              <w:rPr>
                <w:rFonts w:ascii="Times New Roman" w:eastAsia="Times New Roman" w:hAnsi="Times New Roman" w:cs="Times New Roman"/>
                <w:noProof/>
                <w:kern w:val="0"/>
                <w:sz w:val="20"/>
                <w:szCs w:val="20"/>
                <w:lang w:eastAsia="en-IE"/>
              </w:rPr>
              <w:t> </w:t>
            </w:r>
          </w:p>
        </w:tc>
        <w:tc>
          <w:tcPr>
            <w:tcW w:w="2591"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36C1E71A" w14:textId="1598400C" w:rsidR="0048336D" w:rsidRPr="0065549F" w:rsidRDefault="0048336D" w:rsidP="00AC2436">
            <w:pPr>
              <w:spacing w:after="0" w:line="240" w:lineRule="auto"/>
              <w:ind w:left="105"/>
              <w:textAlignment w:val="baseline"/>
              <w:rPr>
                <w:rFonts w:ascii="Times New Roman" w:eastAsia="Times New Roman" w:hAnsi="Times New Roman" w:cs="Times New Roman"/>
                <w:noProof/>
                <w:kern w:val="0"/>
                <w:sz w:val="20"/>
                <w:szCs w:val="20"/>
                <w:lang w:eastAsia="en-IE"/>
              </w:rPr>
            </w:pPr>
            <w:r w:rsidRPr="0065549F">
              <w:rPr>
                <w:rFonts w:ascii="Times New Roman" w:eastAsia="Times New Roman" w:hAnsi="Times New Roman" w:cs="Times New Roman"/>
                <w:b/>
                <w:noProof/>
                <w:kern w:val="0"/>
                <w:sz w:val="20"/>
                <w:szCs w:val="20"/>
                <w:lang w:eastAsia="en-IE"/>
              </w:rPr>
              <w:t xml:space="preserve">Latest EU </w:t>
            </w:r>
            <w:r w:rsidRPr="0065549F">
              <w:rPr>
                <w:rFonts w:ascii="Times New Roman" w:eastAsia="Times New Roman" w:hAnsi="Times New Roman" w:cs="Times New Roman"/>
                <w:b/>
                <w:bCs/>
                <w:noProof/>
                <w:kern w:val="0"/>
                <w:sz w:val="20"/>
                <w:szCs w:val="20"/>
                <w:lang w:eastAsia="en-IE"/>
              </w:rPr>
              <w:t>value</w:t>
            </w:r>
            <w:r w:rsidR="007B1A7B" w:rsidRPr="0065549F">
              <w:rPr>
                <w:rFonts w:ascii="Times New Roman" w:eastAsia="Times New Roman" w:hAnsi="Times New Roman" w:cs="Times New Roman"/>
                <w:b/>
                <w:bCs/>
                <w:noProof/>
                <w:kern w:val="0"/>
                <w:sz w:val="20"/>
                <w:szCs w:val="20"/>
                <w:lang w:eastAsia="en-IE"/>
              </w:rPr>
              <w:t>s</w:t>
            </w:r>
          </w:p>
        </w:tc>
      </w:tr>
      <w:tr w:rsidR="00486446" w:rsidRPr="00486446" w14:paraId="798FE666" w14:textId="77777777" w:rsidTr="00AC2436">
        <w:trPr>
          <w:trHeight w:val="340"/>
        </w:trPr>
        <w:tc>
          <w:tcPr>
            <w:tcW w:w="8985" w:type="dxa"/>
            <w:gridSpan w:val="3"/>
            <w:tcBorders>
              <w:top w:val="single" w:sz="4" w:space="0" w:color="auto"/>
              <w:left w:val="single" w:sz="4" w:space="0" w:color="auto"/>
              <w:bottom w:val="single" w:sz="4" w:space="0" w:color="auto"/>
              <w:right w:val="single" w:sz="4" w:space="0" w:color="auto"/>
            </w:tcBorders>
            <w:vAlign w:val="center"/>
            <w:hideMark/>
          </w:tcPr>
          <w:p w14:paraId="6922DD47" w14:textId="77777777" w:rsidR="0048336D" w:rsidRPr="0065549F" w:rsidRDefault="0048336D" w:rsidP="00AC2436">
            <w:pPr>
              <w:widowControl w:val="0"/>
              <w:shd w:val="clear" w:color="auto" w:fill="FFFFFF"/>
              <w:spacing w:after="0" w:line="240" w:lineRule="auto"/>
              <w:rPr>
                <w:rFonts w:ascii="Times New Roman" w:eastAsiaTheme="minorEastAsia" w:hAnsi="Times New Roman" w:cs="Times New Roman"/>
                <w:b/>
                <w:noProof/>
                <w:sz w:val="20"/>
                <w:szCs w:val="20"/>
                <w:lang w:eastAsia="en-IE"/>
              </w:rPr>
            </w:pPr>
            <w:r w:rsidRPr="0065549F">
              <w:rPr>
                <w:rFonts w:ascii="Times New Roman" w:eastAsiaTheme="minorEastAsia" w:hAnsi="Times New Roman" w:cs="Times New Roman"/>
                <w:b/>
                <w:noProof/>
                <w:sz w:val="20"/>
                <w:szCs w:val="20"/>
                <w:lang w:eastAsia="en-IE"/>
              </w:rPr>
              <w:t>A functioning Single Market</w:t>
            </w:r>
          </w:p>
        </w:tc>
      </w:tr>
      <w:tr w:rsidR="00486446" w:rsidRPr="00486446" w14:paraId="116F0176"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hideMark/>
          </w:tcPr>
          <w:p w14:paraId="2086CFB1" w14:textId="55437AEA" w:rsidR="0048336D" w:rsidRPr="0065549F"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2A61E1">
              <w:rPr>
                <w:rFonts w:ascii="Times New Roman" w:eastAsia="Times New Roman" w:hAnsi="Times New Roman" w:cs="Times New Roman"/>
                <w:noProof/>
                <w:color w:val="000000"/>
                <w:sz w:val="20"/>
                <w:szCs w:val="20"/>
                <w:lang w:eastAsia="en-IE"/>
              </w:rPr>
              <w:t>KPI 1: Labour productivity </w:t>
            </w:r>
          </w:p>
        </w:tc>
        <w:tc>
          <w:tcPr>
            <w:tcW w:w="3989" w:type="dxa"/>
            <w:tcBorders>
              <w:top w:val="single" w:sz="4" w:space="0" w:color="auto"/>
              <w:left w:val="single" w:sz="4" w:space="0" w:color="auto"/>
              <w:bottom w:val="single" w:sz="4" w:space="0" w:color="auto"/>
              <w:right w:val="single" w:sz="4" w:space="0" w:color="auto"/>
            </w:tcBorders>
            <w:shd w:val="clear" w:color="auto" w:fill="F6FA84"/>
            <w:hideMark/>
          </w:tcPr>
          <w:p w14:paraId="6EDA7DDC" w14:textId="555CF1CA" w:rsidR="0048336D" w:rsidRPr="0065549F"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2A61E1">
              <w:rPr>
                <w:rFonts w:ascii="Times New Roman" w:eastAsia="Times New Roman" w:hAnsi="Times New Roman" w:cs="Times New Roman"/>
                <w:noProof/>
                <w:color w:val="000000"/>
                <w:sz w:val="20"/>
                <w:szCs w:val="20"/>
                <w:lang w:eastAsia="en-IE"/>
              </w:rPr>
              <w:t xml:space="preserve">GDP per hour worked in PPP </w:t>
            </w:r>
            <w:r w:rsidR="004A15BB" w:rsidRPr="002A61E1">
              <w:rPr>
                <w:rFonts w:ascii="Times New Roman" w:eastAsia="Times New Roman" w:hAnsi="Times New Roman" w:cs="Times New Roman"/>
                <w:noProof/>
                <w:color w:val="000000"/>
                <w:sz w:val="20"/>
                <w:szCs w:val="20"/>
                <w:lang w:eastAsia="en-IE"/>
              </w:rPr>
              <w:t>terms</w:t>
            </w:r>
            <w:r w:rsidR="004A15BB">
              <w:rPr>
                <w:rFonts w:ascii="Times New Roman" w:eastAsia="Times New Roman" w:hAnsi="Times New Roman" w:cs="Times New Roman"/>
                <w:noProof/>
                <w:color w:val="000000"/>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F6FA84"/>
            <w:hideMark/>
          </w:tcPr>
          <w:p w14:paraId="52DE1CC6" w14:textId="564C0DBA" w:rsidR="0048336D" w:rsidRPr="005024C1"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2A61E1">
              <w:rPr>
                <w:rFonts w:ascii="Times New Roman" w:eastAsia="Times New Roman" w:hAnsi="Times New Roman" w:cs="Times New Roman"/>
                <w:noProof/>
                <w:color w:val="000000"/>
                <w:sz w:val="20"/>
                <w:szCs w:val="20"/>
                <w:lang w:eastAsia="en-IE"/>
              </w:rPr>
              <w:t xml:space="preserve">At </w:t>
            </w:r>
            <w:r w:rsidRPr="005024C1">
              <w:rPr>
                <w:rFonts w:ascii="Times New Roman" w:eastAsia="Times New Roman" w:hAnsi="Times New Roman" w:cs="Times New Roman"/>
                <w:noProof/>
                <w:color w:val="000000"/>
                <w:sz w:val="20"/>
                <w:szCs w:val="20"/>
                <w:lang w:eastAsia="en-IE"/>
              </w:rPr>
              <w:t>78.</w:t>
            </w:r>
            <w:r w:rsidR="005024C1">
              <w:rPr>
                <w:rFonts w:ascii="Times New Roman" w:eastAsia="Times New Roman" w:hAnsi="Times New Roman" w:cs="Times New Roman"/>
                <w:noProof/>
                <w:color w:val="000000"/>
                <w:sz w:val="20"/>
                <w:szCs w:val="20"/>
                <w:lang w:eastAsia="en-IE"/>
              </w:rPr>
              <w:t>5</w:t>
            </w:r>
            <w:r w:rsidRPr="005024C1">
              <w:rPr>
                <w:rFonts w:ascii="Times New Roman" w:eastAsia="Times New Roman" w:hAnsi="Times New Roman" w:cs="Times New Roman"/>
                <w:noProof/>
                <w:color w:val="000000"/>
                <w:sz w:val="20"/>
                <w:szCs w:val="20"/>
                <w:lang w:eastAsia="en-IE"/>
              </w:rPr>
              <w:t>% of US levels (2024) </w:t>
            </w:r>
          </w:p>
          <w:p w14:paraId="63D22F57" w14:textId="62C29277" w:rsidR="0048336D" w:rsidRPr="0065549F"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5024C1">
              <w:rPr>
                <w:rFonts w:ascii="Times New Roman" w:eastAsia="Times New Roman" w:hAnsi="Times New Roman" w:cs="Times New Roman"/>
                <w:noProof/>
                <w:color w:val="000000"/>
                <w:sz w:val="20"/>
                <w:szCs w:val="20"/>
                <w:lang w:eastAsia="en-IE"/>
              </w:rPr>
              <w:t>At 78.0% of</w:t>
            </w:r>
            <w:r w:rsidRPr="002A61E1">
              <w:rPr>
                <w:rFonts w:ascii="Times New Roman" w:eastAsia="Times New Roman" w:hAnsi="Times New Roman" w:cs="Times New Roman"/>
                <w:noProof/>
                <w:color w:val="000000"/>
                <w:sz w:val="20"/>
                <w:szCs w:val="20"/>
                <w:lang w:eastAsia="en-IE"/>
              </w:rPr>
              <w:t xml:space="preserve"> US levels (2023)  </w:t>
            </w:r>
          </w:p>
        </w:tc>
      </w:tr>
      <w:tr w:rsidR="00486446" w:rsidRPr="00486446" w14:paraId="7DBDE666"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4B083"/>
            <w:hideMark/>
          </w:tcPr>
          <w:p w14:paraId="6A97D213" w14:textId="5D79D2B2" w:rsidR="0048336D" w:rsidRPr="0065549F"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KPI 2: Integration in the Single Market  </w:t>
            </w:r>
          </w:p>
        </w:tc>
        <w:tc>
          <w:tcPr>
            <w:tcW w:w="3989" w:type="dxa"/>
            <w:tcBorders>
              <w:top w:val="single" w:sz="4" w:space="0" w:color="auto"/>
              <w:left w:val="single" w:sz="4" w:space="0" w:color="auto"/>
              <w:bottom w:val="single" w:sz="4" w:space="0" w:color="auto"/>
              <w:right w:val="single" w:sz="4" w:space="0" w:color="auto"/>
            </w:tcBorders>
            <w:shd w:val="clear" w:color="auto" w:fill="F4B083"/>
            <w:hideMark/>
          </w:tcPr>
          <w:p w14:paraId="5D63044F" w14:textId="5741A48F" w:rsidR="0048336D" w:rsidRPr="0065549F"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 xml:space="preserve">Share of EU GDP represented by trade between EU Member </w:t>
            </w:r>
            <w:r w:rsidR="004A15BB" w:rsidRPr="002A61E1">
              <w:rPr>
                <w:rFonts w:ascii="Times New Roman" w:eastAsia="Times New Roman" w:hAnsi="Times New Roman" w:cs="Times New Roman"/>
                <w:noProof/>
                <w:sz w:val="20"/>
                <w:szCs w:val="20"/>
                <w:lang w:eastAsia="en-IE"/>
              </w:rPr>
              <w:t>States</w:t>
            </w:r>
            <w:r w:rsidR="004A15BB">
              <w:rPr>
                <w:rFonts w:ascii="Times New Roman" w:eastAsia="Times New Roman" w:hAnsi="Times New Roman" w:cs="Times New Roman"/>
                <w:noProof/>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F4B083"/>
            <w:hideMark/>
          </w:tcPr>
          <w:p w14:paraId="6475A725" w14:textId="2594CCFC"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22</w:t>
            </w:r>
            <w:r w:rsidR="00A75887">
              <w:rPr>
                <w:rFonts w:ascii="Times New Roman" w:eastAsia="Times New Roman" w:hAnsi="Times New Roman" w:cs="Times New Roman"/>
                <w:noProof/>
                <w:sz w:val="20"/>
                <w:szCs w:val="20"/>
                <w:lang w:eastAsia="en-IE"/>
              </w:rPr>
              <w:t>.0</w:t>
            </w:r>
            <w:r w:rsidRPr="00486446">
              <w:rPr>
                <w:rFonts w:ascii="Times New Roman" w:eastAsia="Times New Roman" w:hAnsi="Times New Roman" w:cs="Times New Roman"/>
                <w:noProof/>
                <w:sz w:val="20"/>
                <w:szCs w:val="20"/>
                <w:lang w:eastAsia="en-IE"/>
              </w:rPr>
              <w:t>% for goods (2024)</w:t>
            </w:r>
          </w:p>
          <w:p w14:paraId="033E3703" w14:textId="7F2F0107" w:rsidR="0048336D"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23.5% for goods (2023)</w:t>
            </w:r>
          </w:p>
          <w:p w14:paraId="175EB104" w14:textId="77777777" w:rsidR="007D2BB5" w:rsidRPr="00FD0882" w:rsidRDefault="007D2BB5" w:rsidP="00AC2436">
            <w:pPr>
              <w:spacing w:after="0" w:line="240" w:lineRule="auto"/>
              <w:textAlignment w:val="baseline"/>
              <w:rPr>
                <w:rFonts w:ascii="Times New Roman" w:eastAsia="Times New Roman" w:hAnsi="Times New Roman" w:cs="Times New Roman"/>
                <w:noProof/>
                <w:sz w:val="6"/>
                <w:szCs w:val="6"/>
                <w:lang w:eastAsia="en-IE"/>
              </w:rPr>
            </w:pPr>
          </w:p>
          <w:p w14:paraId="04D115CE" w14:textId="77777777" w:rsidR="0048336D" w:rsidRPr="00486446"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7.9% for services (2024)</w:t>
            </w:r>
          </w:p>
          <w:p w14:paraId="1B17DE75" w14:textId="58889C9D" w:rsidR="0048336D" w:rsidRPr="0065549F"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7.7% for services (2023)</w:t>
            </w:r>
          </w:p>
        </w:tc>
      </w:tr>
      <w:tr w:rsidR="00486446" w:rsidRPr="00486446" w14:paraId="6880B625" w14:textId="77777777" w:rsidTr="00B57511">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93CC439" w14:textId="44A417E2"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KPI 3: Simplification of EU rules</w:t>
            </w:r>
          </w:p>
        </w:tc>
        <w:tc>
          <w:tcPr>
            <w:tcW w:w="3989" w:type="dxa"/>
            <w:tcBorders>
              <w:top w:val="single" w:sz="4" w:space="0" w:color="auto"/>
              <w:left w:val="single" w:sz="4" w:space="0" w:color="auto"/>
              <w:bottom w:val="single" w:sz="4" w:space="0" w:color="auto"/>
              <w:right w:val="single" w:sz="4" w:space="0" w:color="auto"/>
            </w:tcBorders>
          </w:tcPr>
          <w:p w14:paraId="2B40B193" w14:textId="662B9A34" w:rsidR="0048336D" w:rsidRPr="0065549F" w:rsidRDefault="004A15BB" w:rsidP="00AC2436">
            <w:pPr>
              <w:spacing w:after="0"/>
              <w:rPr>
                <w:rFonts w:ascii="Times New Roman" w:hAnsi="Times New Roman" w:cs="Times New Roman"/>
                <w:noProof/>
                <w:sz w:val="20"/>
                <w:szCs w:val="20"/>
              </w:rPr>
            </w:pPr>
            <w:r>
              <w:rPr>
                <w:rFonts w:ascii="Times New Roman" w:eastAsia="Times New Roman" w:hAnsi="Times New Roman" w:cs="Times New Roman"/>
                <w:noProof/>
                <w:sz w:val="20"/>
                <w:szCs w:val="20"/>
                <w:lang w:eastAsia="en-IE"/>
              </w:rPr>
              <w:t xml:space="preserve">Projected annual </w:t>
            </w:r>
            <w:r w:rsidR="009A3B2F">
              <w:rPr>
                <w:rFonts w:ascii="Times New Roman" w:eastAsia="Times New Roman" w:hAnsi="Times New Roman" w:cs="Times New Roman"/>
                <w:noProof/>
                <w:sz w:val="20"/>
                <w:szCs w:val="20"/>
                <w:lang w:eastAsia="en-IE"/>
              </w:rPr>
              <w:t xml:space="preserve">administrative </w:t>
            </w:r>
            <w:r>
              <w:rPr>
                <w:rFonts w:ascii="Times New Roman" w:eastAsia="Times New Roman" w:hAnsi="Times New Roman" w:cs="Times New Roman"/>
                <w:noProof/>
                <w:sz w:val="20"/>
                <w:szCs w:val="20"/>
                <w:lang w:eastAsia="en-IE"/>
              </w:rPr>
              <w:t>s</w:t>
            </w:r>
            <w:r w:rsidRPr="002A61E1">
              <w:rPr>
                <w:rFonts w:ascii="Times New Roman" w:eastAsia="Times New Roman" w:hAnsi="Times New Roman" w:cs="Times New Roman"/>
                <w:noProof/>
                <w:sz w:val="20"/>
                <w:szCs w:val="20"/>
                <w:lang w:eastAsia="en-IE"/>
              </w:rPr>
              <w:t>avings</w:t>
            </w:r>
            <w:r w:rsidR="0048336D" w:rsidRPr="00486446">
              <w:rPr>
                <w:rFonts w:ascii="Times New Roman" w:eastAsia="Times New Roman" w:hAnsi="Times New Roman" w:cs="Times New Roman"/>
                <w:noProof/>
                <w:sz w:val="20"/>
                <w:szCs w:val="20"/>
                <w:lang w:eastAsia="en-IE"/>
              </w:rPr>
              <w:t xml:space="preserve"> from Commission’s omnibus simplification proposals</w:t>
            </w:r>
            <w:r w:rsidR="0056190A">
              <w:rPr>
                <w:rFonts w:ascii="Times New Roman" w:eastAsia="Times New Roman" w:hAnsi="Times New Roman" w:cs="Times New Roman"/>
                <w:noProof/>
                <w:sz w:val="20"/>
                <w:szCs w:val="20"/>
                <w:lang w:eastAsia="en-IE"/>
              </w:rPr>
              <w:t xml:space="preserve"> and other initiatives</w:t>
            </w:r>
            <w:r w:rsidRPr="002A61E1">
              <w:rPr>
                <w:rFonts w:ascii="Times New Roman" w:eastAsia="Times New Roman" w:hAnsi="Times New Roman" w:cs="Times New Roman"/>
                <w:noProof/>
                <w:sz w:val="20"/>
                <w:szCs w:val="20"/>
                <w:lang w:eastAsia="en-IE"/>
              </w:rPr>
              <w:t>.</w:t>
            </w:r>
            <w:r w:rsidR="0048336D" w:rsidRPr="00486446">
              <w:rPr>
                <w:rFonts w:ascii="Times New Roman" w:eastAsia="Times New Roman" w:hAnsi="Times New Roman" w:cs="Times New Roman"/>
                <w:noProof/>
                <w:sz w:val="20"/>
                <w:szCs w:val="20"/>
                <w:lang w:eastAsia="en-IE"/>
              </w:rPr>
              <w:t xml:space="preserve"> </w:t>
            </w:r>
          </w:p>
        </w:tc>
        <w:tc>
          <w:tcPr>
            <w:tcW w:w="2591" w:type="dxa"/>
            <w:tcBorders>
              <w:top w:val="single" w:sz="4" w:space="0" w:color="auto"/>
              <w:left w:val="single" w:sz="4" w:space="0" w:color="auto"/>
              <w:bottom w:val="single" w:sz="4" w:space="0" w:color="auto"/>
              <w:right w:val="single" w:sz="4" w:space="0" w:color="auto"/>
            </w:tcBorders>
          </w:tcPr>
          <w:p w14:paraId="6BE91969" w14:textId="74AD3B27" w:rsidR="0048336D" w:rsidRPr="00486446" w:rsidRDefault="00E6582C" w:rsidP="00AC2436">
            <w:pPr>
              <w:spacing w:after="0" w:line="240" w:lineRule="auto"/>
              <w:textAlignment w:val="baseline"/>
              <w:rPr>
                <w:rFonts w:ascii="Times New Roman" w:eastAsia="Times New Roman" w:hAnsi="Times New Roman" w:cs="Times New Roman"/>
                <w:noProof/>
                <w:kern w:val="0"/>
                <w:sz w:val="20"/>
                <w:szCs w:val="20"/>
                <w:lang w:eastAsia="en-IE"/>
              </w:rPr>
            </w:pPr>
            <w:r w:rsidRPr="00B57511">
              <w:rPr>
                <w:rFonts w:ascii="Times New Roman" w:eastAsia="Times New Roman" w:hAnsi="Times New Roman" w:cs="Times New Roman"/>
                <w:noProof/>
                <w:sz w:val="20"/>
                <w:szCs w:val="20"/>
                <w:lang w:val="en-IE" w:eastAsia="en-IE"/>
              </w:rPr>
              <w:t xml:space="preserve">EUR </w:t>
            </w:r>
            <w:r w:rsidR="005D7046" w:rsidRPr="00B57511">
              <w:rPr>
                <w:rFonts w:ascii="Times New Roman" w:eastAsia="Times New Roman" w:hAnsi="Times New Roman" w:cs="Times New Roman"/>
                <w:noProof/>
                <w:sz w:val="20"/>
                <w:szCs w:val="20"/>
                <w:lang w:val="en-IE" w:eastAsia="en-IE"/>
              </w:rPr>
              <w:t>15</w:t>
            </w:r>
            <w:r w:rsidRPr="00B57511">
              <w:rPr>
                <w:rFonts w:ascii="Times New Roman" w:eastAsia="Times New Roman" w:hAnsi="Times New Roman" w:cs="Times New Roman"/>
                <w:noProof/>
                <w:sz w:val="20"/>
                <w:szCs w:val="20"/>
                <w:lang w:val="en-IE" w:eastAsia="en-IE"/>
              </w:rPr>
              <w:t xml:space="preserve"> bn</w:t>
            </w:r>
            <w:r>
              <w:rPr>
                <w:rFonts w:ascii="Times New Roman" w:eastAsia="Times New Roman" w:hAnsi="Times New Roman" w:cs="Times New Roman"/>
                <w:noProof/>
                <w:sz w:val="20"/>
                <w:szCs w:val="20"/>
                <w:lang w:val="en-IE" w:eastAsia="en-IE"/>
              </w:rPr>
              <w:t xml:space="preserve"> (2025) </w:t>
            </w:r>
          </w:p>
        </w:tc>
      </w:tr>
      <w:tr w:rsidR="00486446" w:rsidRPr="00486446" w14:paraId="335051DF"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4B083"/>
          </w:tcPr>
          <w:p w14:paraId="2CD8A3F3" w14:textId="0BED0E4D"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KPI 4: Conformity deficit  </w:t>
            </w:r>
          </w:p>
        </w:tc>
        <w:tc>
          <w:tcPr>
            <w:tcW w:w="3989" w:type="dxa"/>
            <w:tcBorders>
              <w:top w:val="single" w:sz="4" w:space="0" w:color="auto"/>
              <w:left w:val="single" w:sz="4" w:space="0" w:color="auto"/>
              <w:bottom w:val="single" w:sz="4" w:space="0" w:color="auto"/>
              <w:right w:val="single" w:sz="4" w:space="0" w:color="auto"/>
            </w:tcBorders>
            <w:shd w:val="clear" w:color="auto" w:fill="F4B083"/>
          </w:tcPr>
          <w:p w14:paraId="0E167A72" w14:textId="09980344"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486446">
              <w:rPr>
                <w:rFonts w:ascii="Times New Roman" w:eastAsia="Times New Roman" w:hAnsi="Times New Roman" w:cs="Times New Roman"/>
                <w:noProof/>
                <w:sz w:val="20"/>
                <w:szCs w:val="20"/>
                <w:lang w:eastAsia="en-IE"/>
              </w:rPr>
              <w:t xml:space="preserve">Share of </w:t>
            </w:r>
            <w:r w:rsidR="004A15BB" w:rsidRPr="002A61E1">
              <w:rPr>
                <w:rFonts w:ascii="Times New Roman" w:eastAsia="Times New Roman" w:hAnsi="Times New Roman" w:cs="Times New Roman"/>
                <w:noProof/>
                <w:sz w:val="20"/>
                <w:szCs w:val="20"/>
                <w:lang w:eastAsia="en-IE"/>
              </w:rPr>
              <w:t xml:space="preserve">transposed </w:t>
            </w:r>
            <w:r w:rsidRPr="00486446">
              <w:rPr>
                <w:rFonts w:ascii="Times New Roman" w:eastAsia="Times New Roman" w:hAnsi="Times New Roman" w:cs="Times New Roman"/>
                <w:noProof/>
                <w:sz w:val="20"/>
                <w:szCs w:val="20"/>
                <w:lang w:eastAsia="en-IE"/>
              </w:rPr>
              <w:t xml:space="preserve">EU Single Market Directives for which infringement proceedings for incorrect transposition were launched. </w:t>
            </w:r>
            <w:r w:rsidRPr="00486446">
              <w:rPr>
                <w:rFonts w:ascii="Times New Roman" w:eastAsia="Times New Roman" w:hAnsi="Times New Roman" w:cs="Times New Roman"/>
                <w:b/>
                <w:noProof/>
                <w:sz w:val="20"/>
                <w:szCs w:val="20"/>
                <w:lang w:eastAsia="en-IE"/>
              </w:rPr>
              <w:t xml:space="preserve">Target </w:t>
            </w:r>
            <w:r w:rsidR="004A15BB">
              <w:rPr>
                <w:rFonts w:ascii="Times New Roman" w:eastAsia="Times New Roman" w:hAnsi="Times New Roman" w:cs="Times New Roman"/>
                <w:b/>
                <w:noProof/>
                <w:sz w:val="20"/>
                <w:szCs w:val="20"/>
                <w:lang w:eastAsia="en-IE"/>
              </w:rPr>
              <w:t>&lt;</w:t>
            </w:r>
            <w:r w:rsidR="004A15BB" w:rsidRPr="002A61E1">
              <w:rPr>
                <w:rFonts w:ascii="Times New Roman" w:eastAsia="Times New Roman" w:hAnsi="Times New Roman" w:cs="Times New Roman"/>
                <w:b/>
                <w:noProof/>
                <w:sz w:val="20"/>
                <w:szCs w:val="20"/>
                <w:lang w:eastAsia="en-IE"/>
              </w:rPr>
              <w:t>=</w:t>
            </w:r>
            <w:r w:rsidRPr="00486446">
              <w:rPr>
                <w:rFonts w:ascii="Times New Roman" w:eastAsia="Times New Roman" w:hAnsi="Times New Roman" w:cs="Times New Roman"/>
                <w:b/>
                <w:noProof/>
                <w:sz w:val="20"/>
                <w:szCs w:val="20"/>
                <w:lang w:eastAsia="en-IE"/>
              </w:rPr>
              <w:t xml:space="preserve"> 0.5%</w:t>
            </w:r>
            <w:r w:rsidR="003B22D3">
              <w:rPr>
                <w:rFonts w:ascii="Times New Roman" w:eastAsia="Times New Roman" w:hAnsi="Times New Roman" w:cs="Times New Roman"/>
                <w:b/>
                <w:noProof/>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F4B083"/>
          </w:tcPr>
          <w:p w14:paraId="5CFA73A3" w14:textId="01513453" w:rsidR="0048336D" w:rsidRPr="0065549F" w:rsidRDefault="00D92FE8" w:rsidP="00AC2436">
            <w:pPr>
              <w:spacing w:after="0" w:line="240" w:lineRule="auto"/>
              <w:textAlignment w:val="baseline"/>
              <w:rPr>
                <w:rFonts w:ascii="Times New Roman" w:eastAsia="Times New Roman" w:hAnsi="Times New Roman" w:cs="Times New Roman"/>
                <w:noProof/>
                <w:sz w:val="20"/>
                <w:szCs w:val="20"/>
                <w:lang w:eastAsia="en-IE"/>
              </w:rPr>
            </w:pPr>
            <w:r w:rsidRPr="00782F8D">
              <w:rPr>
                <w:rFonts w:ascii="Times New Roman" w:eastAsia="Times New Roman" w:hAnsi="Times New Roman" w:cs="Times New Roman"/>
                <w:noProof/>
                <w:sz w:val="20"/>
                <w:szCs w:val="20"/>
                <w:lang w:eastAsia="en-IE"/>
              </w:rPr>
              <w:t>1.1</w:t>
            </w:r>
            <w:r w:rsidR="0048336D" w:rsidRPr="00782F8D">
              <w:rPr>
                <w:rFonts w:ascii="Times New Roman" w:eastAsia="Times New Roman" w:hAnsi="Times New Roman" w:cs="Times New Roman"/>
                <w:noProof/>
                <w:sz w:val="20"/>
                <w:szCs w:val="20"/>
                <w:lang w:eastAsia="en-IE"/>
              </w:rPr>
              <w:t>% (2025)</w:t>
            </w:r>
          </w:p>
          <w:p w14:paraId="70D8415C" w14:textId="204A5C98"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0.9% (2024)</w:t>
            </w:r>
          </w:p>
        </w:tc>
      </w:tr>
      <w:tr w:rsidR="00486446" w:rsidRPr="00486446" w14:paraId="41D1ECA1"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3687A8E6" w14:textId="4B2ABA01"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KPI 5: Ease of regulatory compliance</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516D0E5C" w14:textId="7DE5C7FB"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486446">
              <w:rPr>
                <w:rFonts w:ascii="Times New Roman" w:eastAsia="Times New Roman" w:hAnsi="Times New Roman" w:cs="Times New Roman"/>
                <w:noProof/>
                <w:sz w:val="20"/>
                <w:szCs w:val="20"/>
              </w:rPr>
              <w:t xml:space="preserve">Replies to the survey question: </w:t>
            </w:r>
            <w:r w:rsidR="00DD73FF" w:rsidRPr="002A61E1">
              <w:rPr>
                <w:rFonts w:ascii="Times New Roman" w:eastAsia="Times New Roman" w:hAnsi="Times New Roman" w:cs="Times New Roman"/>
                <w:noProof/>
                <w:sz w:val="20"/>
                <w:szCs w:val="20"/>
              </w:rPr>
              <w:t>‘</w:t>
            </w:r>
            <w:r w:rsidR="001F7D9A">
              <w:rPr>
                <w:rFonts w:ascii="Times New Roman" w:eastAsia="Times New Roman" w:hAnsi="Times New Roman" w:cs="Times New Roman"/>
                <w:noProof/>
                <w:sz w:val="20"/>
                <w:szCs w:val="20"/>
              </w:rPr>
              <w:t>...</w:t>
            </w:r>
            <w:r w:rsidRPr="00486446">
              <w:rPr>
                <w:rFonts w:ascii="Times New Roman" w:eastAsia="Times New Roman" w:hAnsi="Times New Roman" w:cs="Times New Roman"/>
                <w:noProof/>
                <w:sz w:val="20"/>
                <w:szCs w:val="20"/>
              </w:rPr>
              <w:t>how easy is it for companies to comply with government regulation and administrative requirements</w:t>
            </w:r>
            <w:r w:rsidR="004A15BB" w:rsidRPr="0065549F">
              <w:rPr>
                <w:rStyle w:val="FootnoteReference"/>
                <w:rFonts w:ascii="Times New Roman" w:eastAsia="Times New Roman" w:hAnsi="Times New Roman" w:cs="Times New Roman"/>
                <w:noProof/>
                <w:sz w:val="20"/>
                <w:szCs w:val="20"/>
              </w:rPr>
              <w:footnoteReference w:id="3"/>
            </w:r>
            <w:r w:rsidR="004A15BB" w:rsidRPr="002A61E1">
              <w:rPr>
                <w:rFonts w:ascii="Times New Roman" w:eastAsia="Times New Roman" w:hAnsi="Times New Roman" w:cs="Times New Roman"/>
                <w:noProof/>
                <w:sz w:val="20"/>
                <w:szCs w:val="20"/>
              </w:rPr>
              <w:t>?</w:t>
            </w:r>
            <w:r w:rsidR="004A15BB">
              <w:rPr>
                <w:rFonts w:ascii="Times New Roman" w:eastAsia="Times New Roman" w:hAnsi="Times New Roman" w:cs="Times New Roman"/>
                <w:noProof/>
                <w:sz w:val="20"/>
                <w:szCs w:val="20"/>
              </w:rPr>
              <w:t>’</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7FB01489" w14:textId="40869FA5" w:rsidR="0048336D" w:rsidRPr="00486446"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3.89</w:t>
            </w:r>
            <w:r w:rsidR="006C4B65">
              <w:rPr>
                <w:rFonts w:ascii="Times New Roman" w:eastAsia="Times New Roman" w:hAnsi="Times New Roman" w:cs="Times New Roman"/>
                <w:noProof/>
                <w:sz w:val="20"/>
                <w:szCs w:val="20"/>
                <w:lang w:eastAsia="en-IE"/>
              </w:rPr>
              <w:t xml:space="preserve"> out of 7 </w:t>
            </w:r>
            <w:r w:rsidRPr="00486446">
              <w:rPr>
                <w:rFonts w:ascii="Times New Roman" w:eastAsia="Times New Roman" w:hAnsi="Times New Roman" w:cs="Times New Roman"/>
                <w:noProof/>
                <w:sz w:val="20"/>
                <w:szCs w:val="20"/>
                <w:lang w:eastAsia="en-IE"/>
              </w:rPr>
              <w:t>(2025)</w:t>
            </w:r>
          </w:p>
          <w:p w14:paraId="4E44D5FB" w14:textId="26F06F57"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 xml:space="preserve">3.66 </w:t>
            </w:r>
            <w:r w:rsidR="006C4B65">
              <w:rPr>
                <w:rFonts w:ascii="Times New Roman" w:eastAsia="Times New Roman" w:hAnsi="Times New Roman" w:cs="Times New Roman"/>
                <w:noProof/>
                <w:sz w:val="20"/>
                <w:szCs w:val="20"/>
                <w:lang w:eastAsia="en-IE"/>
              </w:rPr>
              <w:t xml:space="preserve">out of 7 </w:t>
            </w:r>
            <w:r w:rsidRPr="00486446">
              <w:rPr>
                <w:rFonts w:ascii="Times New Roman" w:eastAsia="Times New Roman" w:hAnsi="Times New Roman" w:cs="Times New Roman"/>
                <w:noProof/>
                <w:sz w:val="20"/>
                <w:szCs w:val="20"/>
                <w:lang w:eastAsia="en-IE"/>
              </w:rPr>
              <w:t>(2024)</w:t>
            </w:r>
          </w:p>
        </w:tc>
      </w:tr>
      <w:tr w:rsidR="00486446" w:rsidRPr="00486446" w14:paraId="7D177011"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C5E0B3"/>
          </w:tcPr>
          <w:p w14:paraId="2D6FAC4A" w14:textId="1AD5FECC"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KPI 6: Recognition of professional qualifications</w:t>
            </w:r>
          </w:p>
        </w:tc>
        <w:tc>
          <w:tcPr>
            <w:tcW w:w="3989" w:type="dxa"/>
            <w:tcBorders>
              <w:top w:val="single" w:sz="4" w:space="0" w:color="auto"/>
              <w:left w:val="single" w:sz="4" w:space="0" w:color="auto"/>
              <w:bottom w:val="single" w:sz="4" w:space="0" w:color="auto"/>
              <w:right w:val="single" w:sz="4" w:space="0" w:color="auto"/>
            </w:tcBorders>
            <w:shd w:val="clear" w:color="auto" w:fill="C5E0B3"/>
          </w:tcPr>
          <w:p w14:paraId="30315785" w14:textId="776D021C"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hAnsi="Times New Roman" w:cs="Times New Roman"/>
                <w:noProof/>
                <w:sz w:val="20"/>
              </w:rPr>
              <w:t>Positive recognition rates as % (EU average) of all received requests for recognition of professional qualifications</w:t>
            </w:r>
            <w:r w:rsidR="004A15BB">
              <w:rPr>
                <w:rFonts w:ascii="Times New Roman" w:hAnsi="Times New Roman" w:cs="Times New Roman"/>
                <w:noProof/>
                <w:sz w:val="20"/>
              </w:rPr>
              <w:t>.</w:t>
            </w:r>
          </w:p>
        </w:tc>
        <w:tc>
          <w:tcPr>
            <w:tcW w:w="2591" w:type="dxa"/>
            <w:tcBorders>
              <w:top w:val="single" w:sz="4" w:space="0" w:color="auto"/>
              <w:left w:val="single" w:sz="4" w:space="0" w:color="auto"/>
              <w:bottom w:val="single" w:sz="4" w:space="0" w:color="auto"/>
              <w:right w:val="single" w:sz="4" w:space="0" w:color="auto"/>
            </w:tcBorders>
            <w:shd w:val="clear" w:color="auto" w:fill="C5E0B3"/>
          </w:tcPr>
          <w:p w14:paraId="37C913CD" w14:textId="77777777" w:rsidR="00311C48" w:rsidRPr="00486446" w:rsidRDefault="00C21A28" w:rsidP="00AC2436">
            <w:pPr>
              <w:spacing w:after="0" w:line="240" w:lineRule="auto"/>
              <w:textAlignment w:val="baseline"/>
              <w:rPr>
                <w:rFonts w:ascii="Times New Roman" w:eastAsia="Times New Roman" w:hAnsi="Times New Roman" w:cs="Times New Roman"/>
                <w:noProof/>
                <w:sz w:val="20"/>
                <w:szCs w:val="20"/>
              </w:rPr>
            </w:pPr>
            <w:r w:rsidRPr="00486446">
              <w:rPr>
                <w:rFonts w:ascii="Times New Roman" w:eastAsia="Times New Roman" w:hAnsi="Times New Roman" w:cs="Times New Roman"/>
                <w:noProof/>
                <w:sz w:val="20"/>
                <w:szCs w:val="20"/>
              </w:rPr>
              <w:t xml:space="preserve">82.2% </w:t>
            </w:r>
            <w:r w:rsidR="00311C48" w:rsidRPr="00486446">
              <w:rPr>
                <w:rFonts w:ascii="Times New Roman" w:eastAsia="Times New Roman" w:hAnsi="Times New Roman" w:cs="Times New Roman"/>
                <w:noProof/>
                <w:sz w:val="20"/>
                <w:szCs w:val="20"/>
              </w:rPr>
              <w:t>(2023)</w:t>
            </w:r>
          </w:p>
          <w:p w14:paraId="6FF74B7A" w14:textId="380961DC" w:rsidR="0048336D" w:rsidRPr="00486446" w:rsidRDefault="00C21A28"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rPr>
              <w:t>77.3</w:t>
            </w:r>
            <w:r w:rsidR="0048336D" w:rsidRPr="00486446">
              <w:rPr>
                <w:rFonts w:ascii="Times New Roman" w:eastAsia="Times New Roman" w:hAnsi="Times New Roman" w:cs="Times New Roman"/>
                <w:noProof/>
                <w:sz w:val="20"/>
                <w:szCs w:val="20"/>
              </w:rPr>
              <w:t>% (2022)</w:t>
            </w:r>
          </w:p>
        </w:tc>
      </w:tr>
      <w:tr w:rsidR="00486446" w:rsidRPr="00486446" w14:paraId="2245055C"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4B083"/>
          </w:tcPr>
          <w:p w14:paraId="073339FC" w14:textId="126D64E9"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 xml:space="preserve">KPI 7: </w:t>
            </w:r>
            <w:r w:rsidRPr="00486446">
              <w:rPr>
                <w:rFonts w:ascii="Times New Roman" w:hAnsi="Times New Roman" w:cs="Times New Roman"/>
                <w:noProof/>
                <w:sz w:val="20"/>
              </w:rPr>
              <w:t>Length of standard-setting procedures</w:t>
            </w:r>
          </w:p>
        </w:tc>
        <w:tc>
          <w:tcPr>
            <w:tcW w:w="3989" w:type="dxa"/>
            <w:tcBorders>
              <w:top w:val="single" w:sz="4" w:space="0" w:color="auto"/>
              <w:left w:val="single" w:sz="4" w:space="0" w:color="auto"/>
              <w:bottom w:val="single" w:sz="4" w:space="0" w:color="auto"/>
              <w:right w:val="single" w:sz="4" w:space="0" w:color="auto"/>
            </w:tcBorders>
            <w:shd w:val="clear" w:color="auto" w:fill="F4B083"/>
          </w:tcPr>
          <w:p w14:paraId="53442B1F" w14:textId="735E9B30" w:rsidR="0048336D" w:rsidRPr="00DC0738"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DC0738">
              <w:rPr>
                <w:rFonts w:ascii="Times New Roman" w:eastAsia="Times New Roman" w:hAnsi="Times New Roman" w:cs="Times New Roman"/>
                <w:noProof/>
                <w:sz w:val="20"/>
                <w:szCs w:val="20"/>
              </w:rPr>
              <w:t xml:space="preserve">Average </w:t>
            </w:r>
            <w:r w:rsidR="00EE50FE">
              <w:rPr>
                <w:rFonts w:ascii="Times New Roman" w:eastAsia="Times New Roman" w:hAnsi="Times New Roman" w:cs="Times New Roman"/>
                <w:noProof/>
                <w:sz w:val="20"/>
                <w:szCs w:val="20"/>
              </w:rPr>
              <w:t>length</w:t>
            </w:r>
            <w:r w:rsidR="00EE50FE" w:rsidRPr="00DC0738">
              <w:rPr>
                <w:rFonts w:ascii="Times New Roman" w:eastAsia="Times New Roman" w:hAnsi="Times New Roman" w:cs="Times New Roman"/>
                <w:noProof/>
                <w:sz w:val="20"/>
                <w:szCs w:val="20"/>
              </w:rPr>
              <w:t xml:space="preserve"> </w:t>
            </w:r>
            <w:r w:rsidR="00EE50FE">
              <w:rPr>
                <w:rFonts w:ascii="Times New Roman" w:eastAsia="Times New Roman" w:hAnsi="Times New Roman" w:cs="Times New Roman"/>
                <w:noProof/>
                <w:sz w:val="20"/>
                <w:szCs w:val="20"/>
              </w:rPr>
              <w:t>(</w:t>
            </w:r>
            <w:r w:rsidRPr="00DC0738">
              <w:rPr>
                <w:rFonts w:ascii="Times New Roman" w:eastAsia="Times New Roman" w:hAnsi="Times New Roman" w:cs="Times New Roman"/>
                <w:noProof/>
                <w:sz w:val="20"/>
                <w:szCs w:val="20"/>
              </w:rPr>
              <w:t>in years</w:t>
            </w:r>
            <w:r w:rsidR="001B1479">
              <w:rPr>
                <w:rFonts w:ascii="Times New Roman" w:eastAsia="Times New Roman" w:hAnsi="Times New Roman" w:cs="Times New Roman"/>
                <w:noProof/>
                <w:sz w:val="20"/>
                <w:szCs w:val="20"/>
              </w:rPr>
              <w:t>)</w:t>
            </w:r>
            <w:r w:rsidRPr="00DC0738">
              <w:rPr>
                <w:rFonts w:ascii="Times New Roman" w:eastAsia="Times New Roman" w:hAnsi="Times New Roman" w:cs="Times New Roman"/>
                <w:noProof/>
                <w:sz w:val="20"/>
                <w:szCs w:val="20"/>
              </w:rPr>
              <w:t xml:space="preserve"> </w:t>
            </w:r>
            <w:r w:rsidR="00DC0738" w:rsidRPr="00EC17DB">
              <w:rPr>
                <w:rFonts w:ascii="Times New Roman" w:eastAsia="Times New Roman" w:hAnsi="Times New Roman" w:cs="Times New Roman"/>
                <w:noProof/>
                <w:sz w:val="20"/>
                <w:szCs w:val="20"/>
              </w:rPr>
              <w:t>of</w:t>
            </w:r>
            <w:r w:rsidR="00DC0738" w:rsidRPr="00DC0738">
              <w:rPr>
                <w:rFonts w:ascii="Times New Roman" w:eastAsia="Times New Roman" w:hAnsi="Times New Roman" w:cs="Times New Roman"/>
                <w:noProof/>
                <w:sz w:val="20"/>
                <w:szCs w:val="20"/>
              </w:rPr>
              <w:t xml:space="preserve"> </w:t>
            </w:r>
            <w:r w:rsidR="00DC0738" w:rsidRPr="00EC17DB">
              <w:rPr>
                <w:rFonts w:ascii="Times New Roman" w:eastAsia="Times New Roman" w:hAnsi="Times New Roman" w:cs="Times New Roman"/>
                <w:noProof/>
                <w:sz w:val="20"/>
                <w:szCs w:val="20"/>
              </w:rPr>
              <w:t xml:space="preserve">the drafting stage </w:t>
            </w:r>
            <w:r w:rsidR="001B1479">
              <w:rPr>
                <w:rFonts w:ascii="Times New Roman" w:eastAsia="Times New Roman" w:hAnsi="Times New Roman" w:cs="Times New Roman"/>
                <w:noProof/>
                <w:sz w:val="20"/>
                <w:szCs w:val="20"/>
              </w:rPr>
              <w:t>of</w:t>
            </w:r>
            <w:r w:rsidR="00DC0738" w:rsidRPr="00EC17DB">
              <w:rPr>
                <w:rFonts w:ascii="Times New Roman" w:eastAsia="Times New Roman" w:hAnsi="Times New Roman" w:cs="Times New Roman"/>
                <w:noProof/>
                <w:sz w:val="20"/>
                <w:szCs w:val="20"/>
              </w:rPr>
              <w:t xml:space="preserve"> standards. </w:t>
            </w:r>
          </w:p>
        </w:tc>
        <w:tc>
          <w:tcPr>
            <w:tcW w:w="2591" w:type="dxa"/>
            <w:tcBorders>
              <w:top w:val="single" w:sz="4" w:space="0" w:color="auto"/>
              <w:left w:val="single" w:sz="4" w:space="0" w:color="auto"/>
              <w:bottom w:val="single" w:sz="4" w:space="0" w:color="auto"/>
              <w:right w:val="single" w:sz="4" w:space="0" w:color="auto"/>
            </w:tcBorders>
            <w:shd w:val="clear" w:color="auto" w:fill="F4B083"/>
          </w:tcPr>
          <w:p w14:paraId="2181F0B7" w14:textId="77777777" w:rsidR="0048336D" w:rsidRPr="00486446"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4.0 (2024)</w:t>
            </w:r>
          </w:p>
          <w:p w14:paraId="560894E5" w14:textId="10FC640A"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3.2 (2023)</w:t>
            </w:r>
          </w:p>
        </w:tc>
      </w:tr>
      <w:tr w:rsidR="00486446" w:rsidRPr="00486446" w14:paraId="38A161D6"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4CEB710A" w14:textId="55790FEF"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 xml:space="preserve">KPI 8: </w:t>
            </w:r>
            <w:r w:rsidRPr="002A61E1">
              <w:rPr>
                <w:rFonts w:ascii="Times New Roman" w:hAnsi="Times New Roman" w:cs="Times New Roman"/>
                <w:noProof/>
                <w:color w:val="000000"/>
                <w:sz w:val="20"/>
                <w:lang w:eastAsia="en-GB"/>
              </w:rPr>
              <w:t>Circular material use rate</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7F5C6592" w14:textId="70C9B035"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2A61E1">
              <w:rPr>
                <w:rFonts w:ascii="Times New Roman" w:eastAsia="Times New Roman" w:hAnsi="Times New Roman" w:cs="Times New Roman"/>
                <w:noProof/>
                <w:sz w:val="20"/>
                <w:szCs w:val="20"/>
              </w:rPr>
              <w:t>Material recovered and fed back into the economy, as a share of the overall use of material</w:t>
            </w:r>
            <w:r w:rsidR="0079383F" w:rsidRPr="002A61E1">
              <w:rPr>
                <w:rFonts w:ascii="Times New Roman" w:eastAsia="Times New Roman" w:hAnsi="Times New Roman" w:cs="Times New Roman"/>
                <w:noProof/>
                <w:sz w:val="20"/>
                <w:szCs w:val="20"/>
              </w:rPr>
              <w:t>.</w:t>
            </w:r>
            <w:r w:rsidR="0079383F">
              <w:rPr>
                <w:rFonts w:ascii="Times New Roman" w:eastAsia="Times New Roman" w:hAnsi="Times New Roman" w:cs="Times New Roman"/>
                <w:noProof/>
                <w:sz w:val="20"/>
                <w:szCs w:val="20"/>
              </w:rPr>
              <w:t xml:space="preserve"> </w:t>
            </w:r>
            <w:r w:rsidR="0079383F" w:rsidRPr="00D07DED">
              <w:rPr>
                <w:rFonts w:ascii="Times New Roman" w:eastAsia="Times New Roman" w:hAnsi="Times New Roman" w:cs="Times New Roman"/>
                <w:b/>
                <w:bCs/>
                <w:noProof/>
                <w:sz w:val="20"/>
                <w:szCs w:val="20"/>
                <w:lang w:eastAsia="en-IE"/>
              </w:rPr>
              <w:t xml:space="preserve">Target = </w:t>
            </w:r>
            <w:r w:rsidR="0079383F">
              <w:rPr>
                <w:rFonts w:ascii="Times New Roman" w:eastAsia="Times New Roman" w:hAnsi="Times New Roman" w:cs="Times New Roman"/>
                <w:b/>
                <w:bCs/>
                <w:noProof/>
                <w:sz w:val="20"/>
                <w:szCs w:val="20"/>
                <w:lang w:eastAsia="en-IE"/>
              </w:rPr>
              <w:t>24</w:t>
            </w:r>
            <w:r w:rsidR="0079383F" w:rsidRPr="00D07DED">
              <w:rPr>
                <w:rFonts w:ascii="Times New Roman" w:eastAsia="Times New Roman" w:hAnsi="Times New Roman" w:cs="Times New Roman"/>
                <w:b/>
                <w:bCs/>
                <w:noProof/>
                <w:sz w:val="20"/>
                <w:szCs w:val="20"/>
                <w:lang w:eastAsia="en-IE"/>
              </w:rPr>
              <w:t>% in 2030</w:t>
            </w:r>
            <w:r w:rsidR="00D97B79">
              <w:rPr>
                <w:rFonts w:ascii="Times New Roman" w:eastAsia="Times New Roman" w:hAnsi="Times New Roman" w:cs="Times New Roman"/>
                <w:b/>
                <w:bCs/>
                <w:noProof/>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75701090" w14:textId="77777777" w:rsidR="0048336D" w:rsidRPr="00486446" w:rsidRDefault="00107802"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12.</w:t>
            </w:r>
            <w:r w:rsidR="00A25A45" w:rsidRPr="00486446">
              <w:rPr>
                <w:rFonts w:ascii="Times New Roman" w:eastAsia="Times New Roman" w:hAnsi="Times New Roman" w:cs="Times New Roman"/>
                <w:noProof/>
                <w:sz w:val="20"/>
                <w:szCs w:val="20"/>
                <w:lang w:eastAsia="en-IE"/>
              </w:rPr>
              <w:t>2</w:t>
            </w:r>
            <w:r w:rsidR="0048336D" w:rsidRPr="00486446">
              <w:rPr>
                <w:rFonts w:ascii="Times New Roman" w:eastAsia="Times New Roman" w:hAnsi="Times New Roman" w:cs="Times New Roman"/>
                <w:noProof/>
                <w:sz w:val="20"/>
                <w:szCs w:val="20"/>
                <w:lang w:eastAsia="en-IE"/>
              </w:rPr>
              <w:t>% (2024)</w:t>
            </w:r>
          </w:p>
          <w:p w14:paraId="7D36C145" w14:textId="0360E65D" w:rsidR="0048336D" w:rsidRPr="00486446"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1</w:t>
            </w:r>
            <w:r w:rsidR="001A6F42">
              <w:rPr>
                <w:rFonts w:ascii="Times New Roman" w:eastAsia="Times New Roman" w:hAnsi="Times New Roman" w:cs="Times New Roman"/>
                <w:noProof/>
                <w:sz w:val="20"/>
                <w:szCs w:val="20"/>
                <w:lang w:eastAsia="en-IE"/>
              </w:rPr>
              <w:t>2</w:t>
            </w:r>
            <w:r w:rsidRPr="00486446">
              <w:rPr>
                <w:rFonts w:ascii="Times New Roman" w:eastAsia="Times New Roman" w:hAnsi="Times New Roman" w:cs="Times New Roman"/>
                <w:noProof/>
                <w:sz w:val="20"/>
                <w:szCs w:val="20"/>
                <w:lang w:eastAsia="en-IE"/>
              </w:rPr>
              <w:t>.</w:t>
            </w:r>
            <w:r w:rsidR="00A10A2C">
              <w:rPr>
                <w:rFonts w:ascii="Times New Roman" w:eastAsia="Times New Roman" w:hAnsi="Times New Roman" w:cs="Times New Roman"/>
                <w:noProof/>
                <w:sz w:val="20"/>
                <w:szCs w:val="20"/>
                <w:lang w:eastAsia="en-IE"/>
              </w:rPr>
              <w:t>1</w:t>
            </w:r>
            <w:r w:rsidRPr="00486446">
              <w:rPr>
                <w:rFonts w:ascii="Times New Roman" w:eastAsia="Times New Roman" w:hAnsi="Times New Roman" w:cs="Times New Roman"/>
                <w:noProof/>
                <w:sz w:val="20"/>
                <w:szCs w:val="20"/>
                <w:lang w:eastAsia="en-IE"/>
              </w:rPr>
              <w:t>% (2023)</w:t>
            </w:r>
          </w:p>
        </w:tc>
      </w:tr>
      <w:tr w:rsidR="00486446" w:rsidRPr="00486446" w14:paraId="5C79D144"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C5E0B3"/>
          </w:tcPr>
          <w:p w14:paraId="22332CA1" w14:textId="31CAB48A"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 xml:space="preserve">KPI 9: </w:t>
            </w:r>
            <w:r w:rsidRPr="00486446">
              <w:rPr>
                <w:rFonts w:ascii="Times New Roman" w:eastAsia="Times New Roman" w:hAnsi="Times New Roman" w:cs="Times New Roman"/>
                <w:noProof/>
                <w:sz w:val="20"/>
                <w:szCs w:val="20"/>
                <w:lang w:eastAsia="fr-FR"/>
              </w:rPr>
              <w:t>Product compliance</w:t>
            </w:r>
            <w:r w:rsidR="0009419C">
              <w:rPr>
                <w:rFonts w:ascii="Times New Roman" w:eastAsia="Times New Roman" w:hAnsi="Times New Roman" w:cs="Times New Roman"/>
                <w:noProof/>
                <w:sz w:val="20"/>
                <w:szCs w:val="20"/>
                <w:lang w:eastAsia="fr-FR"/>
              </w:rPr>
              <w:t xml:space="preserve"> monitoring</w:t>
            </w:r>
          </w:p>
        </w:tc>
        <w:tc>
          <w:tcPr>
            <w:tcW w:w="3989" w:type="dxa"/>
            <w:tcBorders>
              <w:top w:val="single" w:sz="4" w:space="0" w:color="auto"/>
              <w:left w:val="single" w:sz="4" w:space="0" w:color="auto"/>
              <w:bottom w:val="single" w:sz="4" w:space="0" w:color="auto"/>
              <w:right w:val="single" w:sz="4" w:space="0" w:color="auto"/>
            </w:tcBorders>
            <w:shd w:val="clear" w:color="auto" w:fill="C5E0B3"/>
          </w:tcPr>
          <w:p w14:paraId="2043E6D2" w14:textId="135F389C"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486446">
              <w:rPr>
                <w:rFonts w:ascii="Times New Roman" w:hAnsi="Times New Roman" w:cs="Times New Roman"/>
                <w:noProof/>
                <w:sz w:val="20"/>
              </w:rPr>
              <w:t xml:space="preserve">Median number of product investigations per million </w:t>
            </w:r>
            <w:r w:rsidRPr="00486446">
              <w:rPr>
                <w:rFonts w:ascii="Times New Roman" w:eastAsia="Times New Roman" w:hAnsi="Times New Roman" w:cs="Times New Roman"/>
                <w:noProof/>
                <w:sz w:val="20"/>
                <w:szCs w:val="20"/>
                <w:lang w:eastAsia="en-IE"/>
              </w:rPr>
              <w:t>inhabitants in EU Member States</w:t>
            </w:r>
            <w:r w:rsidRPr="002A61E1">
              <w:rPr>
                <w:rFonts w:ascii="Times New Roman" w:eastAsia="Times New Roman" w:hAnsi="Times New Roman" w:cs="Times New Roman"/>
                <w:noProof/>
                <w:sz w:val="20"/>
                <w:szCs w:val="20"/>
                <w:vertAlign w:val="superscript"/>
                <w:lang w:eastAsia="en-IE"/>
              </w:rPr>
              <w:footnoteReference w:id="4"/>
            </w:r>
            <w:r w:rsidR="00D97B79">
              <w:rPr>
                <w:rFonts w:ascii="Times New Roman" w:eastAsia="Times New Roman" w:hAnsi="Times New Roman" w:cs="Times New Roman"/>
                <w:noProof/>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C5E0B3"/>
          </w:tcPr>
          <w:p w14:paraId="0ACC0186" w14:textId="77777777" w:rsidR="0048336D" w:rsidRPr="00486446" w:rsidRDefault="0048336D" w:rsidP="00AC2436">
            <w:pPr>
              <w:spacing w:after="0" w:line="240" w:lineRule="auto"/>
              <w:textAlignment w:val="baseline"/>
              <w:rPr>
                <w:rFonts w:ascii="Times New Roman" w:eastAsia="Times New Roman" w:hAnsi="Times New Roman" w:cs="Times New Roman"/>
                <w:noProof/>
                <w:sz w:val="20"/>
                <w:szCs w:val="20"/>
              </w:rPr>
            </w:pPr>
            <w:r w:rsidRPr="00486446">
              <w:rPr>
                <w:rFonts w:ascii="Times New Roman" w:eastAsia="Times New Roman" w:hAnsi="Times New Roman" w:cs="Times New Roman"/>
                <w:noProof/>
                <w:sz w:val="20"/>
                <w:szCs w:val="20"/>
              </w:rPr>
              <w:t>102 (2024)</w:t>
            </w:r>
          </w:p>
          <w:p w14:paraId="19C95976" w14:textId="4F632EE5"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rPr>
              <w:t>82 (2023) </w:t>
            </w:r>
          </w:p>
        </w:tc>
      </w:tr>
      <w:tr w:rsidR="00486446" w:rsidRPr="00486446" w14:paraId="2CB5BF2E"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485E0FE5" w14:textId="5DB50711"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 xml:space="preserve">KPI 10: </w:t>
            </w:r>
            <w:r w:rsidRPr="00486446">
              <w:rPr>
                <w:rFonts w:ascii="Times New Roman" w:eastAsia="Times New Roman" w:hAnsi="Times New Roman" w:cs="Times New Roman"/>
                <w:noProof/>
                <w:sz w:val="20"/>
                <w:szCs w:val="20"/>
              </w:rPr>
              <w:t xml:space="preserve">Services trade restrictiveness </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5B949723" w14:textId="37723263" w:rsidR="0048336D" w:rsidRPr="00486446" w:rsidRDefault="004A15BB" w:rsidP="00AC2436">
            <w:pPr>
              <w:spacing w:after="0" w:line="240" w:lineRule="auto"/>
              <w:textAlignment w:val="baseline"/>
              <w:rPr>
                <w:rFonts w:ascii="Times New Roman" w:eastAsia="Times New Roman" w:hAnsi="Times New Roman" w:cs="Times New Roman"/>
                <w:noProof/>
                <w:kern w:val="0"/>
                <w:sz w:val="20"/>
                <w:szCs w:val="20"/>
              </w:rPr>
            </w:pPr>
            <w:r>
              <w:rPr>
                <w:rFonts w:ascii="Times New Roman" w:eastAsia="Times New Roman" w:hAnsi="Times New Roman" w:cs="Times New Roman"/>
                <w:noProof/>
                <w:sz w:val="20"/>
                <w:szCs w:val="20"/>
              </w:rPr>
              <w:t>R</w:t>
            </w:r>
            <w:r w:rsidRPr="002A61E1">
              <w:rPr>
                <w:rFonts w:ascii="Times New Roman" w:eastAsia="Times New Roman" w:hAnsi="Times New Roman" w:cs="Times New Roman"/>
                <w:noProof/>
                <w:sz w:val="20"/>
                <w:szCs w:val="20"/>
              </w:rPr>
              <w:t>estrictiveness</w:t>
            </w:r>
            <w:r w:rsidR="0048336D" w:rsidRPr="00486446">
              <w:rPr>
                <w:rFonts w:ascii="Times New Roman" w:eastAsia="Times New Roman" w:hAnsi="Times New Roman" w:cs="Times New Roman"/>
                <w:noProof/>
                <w:sz w:val="20"/>
                <w:szCs w:val="20"/>
              </w:rPr>
              <w:t xml:space="preserve"> of regulation in selected service sectors</w:t>
            </w:r>
            <w:r w:rsidRPr="002A61E1">
              <w:rPr>
                <w:rFonts w:ascii="Times New Roman" w:hAnsi="Times New Roman" w:cs="Times New Roman"/>
                <w:noProof/>
                <w:sz w:val="20"/>
                <w:vertAlign w:val="superscript"/>
              </w:rPr>
              <w:footnoteReference w:id="5"/>
            </w:r>
            <w:r w:rsidRPr="002A61E1">
              <w:rPr>
                <w:rFonts w:ascii="Times New Roman" w:hAnsi="Times New Roman" w:cs="Times New Roman"/>
                <w:noProof/>
                <w:sz w:val="20"/>
              </w:rPr>
              <w:t xml:space="preserve">. </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0F7F61B2" w14:textId="77777777" w:rsidR="0048336D" w:rsidRPr="00486446" w:rsidRDefault="0048336D" w:rsidP="00AC2436">
            <w:pPr>
              <w:spacing w:after="0" w:line="240" w:lineRule="auto"/>
              <w:textAlignment w:val="baseline"/>
              <w:rPr>
                <w:rFonts w:ascii="Times New Roman" w:eastAsia="Times New Roman" w:hAnsi="Times New Roman" w:cs="Times New Roman"/>
                <w:noProof/>
                <w:sz w:val="20"/>
                <w:szCs w:val="20"/>
              </w:rPr>
            </w:pPr>
            <w:r w:rsidRPr="00486446">
              <w:rPr>
                <w:rFonts w:ascii="Times New Roman" w:eastAsia="Times New Roman" w:hAnsi="Times New Roman" w:cs="Times New Roman"/>
                <w:noProof/>
                <w:sz w:val="20"/>
                <w:szCs w:val="20"/>
              </w:rPr>
              <w:t>4.2% (2024)</w:t>
            </w:r>
          </w:p>
          <w:p w14:paraId="64DA7B36" w14:textId="24D3944D"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4.2% (2023)</w:t>
            </w:r>
          </w:p>
        </w:tc>
      </w:tr>
      <w:tr w:rsidR="00486446" w:rsidRPr="00486446" w14:paraId="11DFA0BA"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5BA494F6" w14:textId="34C32CB2"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KPI 1</w:t>
            </w:r>
            <w:r w:rsidR="00A43206">
              <w:rPr>
                <w:rFonts w:ascii="Times New Roman" w:eastAsia="Times New Roman" w:hAnsi="Times New Roman" w:cs="Times New Roman"/>
                <w:noProof/>
                <w:sz w:val="20"/>
                <w:szCs w:val="20"/>
                <w:lang w:eastAsia="en-IE"/>
              </w:rPr>
              <w:t>1</w:t>
            </w:r>
            <w:r w:rsidRPr="00486446">
              <w:rPr>
                <w:rFonts w:ascii="Times New Roman" w:eastAsia="Times New Roman" w:hAnsi="Times New Roman" w:cs="Times New Roman"/>
                <w:noProof/>
                <w:sz w:val="20"/>
                <w:szCs w:val="20"/>
                <w:lang w:eastAsia="en-IE"/>
              </w:rPr>
              <w:t xml:space="preserve">: </w:t>
            </w:r>
            <w:r w:rsidRPr="00486446">
              <w:rPr>
                <w:rFonts w:ascii="Times New Roman" w:hAnsi="Times New Roman" w:cs="Times New Roman"/>
                <w:noProof/>
                <w:sz w:val="20"/>
              </w:rPr>
              <w:t>Digitalisation</w:t>
            </w:r>
            <w:r w:rsidRPr="00486446" w:rsidDel="00614555">
              <w:rPr>
                <w:rFonts w:ascii="Times New Roman" w:hAnsi="Times New Roman" w:cs="Times New Roman"/>
                <w:noProof/>
                <w:sz w:val="20"/>
              </w:rPr>
              <w:t xml:space="preserve"> of </w:t>
            </w:r>
            <w:r w:rsidRPr="00486446">
              <w:rPr>
                <w:rFonts w:ascii="Times New Roman" w:hAnsi="Times New Roman" w:cs="Times New Roman"/>
                <w:noProof/>
                <w:sz w:val="20"/>
              </w:rPr>
              <w:t>Single Market relevant procedures</w:t>
            </w:r>
          </w:p>
        </w:tc>
        <w:tc>
          <w:tcPr>
            <w:tcW w:w="3989" w:type="dxa"/>
            <w:tcBorders>
              <w:top w:val="single" w:sz="4" w:space="0" w:color="auto"/>
              <w:left w:val="single" w:sz="4" w:space="0" w:color="auto"/>
              <w:bottom w:val="single" w:sz="4" w:space="0" w:color="auto"/>
              <w:right w:val="single" w:sz="4" w:space="0" w:color="auto"/>
            </w:tcBorders>
            <w:shd w:val="clear" w:color="auto" w:fill="FFFFFF" w:themeFill="background1"/>
          </w:tcPr>
          <w:p w14:paraId="53F382FF" w14:textId="206FD17D" w:rsidR="0048336D" w:rsidRPr="00486446" w:rsidRDefault="0048336D" w:rsidP="00AC2436">
            <w:pPr>
              <w:spacing w:after="0" w:line="240" w:lineRule="auto"/>
              <w:textAlignment w:val="baseline"/>
              <w:rPr>
                <w:rFonts w:ascii="Times New Roman" w:eastAsia="Times New Roman" w:hAnsi="Times New Roman" w:cs="Times New Roman"/>
                <w:noProof/>
                <w:sz w:val="20"/>
                <w:szCs w:val="20"/>
              </w:rPr>
            </w:pPr>
            <w:r w:rsidRPr="00486446">
              <w:rPr>
                <w:rFonts w:ascii="Times New Roman" w:eastAsia="Times New Roman" w:hAnsi="Times New Roman" w:cs="Times New Roman"/>
                <w:noProof/>
                <w:sz w:val="20"/>
                <w:szCs w:val="20"/>
              </w:rPr>
              <w:t>Share of Single Market relevant administrative procedures that are fully online for national and cross-border users</w:t>
            </w:r>
            <w:r w:rsidR="004A15BB" w:rsidRPr="002A61E1">
              <w:rPr>
                <w:rFonts w:ascii="Times New Roman" w:eastAsia="Times New Roman" w:hAnsi="Times New Roman" w:cs="Times New Roman"/>
                <w:noProof/>
                <w:sz w:val="20"/>
                <w:szCs w:val="20"/>
              </w:rPr>
              <w:t>.</w:t>
            </w:r>
          </w:p>
        </w:tc>
        <w:tc>
          <w:tcPr>
            <w:tcW w:w="2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41C6F1E" w14:textId="15227856" w:rsidR="0048336D" w:rsidRPr="00486446" w:rsidRDefault="0048336D" w:rsidP="00AC2436">
            <w:pPr>
              <w:rPr>
                <w:rFonts w:ascii="Times New Roman" w:eastAsia="Times New Roman" w:hAnsi="Times New Roman" w:cs="Times New Roman"/>
                <w:noProof/>
                <w:sz w:val="20"/>
                <w:szCs w:val="20"/>
              </w:rPr>
            </w:pPr>
            <w:r w:rsidRPr="00486446">
              <w:rPr>
                <w:rFonts w:ascii="Times New Roman" w:eastAsia="Times New Roman" w:hAnsi="Times New Roman" w:cs="Times New Roman"/>
                <w:noProof/>
                <w:sz w:val="20"/>
                <w:szCs w:val="20"/>
              </w:rPr>
              <w:t>20.6% (2024)</w:t>
            </w:r>
          </w:p>
        </w:tc>
      </w:tr>
      <w:tr w:rsidR="00486446" w:rsidRPr="00486446" w14:paraId="00D11F58" w14:textId="77777777" w:rsidTr="00AC2436">
        <w:trPr>
          <w:trHeight w:val="340"/>
        </w:trPr>
        <w:tc>
          <w:tcPr>
            <w:tcW w:w="8985" w:type="dxa"/>
            <w:gridSpan w:val="3"/>
            <w:tcBorders>
              <w:top w:val="single" w:sz="4" w:space="0" w:color="auto"/>
              <w:left w:val="single" w:sz="4" w:space="0" w:color="auto"/>
              <w:bottom w:val="single" w:sz="4" w:space="0" w:color="auto"/>
              <w:right w:val="single" w:sz="4" w:space="0" w:color="auto"/>
            </w:tcBorders>
            <w:vAlign w:val="center"/>
          </w:tcPr>
          <w:p w14:paraId="4B25B658" w14:textId="5FCEE4AB" w:rsidR="0048336D" w:rsidRPr="0065549F" w:rsidRDefault="0048336D" w:rsidP="00AC2436">
            <w:pPr>
              <w:widowControl w:val="0"/>
              <w:shd w:val="clear" w:color="auto" w:fill="FFFFFF"/>
              <w:spacing w:after="0" w:line="240" w:lineRule="auto"/>
              <w:rPr>
                <w:rFonts w:ascii="Times New Roman" w:eastAsiaTheme="minorEastAsia" w:hAnsi="Times New Roman" w:cs="Times New Roman"/>
                <w:b/>
                <w:noProof/>
                <w:sz w:val="20"/>
                <w:szCs w:val="20"/>
                <w:lang w:eastAsia="en-IE"/>
              </w:rPr>
            </w:pPr>
            <w:r w:rsidRPr="0065549F">
              <w:rPr>
                <w:rFonts w:ascii="Times New Roman" w:eastAsiaTheme="minorEastAsia" w:hAnsi="Times New Roman" w:cs="Times New Roman"/>
                <w:b/>
                <w:noProof/>
                <w:sz w:val="20"/>
                <w:szCs w:val="20"/>
                <w:lang w:eastAsia="en-IE"/>
              </w:rPr>
              <w:t>Closing the innovation gap</w:t>
            </w:r>
          </w:p>
        </w:tc>
      </w:tr>
      <w:tr w:rsidR="00486446" w:rsidRPr="00486446" w14:paraId="6928F31F"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71AC307B" w14:textId="3E96874D"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885095">
              <w:rPr>
                <w:rFonts w:ascii="Times New Roman" w:eastAsia="Times New Roman" w:hAnsi="Times New Roman" w:cs="Times New Roman"/>
                <w:noProof/>
                <w:color w:val="000000"/>
                <w:sz w:val="20"/>
                <w:szCs w:val="20"/>
                <w:lang w:eastAsia="en-IE"/>
              </w:rPr>
              <w:t>KPI</w:t>
            </w:r>
            <w:r w:rsidR="000A0D92">
              <w:rPr>
                <w:rFonts w:ascii="Times New Roman" w:eastAsia="Times New Roman" w:hAnsi="Times New Roman" w:cs="Times New Roman"/>
                <w:noProof/>
                <w:color w:val="000000"/>
                <w:sz w:val="20"/>
                <w:szCs w:val="20"/>
                <w:lang w:eastAsia="en-IE"/>
              </w:rPr>
              <w:t xml:space="preserve"> </w:t>
            </w:r>
            <w:r w:rsidRPr="00885095">
              <w:rPr>
                <w:rFonts w:ascii="Times New Roman" w:eastAsia="Times New Roman" w:hAnsi="Times New Roman" w:cs="Times New Roman"/>
                <w:noProof/>
                <w:color w:val="000000"/>
                <w:sz w:val="20"/>
                <w:szCs w:val="20"/>
                <w:lang w:eastAsia="en-IE"/>
              </w:rPr>
              <w:t>1</w:t>
            </w:r>
            <w:r w:rsidR="00A43206">
              <w:rPr>
                <w:rFonts w:ascii="Times New Roman" w:eastAsia="Times New Roman" w:hAnsi="Times New Roman" w:cs="Times New Roman"/>
                <w:noProof/>
                <w:color w:val="000000"/>
                <w:sz w:val="20"/>
                <w:szCs w:val="20"/>
                <w:lang w:eastAsia="en-IE"/>
              </w:rPr>
              <w:t>2</w:t>
            </w:r>
            <w:r w:rsidRPr="00885095">
              <w:rPr>
                <w:rFonts w:ascii="Times New Roman" w:eastAsia="Times New Roman" w:hAnsi="Times New Roman" w:cs="Times New Roman"/>
                <w:noProof/>
                <w:color w:val="000000"/>
                <w:sz w:val="20"/>
                <w:szCs w:val="20"/>
                <w:lang w:eastAsia="en-IE"/>
              </w:rPr>
              <w:t>: R&amp;D expenditure</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75CCE3C1" w14:textId="4AE6321E"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486446">
              <w:rPr>
                <w:rFonts w:ascii="Times New Roman" w:eastAsia="Times New Roman" w:hAnsi="Times New Roman" w:cs="Times New Roman"/>
                <w:noProof/>
                <w:sz w:val="20"/>
                <w:szCs w:val="20"/>
                <w:lang w:eastAsia="en-IE"/>
              </w:rPr>
              <w:t xml:space="preserve">Total private and public expenditure in research and development as </w:t>
            </w:r>
            <w:r w:rsidR="009D2A99">
              <w:rPr>
                <w:rFonts w:ascii="Times New Roman" w:eastAsia="Times New Roman" w:hAnsi="Times New Roman" w:cs="Times New Roman"/>
                <w:noProof/>
                <w:sz w:val="20"/>
                <w:szCs w:val="20"/>
                <w:lang w:eastAsia="en-IE"/>
              </w:rPr>
              <w:t xml:space="preserve">a </w:t>
            </w:r>
            <w:r w:rsidRPr="00486446">
              <w:rPr>
                <w:rFonts w:ascii="Times New Roman" w:eastAsia="Times New Roman" w:hAnsi="Times New Roman" w:cs="Times New Roman"/>
                <w:noProof/>
                <w:sz w:val="20"/>
                <w:szCs w:val="20"/>
                <w:lang w:eastAsia="en-IE"/>
              </w:rPr>
              <w:t>share of GDP. </w:t>
            </w:r>
            <w:r w:rsidRPr="00486446">
              <w:rPr>
                <w:rFonts w:ascii="Times New Roman" w:eastAsia="Times New Roman" w:hAnsi="Times New Roman" w:cs="Times New Roman"/>
                <w:b/>
                <w:bCs/>
                <w:noProof/>
                <w:sz w:val="20"/>
                <w:szCs w:val="20"/>
                <w:lang w:eastAsia="en-IE"/>
              </w:rPr>
              <w:t xml:space="preserve">Target = Above </w:t>
            </w:r>
            <w:r w:rsidRPr="00885095">
              <w:rPr>
                <w:rFonts w:ascii="Times New Roman" w:eastAsia="Times New Roman" w:hAnsi="Times New Roman" w:cs="Times New Roman"/>
                <w:b/>
                <w:noProof/>
                <w:color w:val="000000"/>
                <w:sz w:val="20"/>
                <w:szCs w:val="20"/>
                <w:lang w:eastAsia="en-IE"/>
              </w:rPr>
              <w:t>3% by 2030</w:t>
            </w:r>
            <w:r w:rsidR="00D97B79">
              <w:rPr>
                <w:rFonts w:ascii="Times New Roman" w:eastAsia="Times New Roman" w:hAnsi="Times New Roman" w:cs="Times New Roman"/>
                <w:b/>
                <w:noProof/>
                <w:color w:val="000000"/>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504A5F45" w14:textId="5D853151" w:rsidR="0048336D" w:rsidRPr="0007116F" w:rsidRDefault="0007116F" w:rsidP="00AC2436">
            <w:pPr>
              <w:spacing w:after="0" w:line="240" w:lineRule="auto"/>
              <w:textAlignment w:val="baseline"/>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2.24</w:t>
            </w:r>
            <w:r w:rsidR="0048336D" w:rsidRPr="00885095">
              <w:rPr>
                <w:rFonts w:ascii="Times New Roman" w:eastAsia="Times New Roman" w:hAnsi="Times New Roman" w:cs="Times New Roman"/>
                <w:noProof/>
                <w:color w:val="000000"/>
                <w:sz w:val="20"/>
                <w:szCs w:val="20"/>
                <w:lang w:eastAsia="en-IE"/>
              </w:rPr>
              <w:t>% (2024)</w:t>
            </w:r>
          </w:p>
          <w:p w14:paraId="3726DE3F" w14:textId="6C3845EA" w:rsidR="0048336D" w:rsidRPr="00486446" w:rsidRDefault="0048336D" w:rsidP="0007116F">
            <w:pPr>
              <w:spacing w:after="0" w:line="240" w:lineRule="auto"/>
              <w:textAlignment w:val="baseline"/>
              <w:rPr>
                <w:rFonts w:ascii="Times New Roman" w:eastAsia="Times New Roman" w:hAnsi="Times New Roman" w:cs="Times New Roman"/>
                <w:noProof/>
                <w:kern w:val="0"/>
                <w:sz w:val="20"/>
                <w:szCs w:val="20"/>
              </w:rPr>
            </w:pPr>
            <w:r w:rsidRPr="0007116F">
              <w:rPr>
                <w:rFonts w:ascii="Times New Roman" w:eastAsia="Times New Roman" w:hAnsi="Times New Roman" w:cs="Times New Roman"/>
                <w:noProof/>
                <w:color w:val="000000"/>
                <w:sz w:val="20"/>
                <w:szCs w:val="20"/>
                <w:lang w:eastAsia="en-IE"/>
              </w:rPr>
              <w:t>2.26% (2023)</w:t>
            </w:r>
          </w:p>
        </w:tc>
      </w:tr>
      <w:tr w:rsidR="00486446" w:rsidRPr="00486446" w14:paraId="2E3FC648"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6303DD1A" w14:textId="2FD15842"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885095">
              <w:rPr>
                <w:rFonts w:ascii="Times New Roman" w:eastAsia="Times New Roman" w:hAnsi="Times New Roman" w:cs="Times New Roman"/>
                <w:noProof/>
                <w:color w:val="000000"/>
                <w:sz w:val="20"/>
                <w:szCs w:val="20"/>
                <w:lang w:eastAsia="en-IE"/>
              </w:rPr>
              <w:t>KPI 1</w:t>
            </w:r>
            <w:r w:rsidR="00A43206">
              <w:rPr>
                <w:rFonts w:ascii="Times New Roman" w:eastAsia="Times New Roman" w:hAnsi="Times New Roman" w:cs="Times New Roman"/>
                <w:noProof/>
                <w:color w:val="000000"/>
                <w:sz w:val="20"/>
                <w:szCs w:val="20"/>
                <w:lang w:eastAsia="en-IE"/>
              </w:rPr>
              <w:t>3</w:t>
            </w:r>
            <w:r w:rsidRPr="00885095">
              <w:rPr>
                <w:rFonts w:ascii="Times New Roman" w:eastAsia="Times New Roman" w:hAnsi="Times New Roman" w:cs="Times New Roman"/>
                <w:noProof/>
                <w:color w:val="000000"/>
                <w:sz w:val="20"/>
                <w:szCs w:val="20"/>
                <w:lang w:eastAsia="en-IE"/>
              </w:rPr>
              <w:t>: Patent applications </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26461D6A" w14:textId="320E0A2B"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val="fr-FR"/>
              </w:rPr>
            </w:pPr>
            <w:r w:rsidRPr="00486446">
              <w:rPr>
                <w:rFonts w:ascii="Times New Roman" w:eastAsia="Times New Roman" w:hAnsi="Times New Roman" w:cs="Times New Roman"/>
                <w:noProof/>
                <w:sz w:val="20"/>
                <w:szCs w:val="20"/>
                <w:lang w:val="fr-FR" w:eastAsia="en-IE"/>
              </w:rPr>
              <w:t>Patent applications per million inhabitants</w:t>
            </w:r>
            <w:r w:rsidRPr="00885095">
              <w:rPr>
                <w:rFonts w:ascii="Times New Roman" w:eastAsia="Times New Roman" w:hAnsi="Times New Roman" w:cs="Times New Roman"/>
                <w:noProof/>
                <w:sz w:val="20"/>
                <w:szCs w:val="20"/>
                <w:vertAlign w:val="superscript"/>
                <w:lang w:eastAsia="en-IE"/>
              </w:rPr>
              <w:footnoteReference w:id="6"/>
            </w:r>
            <w:r w:rsidR="009D2A99" w:rsidRPr="004D4450">
              <w:rPr>
                <w:rFonts w:ascii="Times New Roman" w:eastAsia="Times New Roman" w:hAnsi="Times New Roman" w:cs="Times New Roman"/>
                <w:noProof/>
                <w:sz w:val="20"/>
                <w:szCs w:val="20"/>
                <w:lang w:val="fr-FR"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120EFCD1" w14:textId="77777777" w:rsidR="009D2A99" w:rsidRPr="0065549F" w:rsidRDefault="009D2A99" w:rsidP="009D2A99">
            <w:pPr>
              <w:spacing w:after="0" w:line="240" w:lineRule="auto"/>
              <w:textAlignment w:val="baseline"/>
              <w:rPr>
                <w:rFonts w:ascii="Times New Roman" w:eastAsia="Times New Roman" w:hAnsi="Times New Roman" w:cs="Times New Roman"/>
                <w:noProof/>
                <w:sz w:val="20"/>
                <w:szCs w:val="20"/>
                <w:lang w:eastAsia="en-IE"/>
              </w:rPr>
            </w:pPr>
            <w:r w:rsidRPr="00885095">
              <w:rPr>
                <w:rFonts w:ascii="Times New Roman" w:eastAsia="Times New Roman" w:hAnsi="Times New Roman" w:cs="Times New Roman"/>
                <w:noProof/>
                <w:color w:val="000000"/>
                <w:sz w:val="20"/>
                <w:szCs w:val="20"/>
                <w:lang w:eastAsia="en-IE"/>
              </w:rPr>
              <w:t>152 (2024)</w:t>
            </w:r>
          </w:p>
          <w:p w14:paraId="2BF6985C" w14:textId="71E5CDD3"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885095">
              <w:rPr>
                <w:rFonts w:ascii="Times New Roman" w:eastAsia="Times New Roman" w:hAnsi="Times New Roman" w:cs="Times New Roman"/>
                <w:noProof/>
                <w:color w:val="000000"/>
                <w:sz w:val="20"/>
                <w:szCs w:val="20"/>
                <w:lang w:eastAsia="en-IE"/>
              </w:rPr>
              <w:t>153 (2023) </w:t>
            </w:r>
          </w:p>
        </w:tc>
      </w:tr>
      <w:tr w:rsidR="00486446" w:rsidRPr="00486446" w14:paraId="3FF22C60"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C5E0B3"/>
          </w:tcPr>
          <w:p w14:paraId="5FA68F39" w14:textId="0D33BA2A"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885095">
              <w:rPr>
                <w:rFonts w:ascii="Times New Roman" w:eastAsia="Times New Roman" w:hAnsi="Times New Roman" w:cs="Times New Roman"/>
                <w:noProof/>
                <w:color w:val="000000"/>
                <w:sz w:val="20"/>
                <w:szCs w:val="20"/>
                <w:lang w:eastAsia="en-IE"/>
              </w:rPr>
              <w:t>KPI 1</w:t>
            </w:r>
            <w:r w:rsidR="00A43206">
              <w:rPr>
                <w:rFonts w:ascii="Times New Roman" w:eastAsia="Times New Roman" w:hAnsi="Times New Roman" w:cs="Times New Roman"/>
                <w:noProof/>
                <w:color w:val="000000"/>
                <w:sz w:val="20"/>
                <w:szCs w:val="20"/>
                <w:lang w:eastAsia="en-IE"/>
              </w:rPr>
              <w:t>4</w:t>
            </w:r>
            <w:r w:rsidRPr="00885095">
              <w:rPr>
                <w:rFonts w:ascii="Times New Roman" w:eastAsia="Times New Roman" w:hAnsi="Times New Roman" w:cs="Times New Roman"/>
                <w:noProof/>
                <w:color w:val="000000"/>
                <w:sz w:val="20"/>
                <w:szCs w:val="20"/>
                <w:lang w:eastAsia="en-IE"/>
              </w:rPr>
              <w:t>: Digital technologies adoption by companies</w:t>
            </w:r>
          </w:p>
        </w:tc>
        <w:tc>
          <w:tcPr>
            <w:tcW w:w="3989" w:type="dxa"/>
            <w:tcBorders>
              <w:top w:val="single" w:sz="4" w:space="0" w:color="auto"/>
              <w:left w:val="single" w:sz="4" w:space="0" w:color="auto"/>
              <w:bottom w:val="single" w:sz="4" w:space="0" w:color="auto"/>
              <w:right w:val="single" w:sz="4" w:space="0" w:color="auto"/>
            </w:tcBorders>
            <w:shd w:val="clear" w:color="auto" w:fill="C5E0B3"/>
          </w:tcPr>
          <w:p w14:paraId="0962C903" w14:textId="77777777" w:rsidR="00E8383A" w:rsidRDefault="0048336D" w:rsidP="00AC2436">
            <w:pPr>
              <w:spacing w:after="0" w:line="240" w:lineRule="auto"/>
              <w:textAlignment w:val="baseline"/>
              <w:rPr>
                <w:rFonts w:ascii="Times New Roman" w:eastAsia="Times New Roman" w:hAnsi="Times New Roman" w:cs="Times New Roman"/>
                <w:b/>
                <w:bCs/>
                <w:noProof/>
                <w:sz w:val="20"/>
                <w:szCs w:val="20"/>
                <w:lang w:eastAsia="en-IE"/>
              </w:rPr>
            </w:pPr>
            <w:r w:rsidRPr="00486446">
              <w:rPr>
                <w:rFonts w:ascii="Times New Roman" w:eastAsia="Times New Roman" w:hAnsi="Times New Roman" w:cs="Times New Roman"/>
                <w:noProof/>
                <w:sz w:val="20"/>
                <w:szCs w:val="20"/>
                <w:lang w:eastAsia="en-IE"/>
              </w:rPr>
              <w:t>Share of European enterprises that have taken up cloud computing services, data analytics and/or Artificial Intelligence.</w:t>
            </w:r>
            <w:r w:rsidR="009D2A99" w:rsidRPr="00EF60DD">
              <w:rPr>
                <w:rFonts w:ascii="Times New Roman" w:eastAsia="Times New Roman" w:hAnsi="Times New Roman" w:cs="Times New Roman"/>
                <w:b/>
                <w:bCs/>
                <w:noProof/>
                <w:sz w:val="20"/>
                <w:szCs w:val="20"/>
                <w:lang w:eastAsia="en-IE"/>
              </w:rPr>
              <w:t> </w:t>
            </w:r>
          </w:p>
          <w:p w14:paraId="617A2322" w14:textId="325FB3BD" w:rsidR="0048336D" w:rsidRPr="00486446" w:rsidRDefault="009D2A99" w:rsidP="00AC2436">
            <w:pPr>
              <w:spacing w:after="0" w:line="240" w:lineRule="auto"/>
              <w:textAlignment w:val="baseline"/>
              <w:rPr>
                <w:rFonts w:ascii="Times New Roman" w:eastAsia="Times New Roman" w:hAnsi="Times New Roman" w:cs="Times New Roman"/>
                <w:noProof/>
                <w:kern w:val="0"/>
                <w:sz w:val="20"/>
                <w:szCs w:val="20"/>
              </w:rPr>
            </w:pPr>
            <w:r w:rsidRPr="00EF60DD">
              <w:rPr>
                <w:rFonts w:ascii="Times New Roman" w:eastAsia="Times New Roman" w:hAnsi="Times New Roman" w:cs="Times New Roman"/>
                <w:b/>
                <w:bCs/>
                <w:noProof/>
                <w:sz w:val="20"/>
                <w:szCs w:val="20"/>
                <w:lang w:eastAsia="en-IE"/>
              </w:rPr>
              <w:t>Target</w:t>
            </w:r>
            <w:r w:rsidR="0048336D" w:rsidRPr="00486446">
              <w:rPr>
                <w:rFonts w:ascii="Times New Roman" w:eastAsia="Times New Roman" w:hAnsi="Times New Roman" w:cs="Times New Roman"/>
                <w:b/>
                <w:bCs/>
                <w:noProof/>
                <w:sz w:val="20"/>
                <w:szCs w:val="20"/>
                <w:lang w:eastAsia="en-IE"/>
              </w:rPr>
              <w:t xml:space="preserve"> = </w:t>
            </w:r>
            <w:r w:rsidR="0048336D" w:rsidRPr="00885095">
              <w:rPr>
                <w:rFonts w:ascii="Times New Roman" w:eastAsia="Times New Roman" w:hAnsi="Times New Roman" w:cs="Times New Roman"/>
                <w:b/>
                <w:noProof/>
                <w:color w:val="000000"/>
                <w:sz w:val="20"/>
                <w:szCs w:val="20"/>
                <w:lang w:eastAsia="en-IE"/>
              </w:rPr>
              <w:t>75% by 2030</w:t>
            </w:r>
            <w:r w:rsidR="00D97B79">
              <w:rPr>
                <w:rFonts w:ascii="Times New Roman" w:eastAsia="Times New Roman" w:hAnsi="Times New Roman" w:cs="Times New Roman"/>
                <w:b/>
                <w:noProof/>
                <w:color w:val="000000"/>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C5E0B3"/>
          </w:tcPr>
          <w:p w14:paraId="3A641002" w14:textId="77777777" w:rsidR="000B27FE" w:rsidRPr="00DD0DC9" w:rsidRDefault="000B27FE" w:rsidP="000B27FE">
            <w:pPr>
              <w:widowControl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sz w:val="20"/>
                <w:szCs w:val="20"/>
                <w:lang w:val="en-IE" w:eastAsia="en-IE"/>
              </w:rPr>
              <w:t>Artificial intelligence:  </w:t>
            </w:r>
          </w:p>
          <w:p w14:paraId="2BC6ED0D" w14:textId="77777777" w:rsidR="000B27FE" w:rsidRDefault="000B27FE" w:rsidP="000B27FE">
            <w:pPr>
              <w:widowControl w:val="0"/>
              <w:spacing w:after="0" w:line="240" w:lineRule="auto"/>
              <w:textAlignment w:val="baseline"/>
              <w:rPr>
                <w:rFonts w:ascii="Times New Roman" w:eastAsia="Times New Roman" w:hAnsi="Times New Roman" w:cs="Times New Roman"/>
                <w:noProof/>
                <w:sz w:val="20"/>
                <w:szCs w:val="20"/>
                <w:lang w:val="en-IE" w:eastAsia="en-IE"/>
              </w:rPr>
            </w:pPr>
            <w:r>
              <w:rPr>
                <w:rFonts w:ascii="Times New Roman" w:eastAsia="Times New Roman" w:hAnsi="Times New Roman" w:cs="Times New Roman"/>
                <w:noProof/>
                <w:sz w:val="20"/>
                <w:szCs w:val="20"/>
                <w:lang w:val="en-IE" w:eastAsia="en-IE"/>
              </w:rPr>
              <w:t xml:space="preserve">20% (2025), </w:t>
            </w:r>
            <w:r w:rsidRPr="00DD0DC9">
              <w:rPr>
                <w:rFonts w:ascii="Times New Roman" w:eastAsia="Times New Roman" w:hAnsi="Times New Roman" w:cs="Times New Roman"/>
                <w:noProof/>
                <w:sz w:val="20"/>
                <w:szCs w:val="20"/>
                <w:lang w:val="en-IE" w:eastAsia="en-IE"/>
              </w:rPr>
              <w:t>13.5% (2024)</w:t>
            </w:r>
          </w:p>
          <w:p w14:paraId="13FB8C92" w14:textId="77777777" w:rsidR="000B27FE" w:rsidRPr="00EC17DB" w:rsidRDefault="000B27FE" w:rsidP="000B27FE">
            <w:pPr>
              <w:widowControl w:val="0"/>
              <w:spacing w:after="0" w:line="240" w:lineRule="auto"/>
              <w:textAlignment w:val="baseline"/>
              <w:rPr>
                <w:rFonts w:ascii="Times New Roman" w:eastAsia="Times New Roman" w:hAnsi="Times New Roman" w:cs="Times New Roman"/>
                <w:noProof/>
                <w:sz w:val="6"/>
                <w:szCs w:val="6"/>
                <w:lang w:val="en-IE" w:eastAsia="en-IE"/>
              </w:rPr>
            </w:pPr>
          </w:p>
          <w:p w14:paraId="0980DAC7" w14:textId="77777777" w:rsidR="000B27FE" w:rsidRPr="00DD0DC9" w:rsidRDefault="000B27FE" w:rsidP="000B27FE">
            <w:pPr>
              <w:widowControl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sz w:val="20"/>
                <w:szCs w:val="20"/>
                <w:lang w:val="en-IE" w:eastAsia="en-IE"/>
              </w:rPr>
              <w:t xml:space="preserve">Data analytics: </w:t>
            </w:r>
          </w:p>
          <w:p w14:paraId="2F55A99C" w14:textId="77777777" w:rsidR="000B27FE" w:rsidRDefault="000B27FE" w:rsidP="000B27FE">
            <w:pPr>
              <w:widowControl w:val="0"/>
              <w:spacing w:after="0" w:line="240" w:lineRule="auto"/>
              <w:textAlignment w:val="baseline"/>
              <w:rPr>
                <w:rFonts w:ascii="Times New Roman" w:eastAsia="Times New Roman" w:hAnsi="Times New Roman" w:cs="Times New Roman"/>
                <w:noProof/>
                <w:sz w:val="20"/>
                <w:szCs w:val="20"/>
                <w:lang w:val="en-IE" w:eastAsia="en-IE"/>
              </w:rPr>
            </w:pPr>
            <w:r>
              <w:rPr>
                <w:rFonts w:ascii="Times New Roman" w:eastAsia="Times New Roman" w:hAnsi="Times New Roman" w:cs="Times New Roman"/>
                <w:noProof/>
                <w:sz w:val="20"/>
                <w:szCs w:val="20"/>
                <w:lang w:val="en-IE" w:eastAsia="en-IE"/>
              </w:rPr>
              <w:t xml:space="preserve">39.9% (2025), </w:t>
            </w:r>
            <w:r w:rsidRPr="00DD0DC9">
              <w:rPr>
                <w:rFonts w:ascii="Times New Roman" w:eastAsia="Times New Roman" w:hAnsi="Times New Roman" w:cs="Times New Roman"/>
                <w:noProof/>
                <w:sz w:val="20"/>
                <w:szCs w:val="20"/>
                <w:lang w:val="en-IE" w:eastAsia="en-IE"/>
              </w:rPr>
              <w:t>33.2% (2023)</w:t>
            </w:r>
          </w:p>
          <w:p w14:paraId="6898EFAB" w14:textId="77777777" w:rsidR="000B27FE" w:rsidRPr="00EC17DB" w:rsidRDefault="000B27FE" w:rsidP="000B27FE">
            <w:pPr>
              <w:widowControl w:val="0"/>
              <w:spacing w:after="0" w:line="240" w:lineRule="auto"/>
              <w:textAlignment w:val="baseline"/>
              <w:rPr>
                <w:rFonts w:ascii="Times New Roman" w:eastAsia="Times New Roman" w:hAnsi="Times New Roman" w:cs="Times New Roman"/>
                <w:noProof/>
                <w:sz w:val="6"/>
                <w:szCs w:val="6"/>
                <w:lang w:val="en-IE" w:eastAsia="en-IE"/>
              </w:rPr>
            </w:pPr>
          </w:p>
          <w:p w14:paraId="04588AAF" w14:textId="77777777" w:rsidR="000B27FE" w:rsidRPr="00DD0DC9" w:rsidRDefault="000B27FE" w:rsidP="000B27FE">
            <w:pPr>
              <w:widowControl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sz w:val="20"/>
                <w:szCs w:val="20"/>
                <w:lang w:val="en-IE" w:eastAsia="en-IE"/>
              </w:rPr>
              <w:t xml:space="preserve">Cloud computing services: </w:t>
            </w:r>
          </w:p>
          <w:p w14:paraId="09273392" w14:textId="287ACB65" w:rsidR="0048336D" w:rsidRPr="00486446" w:rsidRDefault="00EF6EFA" w:rsidP="00AC2436">
            <w:pPr>
              <w:spacing w:after="0" w:line="240" w:lineRule="auto"/>
              <w:textAlignment w:val="baseline"/>
              <w:rPr>
                <w:rFonts w:ascii="Times New Roman" w:eastAsia="Times New Roman" w:hAnsi="Times New Roman" w:cs="Times New Roman"/>
                <w:noProof/>
                <w:sz w:val="20"/>
                <w:szCs w:val="20"/>
                <w:lang w:eastAsia="en-IE"/>
              </w:rPr>
            </w:pPr>
            <w:r>
              <w:rPr>
                <w:rFonts w:ascii="Times New Roman" w:eastAsia="Times New Roman" w:hAnsi="Times New Roman" w:cs="Times New Roman"/>
                <w:noProof/>
                <w:sz w:val="20"/>
                <w:szCs w:val="20"/>
                <w:lang w:val="en-IE" w:eastAsia="en-IE"/>
              </w:rPr>
              <w:t>46</w:t>
            </w:r>
            <w:r w:rsidR="000B27FE">
              <w:rPr>
                <w:rFonts w:ascii="Times New Roman" w:eastAsia="Times New Roman" w:hAnsi="Times New Roman" w:cs="Times New Roman"/>
                <w:noProof/>
                <w:sz w:val="20"/>
                <w:szCs w:val="20"/>
                <w:lang w:val="en-IE" w:eastAsia="en-IE"/>
              </w:rPr>
              <w:t xml:space="preserve">.7% (2025), </w:t>
            </w:r>
            <w:r w:rsidR="000B27FE" w:rsidRPr="00DD0DC9">
              <w:rPr>
                <w:rFonts w:ascii="Times New Roman" w:eastAsia="Times New Roman" w:hAnsi="Times New Roman" w:cs="Times New Roman"/>
                <w:noProof/>
                <w:sz w:val="20"/>
                <w:szCs w:val="20"/>
                <w:lang w:val="en-IE" w:eastAsia="en-IE"/>
              </w:rPr>
              <w:t>38.9% (2023) </w:t>
            </w:r>
          </w:p>
        </w:tc>
      </w:tr>
      <w:tr w:rsidR="00486446" w:rsidRPr="00486446" w14:paraId="364D2C28"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489D2B87" w14:textId="14799D1A"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885095">
              <w:rPr>
                <w:rFonts w:ascii="Times New Roman" w:eastAsia="Times New Roman" w:hAnsi="Times New Roman" w:cs="Times New Roman"/>
                <w:noProof/>
                <w:color w:val="000000"/>
                <w:sz w:val="20"/>
                <w:szCs w:val="20"/>
                <w:lang w:eastAsia="en-IE"/>
              </w:rPr>
              <w:t>KPI 1</w:t>
            </w:r>
            <w:r w:rsidR="00A43206">
              <w:rPr>
                <w:rFonts w:ascii="Times New Roman" w:eastAsia="Times New Roman" w:hAnsi="Times New Roman" w:cs="Times New Roman"/>
                <w:noProof/>
                <w:color w:val="000000"/>
                <w:sz w:val="20"/>
                <w:szCs w:val="20"/>
                <w:lang w:eastAsia="en-IE"/>
              </w:rPr>
              <w:t>5</w:t>
            </w:r>
            <w:r w:rsidRPr="00885095">
              <w:rPr>
                <w:rFonts w:ascii="Times New Roman" w:eastAsia="Times New Roman" w:hAnsi="Times New Roman" w:cs="Times New Roman"/>
                <w:noProof/>
                <w:color w:val="000000"/>
                <w:sz w:val="20"/>
                <w:szCs w:val="20"/>
                <w:lang w:eastAsia="en-IE"/>
              </w:rPr>
              <w:t>: Employment rate</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509BACEA" w14:textId="27C931EF"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486446">
              <w:rPr>
                <w:rFonts w:ascii="Times New Roman" w:eastAsia="Times New Roman" w:hAnsi="Times New Roman" w:cs="Times New Roman"/>
                <w:noProof/>
                <w:sz w:val="20"/>
                <w:szCs w:val="20"/>
                <w:lang w:eastAsia="en-IE"/>
              </w:rPr>
              <w:t>The share of working-age people employed.</w:t>
            </w:r>
            <w:r w:rsidRPr="00486446">
              <w:rPr>
                <w:rFonts w:ascii="Times New Roman" w:eastAsia="Times New Roman" w:hAnsi="Times New Roman" w:cs="Times New Roman"/>
                <w:b/>
                <w:bCs/>
                <w:noProof/>
                <w:sz w:val="20"/>
                <w:szCs w:val="20"/>
                <w:lang w:eastAsia="en-IE"/>
              </w:rPr>
              <w:t> </w:t>
            </w:r>
            <w:r w:rsidR="009D2A99">
              <w:rPr>
                <w:rFonts w:ascii="Times New Roman" w:eastAsia="Times New Roman" w:hAnsi="Times New Roman" w:cs="Times New Roman"/>
                <w:b/>
                <w:bCs/>
                <w:noProof/>
                <w:sz w:val="20"/>
                <w:szCs w:val="20"/>
                <w:lang w:eastAsia="en-IE"/>
              </w:rPr>
              <w:t xml:space="preserve"> </w:t>
            </w:r>
            <w:r w:rsidRPr="00486446">
              <w:rPr>
                <w:rFonts w:ascii="Times New Roman" w:eastAsia="Times New Roman" w:hAnsi="Times New Roman" w:cs="Times New Roman"/>
                <w:b/>
                <w:bCs/>
                <w:noProof/>
                <w:sz w:val="20"/>
                <w:szCs w:val="20"/>
                <w:lang w:eastAsia="en-IE"/>
              </w:rPr>
              <w:t xml:space="preserve">Target = </w:t>
            </w:r>
            <w:r w:rsidRPr="00885095">
              <w:rPr>
                <w:rFonts w:ascii="Times New Roman" w:eastAsia="Times New Roman" w:hAnsi="Times New Roman" w:cs="Times New Roman"/>
                <w:b/>
                <w:noProof/>
                <w:color w:val="000000"/>
                <w:sz w:val="20"/>
                <w:szCs w:val="20"/>
                <w:lang w:eastAsia="en-IE"/>
              </w:rPr>
              <w:t>78% by 2030</w:t>
            </w:r>
            <w:r w:rsidR="00D97B79">
              <w:rPr>
                <w:rFonts w:ascii="Times New Roman" w:eastAsia="Times New Roman" w:hAnsi="Times New Roman" w:cs="Times New Roman"/>
                <w:b/>
                <w:noProof/>
                <w:color w:val="000000"/>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0E81CA35" w14:textId="77777777" w:rsidR="009D2A99" w:rsidRPr="0065549F" w:rsidRDefault="009D2A99" w:rsidP="009D2A99">
            <w:pPr>
              <w:spacing w:after="0" w:line="240" w:lineRule="auto"/>
              <w:textAlignment w:val="baseline"/>
              <w:rPr>
                <w:rFonts w:ascii="Times New Roman" w:eastAsia="Times New Roman" w:hAnsi="Times New Roman" w:cs="Times New Roman"/>
                <w:noProof/>
                <w:sz w:val="20"/>
                <w:szCs w:val="20"/>
                <w:lang w:eastAsia="en-IE"/>
              </w:rPr>
            </w:pPr>
            <w:r w:rsidRPr="00885095">
              <w:rPr>
                <w:rFonts w:ascii="Times New Roman" w:eastAsia="Times New Roman" w:hAnsi="Times New Roman" w:cs="Times New Roman"/>
                <w:noProof/>
                <w:sz w:val="20"/>
                <w:szCs w:val="20"/>
                <w:lang w:eastAsia="en-IE"/>
              </w:rPr>
              <w:t>75.8% (2024)</w:t>
            </w:r>
          </w:p>
          <w:p w14:paraId="23EC2B7D" w14:textId="77777777"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75.3% (2023)</w:t>
            </w:r>
          </w:p>
        </w:tc>
      </w:tr>
      <w:tr w:rsidR="00486446" w:rsidRPr="00486446" w14:paraId="0D901A5D"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4B083"/>
          </w:tcPr>
          <w:p w14:paraId="49A3DAE4" w14:textId="188C98A2"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885095">
              <w:rPr>
                <w:rFonts w:ascii="Times New Roman" w:eastAsia="Times New Roman" w:hAnsi="Times New Roman" w:cs="Times New Roman"/>
                <w:noProof/>
                <w:color w:val="000000"/>
                <w:sz w:val="20"/>
                <w:szCs w:val="20"/>
                <w:lang w:eastAsia="en-IE"/>
              </w:rPr>
              <w:t>KPI 1</w:t>
            </w:r>
            <w:r w:rsidR="00A43206">
              <w:rPr>
                <w:rFonts w:ascii="Times New Roman" w:eastAsia="Times New Roman" w:hAnsi="Times New Roman" w:cs="Times New Roman"/>
                <w:noProof/>
                <w:color w:val="000000"/>
                <w:sz w:val="20"/>
                <w:szCs w:val="20"/>
                <w:lang w:eastAsia="en-IE"/>
              </w:rPr>
              <w:t>6</w:t>
            </w:r>
            <w:r w:rsidRPr="00885095">
              <w:rPr>
                <w:rFonts w:ascii="Times New Roman" w:eastAsia="Times New Roman" w:hAnsi="Times New Roman" w:cs="Times New Roman"/>
                <w:noProof/>
                <w:color w:val="000000"/>
                <w:sz w:val="20"/>
                <w:szCs w:val="20"/>
                <w:lang w:eastAsia="en-IE"/>
              </w:rPr>
              <w:t>: Labour shortages relevant for the green transition</w:t>
            </w:r>
          </w:p>
        </w:tc>
        <w:tc>
          <w:tcPr>
            <w:tcW w:w="3989" w:type="dxa"/>
            <w:tcBorders>
              <w:top w:val="single" w:sz="4" w:space="0" w:color="auto"/>
              <w:left w:val="single" w:sz="4" w:space="0" w:color="auto"/>
              <w:bottom w:val="single" w:sz="4" w:space="0" w:color="auto"/>
              <w:right w:val="single" w:sz="4" w:space="0" w:color="auto"/>
            </w:tcBorders>
            <w:shd w:val="clear" w:color="auto" w:fill="F4B083"/>
          </w:tcPr>
          <w:p w14:paraId="2E1126EF" w14:textId="5993BE2F"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486446">
              <w:rPr>
                <w:rFonts w:ascii="Times New Roman" w:eastAsia="Times New Roman" w:hAnsi="Times New Roman" w:cs="Times New Roman"/>
                <w:noProof/>
                <w:sz w:val="20"/>
                <w:szCs w:val="20"/>
              </w:rPr>
              <w:t>Number of occupations requiring specific skills for the green transition where at least five Member States reported a shortage</w:t>
            </w:r>
            <w:r w:rsidR="009D2A99" w:rsidRPr="00885095">
              <w:rPr>
                <w:rFonts w:ascii="Times New Roman" w:eastAsia="Times New Roman" w:hAnsi="Times New Roman" w:cs="Times New Roman"/>
                <w:noProof/>
                <w:sz w:val="20"/>
                <w:szCs w:val="20"/>
              </w:rPr>
              <w:t>.</w:t>
            </w:r>
          </w:p>
        </w:tc>
        <w:tc>
          <w:tcPr>
            <w:tcW w:w="2591" w:type="dxa"/>
            <w:tcBorders>
              <w:top w:val="single" w:sz="4" w:space="0" w:color="auto"/>
              <w:left w:val="single" w:sz="4" w:space="0" w:color="auto"/>
              <w:bottom w:val="single" w:sz="4" w:space="0" w:color="auto"/>
              <w:right w:val="single" w:sz="4" w:space="0" w:color="auto"/>
            </w:tcBorders>
            <w:shd w:val="clear" w:color="auto" w:fill="F4B083"/>
          </w:tcPr>
          <w:p w14:paraId="630F6AF3" w14:textId="77777777" w:rsidR="0048336D" w:rsidRPr="00486446"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25 (2024)</w:t>
            </w:r>
          </w:p>
          <w:p w14:paraId="6186DB18" w14:textId="77777777" w:rsidR="0048336D" w:rsidRPr="00486446"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13 (2023)</w:t>
            </w:r>
          </w:p>
        </w:tc>
      </w:tr>
      <w:tr w:rsidR="00486446" w:rsidRPr="00486446" w14:paraId="47389E09"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4B083"/>
          </w:tcPr>
          <w:p w14:paraId="6C5011D0" w14:textId="64C83C71" w:rsidR="0048336D" w:rsidRPr="00E61CAA" w:rsidRDefault="0048336D" w:rsidP="00AC2436">
            <w:pPr>
              <w:spacing w:after="0" w:line="240" w:lineRule="auto"/>
              <w:textAlignment w:val="baseline"/>
              <w:rPr>
                <w:rFonts w:ascii="Times New Roman" w:eastAsia="Times New Roman" w:hAnsi="Times New Roman" w:cs="Times New Roman"/>
                <w:noProof/>
                <w:kern w:val="0"/>
                <w:sz w:val="20"/>
                <w:szCs w:val="20"/>
                <w:lang w:val="fr-FR" w:eastAsia="en-IE"/>
              </w:rPr>
            </w:pPr>
            <w:r w:rsidRPr="00E61CAA">
              <w:rPr>
                <w:rFonts w:ascii="Times New Roman" w:eastAsia="Times New Roman" w:hAnsi="Times New Roman" w:cs="Times New Roman"/>
                <w:noProof/>
                <w:color w:val="000000"/>
                <w:sz w:val="20"/>
                <w:szCs w:val="20"/>
                <w:lang w:val="fr-FR" w:eastAsia="en-IE"/>
              </w:rPr>
              <w:t>KPI 1</w:t>
            </w:r>
            <w:r w:rsidR="00A43206" w:rsidRPr="00E61CAA">
              <w:rPr>
                <w:rFonts w:ascii="Times New Roman" w:eastAsia="Times New Roman" w:hAnsi="Times New Roman" w:cs="Times New Roman"/>
                <w:noProof/>
                <w:color w:val="000000"/>
                <w:sz w:val="20"/>
                <w:szCs w:val="20"/>
                <w:lang w:val="fr-FR" w:eastAsia="en-IE"/>
              </w:rPr>
              <w:t>7</w:t>
            </w:r>
            <w:r w:rsidRPr="00E61CAA">
              <w:rPr>
                <w:rFonts w:ascii="Times New Roman" w:eastAsia="Times New Roman" w:hAnsi="Times New Roman" w:cs="Times New Roman"/>
                <w:noProof/>
                <w:color w:val="000000"/>
                <w:sz w:val="20"/>
                <w:szCs w:val="20"/>
                <w:lang w:val="fr-FR" w:eastAsia="en-IE"/>
              </w:rPr>
              <w:t>: PISA score </w:t>
            </w:r>
          </w:p>
        </w:tc>
        <w:tc>
          <w:tcPr>
            <w:tcW w:w="3989" w:type="dxa"/>
            <w:tcBorders>
              <w:top w:val="single" w:sz="4" w:space="0" w:color="auto"/>
              <w:left w:val="single" w:sz="4" w:space="0" w:color="auto"/>
              <w:bottom w:val="single" w:sz="4" w:space="0" w:color="auto"/>
              <w:right w:val="single" w:sz="4" w:space="0" w:color="auto"/>
            </w:tcBorders>
            <w:shd w:val="clear" w:color="auto" w:fill="F4B083"/>
          </w:tcPr>
          <w:p w14:paraId="56C842F6" w14:textId="5898DA4F"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486446">
              <w:rPr>
                <w:rFonts w:ascii="Times New Roman" w:eastAsia="Times New Roman" w:hAnsi="Times New Roman" w:cs="Times New Roman"/>
                <w:noProof/>
                <w:sz w:val="20"/>
                <w:szCs w:val="20"/>
                <w:lang w:eastAsia="en-IE"/>
              </w:rPr>
              <w:t>15-year-olds’ performance in the OECD’s PISA tests</w:t>
            </w:r>
            <w:r w:rsidR="009D2A99" w:rsidRPr="00885095">
              <w:rPr>
                <w:rFonts w:ascii="Times New Roman" w:eastAsia="Times New Roman" w:hAnsi="Times New Roman" w:cs="Times New Roman"/>
                <w:noProof/>
                <w:sz w:val="20"/>
                <w:szCs w:val="20"/>
                <w:lang w:eastAsia="en-IE"/>
              </w:rPr>
              <w:t>.</w:t>
            </w:r>
            <w:r w:rsidRPr="00486446">
              <w:rPr>
                <w:rFonts w:ascii="Times New Roman" w:eastAsia="Times New Roman" w:hAnsi="Times New Roman" w:cs="Times New Roman"/>
                <w:noProof/>
                <w:sz w:val="20"/>
                <w:szCs w:val="20"/>
                <w:lang w:eastAsia="en-IE"/>
              </w:rPr>
              <w:t xml:space="preserve"> High scores indicate better performance</w:t>
            </w:r>
            <w:r w:rsidR="009D2A99" w:rsidRPr="00885095">
              <w:rPr>
                <w:rFonts w:ascii="Times New Roman" w:eastAsia="Times New Roman" w:hAnsi="Times New Roman" w:cs="Times New Roman"/>
                <w:noProof/>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F4B083"/>
          </w:tcPr>
          <w:p w14:paraId="072CADA6" w14:textId="60561CB8" w:rsidR="007F5225" w:rsidRPr="00EF60DD" w:rsidRDefault="0048336D" w:rsidP="00AC2436">
            <w:pPr>
              <w:spacing w:after="0" w:line="240" w:lineRule="auto"/>
              <w:textAlignment w:val="baseline"/>
              <w:rPr>
                <w:rFonts w:ascii="Times New Roman" w:eastAsia="Times New Roman" w:hAnsi="Times New Roman" w:cs="Times New Roman"/>
                <w:noProof/>
                <w:color w:val="000000"/>
                <w:sz w:val="20"/>
                <w:szCs w:val="20"/>
                <w:lang w:eastAsia="en-IE"/>
              </w:rPr>
            </w:pPr>
            <w:r w:rsidRPr="00885095">
              <w:rPr>
                <w:rFonts w:ascii="Times New Roman" w:eastAsia="Times New Roman" w:hAnsi="Times New Roman" w:cs="Times New Roman"/>
                <w:noProof/>
                <w:color w:val="000000"/>
                <w:sz w:val="20"/>
                <w:szCs w:val="20"/>
                <w:lang w:eastAsia="en-IE"/>
              </w:rPr>
              <w:t xml:space="preserve">Maths: </w:t>
            </w:r>
          </w:p>
          <w:p w14:paraId="16DC9496" w14:textId="77777777" w:rsidR="0048336D" w:rsidRPr="009D2A99" w:rsidRDefault="0048336D" w:rsidP="00AC2436">
            <w:pPr>
              <w:spacing w:after="0" w:line="240" w:lineRule="auto"/>
              <w:textAlignment w:val="baseline"/>
              <w:rPr>
                <w:rFonts w:ascii="Times New Roman" w:eastAsia="Times New Roman" w:hAnsi="Times New Roman" w:cs="Times New Roman"/>
                <w:noProof/>
                <w:color w:val="000000"/>
                <w:sz w:val="20"/>
                <w:szCs w:val="20"/>
                <w:lang w:eastAsia="en-IE"/>
              </w:rPr>
            </w:pPr>
            <w:r w:rsidRPr="00885095">
              <w:rPr>
                <w:rFonts w:ascii="Times New Roman" w:eastAsia="Times New Roman" w:hAnsi="Times New Roman" w:cs="Times New Roman"/>
                <w:noProof/>
                <w:color w:val="000000"/>
                <w:sz w:val="20"/>
                <w:szCs w:val="20"/>
                <w:lang w:eastAsia="en-IE"/>
              </w:rPr>
              <w:t>474 (2022)</w:t>
            </w:r>
            <w:r>
              <w:rPr>
                <w:rFonts w:ascii="Times New Roman" w:eastAsia="Times New Roman" w:hAnsi="Times New Roman" w:cs="Times New Roman"/>
                <w:noProof/>
                <w:color w:val="000000"/>
                <w:sz w:val="20"/>
                <w:szCs w:val="20"/>
                <w:lang w:eastAsia="en-IE"/>
              </w:rPr>
              <w:t xml:space="preserve">, </w:t>
            </w:r>
            <w:r w:rsidRPr="00885095">
              <w:rPr>
                <w:rFonts w:ascii="Times New Roman" w:eastAsia="Times New Roman" w:hAnsi="Times New Roman" w:cs="Times New Roman"/>
                <w:noProof/>
                <w:color w:val="000000"/>
                <w:sz w:val="20"/>
                <w:szCs w:val="20"/>
                <w:lang w:eastAsia="en-IE"/>
              </w:rPr>
              <w:t>492 (2018)</w:t>
            </w:r>
          </w:p>
          <w:p w14:paraId="6C38CB1F" w14:textId="77777777" w:rsidR="0048336D" w:rsidRPr="00FD0882" w:rsidRDefault="0048336D" w:rsidP="00AC2436">
            <w:pPr>
              <w:spacing w:after="0" w:line="240" w:lineRule="auto"/>
              <w:textAlignment w:val="baseline"/>
              <w:rPr>
                <w:rFonts w:ascii="Times New Roman" w:eastAsia="Times New Roman" w:hAnsi="Times New Roman" w:cs="Times New Roman"/>
                <w:noProof/>
                <w:color w:val="000000"/>
                <w:sz w:val="6"/>
                <w:szCs w:val="6"/>
                <w:lang w:eastAsia="en-IE"/>
              </w:rPr>
            </w:pPr>
          </w:p>
          <w:p w14:paraId="382871E3" w14:textId="6298A0A0" w:rsidR="007F5225" w:rsidRPr="00EF60DD" w:rsidRDefault="0048336D" w:rsidP="00AC2436">
            <w:pPr>
              <w:spacing w:after="0" w:line="240" w:lineRule="auto"/>
              <w:textAlignment w:val="baseline"/>
              <w:rPr>
                <w:rFonts w:ascii="Times New Roman" w:eastAsia="Times New Roman" w:hAnsi="Times New Roman" w:cs="Times New Roman"/>
                <w:noProof/>
                <w:color w:val="000000"/>
                <w:sz w:val="20"/>
                <w:szCs w:val="20"/>
                <w:lang w:eastAsia="en-IE"/>
              </w:rPr>
            </w:pPr>
            <w:r w:rsidRPr="00885095">
              <w:rPr>
                <w:rFonts w:ascii="Times New Roman" w:eastAsia="Times New Roman" w:hAnsi="Times New Roman" w:cs="Times New Roman"/>
                <w:noProof/>
                <w:color w:val="000000"/>
                <w:sz w:val="20"/>
                <w:szCs w:val="20"/>
                <w:lang w:eastAsia="en-IE"/>
              </w:rPr>
              <w:t xml:space="preserve">Reading: </w:t>
            </w:r>
          </w:p>
          <w:p w14:paraId="230004B0" w14:textId="77777777" w:rsidR="0048336D" w:rsidRDefault="0048336D" w:rsidP="00AC2436">
            <w:pPr>
              <w:spacing w:after="0" w:line="240" w:lineRule="auto"/>
              <w:textAlignment w:val="baseline"/>
              <w:rPr>
                <w:rFonts w:ascii="Times New Roman" w:eastAsia="Times New Roman" w:hAnsi="Times New Roman" w:cs="Times New Roman"/>
                <w:noProof/>
                <w:color w:val="000000"/>
                <w:sz w:val="20"/>
                <w:szCs w:val="20"/>
                <w:lang w:eastAsia="en-IE"/>
              </w:rPr>
            </w:pPr>
            <w:r w:rsidRPr="00885095">
              <w:rPr>
                <w:rFonts w:ascii="Times New Roman" w:eastAsia="Times New Roman" w:hAnsi="Times New Roman" w:cs="Times New Roman"/>
                <w:noProof/>
                <w:color w:val="000000"/>
                <w:sz w:val="20"/>
                <w:szCs w:val="20"/>
                <w:lang w:eastAsia="en-IE"/>
              </w:rPr>
              <w:t>475 (2022), 488 (2018)</w:t>
            </w:r>
          </w:p>
          <w:p w14:paraId="54D58E72" w14:textId="77777777" w:rsidR="0048336D" w:rsidRPr="00FD0882" w:rsidRDefault="0048336D" w:rsidP="00AC2436">
            <w:pPr>
              <w:spacing w:after="0" w:line="240" w:lineRule="auto"/>
              <w:textAlignment w:val="baseline"/>
              <w:rPr>
                <w:rFonts w:ascii="Times New Roman" w:eastAsia="Times New Roman" w:hAnsi="Times New Roman" w:cs="Times New Roman"/>
                <w:noProof/>
                <w:color w:val="000000"/>
                <w:sz w:val="6"/>
                <w:szCs w:val="6"/>
                <w:lang w:eastAsia="en-IE"/>
              </w:rPr>
            </w:pPr>
          </w:p>
          <w:p w14:paraId="7826E84F" w14:textId="1456F58A" w:rsidR="007F5225" w:rsidRPr="00EF60DD" w:rsidRDefault="0048336D" w:rsidP="00AC2436">
            <w:pPr>
              <w:spacing w:after="0" w:line="240" w:lineRule="auto"/>
              <w:textAlignment w:val="baseline"/>
              <w:rPr>
                <w:rFonts w:ascii="Times New Roman" w:eastAsia="Times New Roman" w:hAnsi="Times New Roman" w:cs="Times New Roman"/>
                <w:noProof/>
                <w:color w:val="000000"/>
                <w:sz w:val="20"/>
                <w:szCs w:val="20"/>
                <w:lang w:eastAsia="en-IE"/>
              </w:rPr>
            </w:pPr>
            <w:r w:rsidRPr="00885095">
              <w:rPr>
                <w:rFonts w:ascii="Times New Roman" w:eastAsia="Times New Roman" w:hAnsi="Times New Roman" w:cs="Times New Roman"/>
                <w:noProof/>
                <w:color w:val="000000"/>
                <w:sz w:val="20"/>
                <w:szCs w:val="20"/>
                <w:lang w:eastAsia="en-IE"/>
              </w:rPr>
              <w:t xml:space="preserve">Science: </w:t>
            </w:r>
          </w:p>
          <w:p w14:paraId="737AC085" w14:textId="18CEC682"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885095">
              <w:rPr>
                <w:rFonts w:ascii="Times New Roman" w:eastAsia="Times New Roman" w:hAnsi="Times New Roman" w:cs="Times New Roman"/>
                <w:noProof/>
                <w:color w:val="000000"/>
                <w:sz w:val="20"/>
                <w:szCs w:val="20"/>
                <w:lang w:eastAsia="en-IE"/>
              </w:rPr>
              <w:t>484 (2022), 488 (2018)</w:t>
            </w:r>
          </w:p>
        </w:tc>
      </w:tr>
      <w:tr w:rsidR="00486446" w:rsidRPr="00486446" w14:paraId="23E8A43A" w14:textId="77777777" w:rsidTr="00AC2436">
        <w:trPr>
          <w:trHeight w:val="340"/>
        </w:trPr>
        <w:tc>
          <w:tcPr>
            <w:tcW w:w="8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39283" w14:textId="77777777" w:rsidR="0048336D" w:rsidRPr="00486446" w:rsidRDefault="0048336D" w:rsidP="00AC2436">
            <w:pPr>
              <w:widowControl w:val="0"/>
              <w:shd w:val="clear" w:color="auto" w:fill="FFFFFF"/>
              <w:spacing w:after="0" w:line="240" w:lineRule="auto"/>
              <w:rPr>
                <w:rFonts w:ascii="Times New Roman" w:eastAsia="Times New Roman" w:hAnsi="Times New Roman" w:cs="Times New Roman"/>
                <w:noProof/>
                <w:kern w:val="0"/>
                <w:sz w:val="20"/>
                <w:szCs w:val="20"/>
              </w:rPr>
            </w:pPr>
            <w:r w:rsidRPr="0065549F">
              <w:rPr>
                <w:rFonts w:ascii="Times New Roman" w:eastAsia="Times New Roman" w:hAnsi="Times New Roman" w:cs="Times New Roman"/>
                <w:b/>
                <w:noProof/>
                <w:sz w:val="20"/>
                <w:szCs w:val="20"/>
                <w:lang w:eastAsia="en-IE"/>
              </w:rPr>
              <w:t>Decarbonisation of industry and investment</w:t>
            </w:r>
            <w:r w:rsidRPr="0065549F">
              <w:rPr>
                <w:rFonts w:ascii="Times New Roman" w:eastAsia="Times New Roman" w:hAnsi="Times New Roman" w:cs="Times New Roman"/>
                <w:noProof/>
                <w:sz w:val="20"/>
                <w:szCs w:val="20"/>
                <w:lang w:eastAsia="en-IE"/>
              </w:rPr>
              <w:t> </w:t>
            </w:r>
          </w:p>
        </w:tc>
      </w:tr>
      <w:tr w:rsidR="00486446" w:rsidRPr="00486446" w14:paraId="38908E42"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4B083"/>
          </w:tcPr>
          <w:p w14:paraId="2EF1097B" w14:textId="70C3A0BA"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KPI 1</w:t>
            </w:r>
            <w:r w:rsidR="00A43206">
              <w:rPr>
                <w:rFonts w:ascii="Times New Roman" w:eastAsia="Times New Roman" w:hAnsi="Times New Roman" w:cs="Times New Roman"/>
                <w:noProof/>
                <w:sz w:val="20"/>
                <w:szCs w:val="20"/>
                <w:lang w:eastAsia="en-IE"/>
              </w:rPr>
              <w:t>8</w:t>
            </w:r>
            <w:r w:rsidRPr="00486446">
              <w:rPr>
                <w:rFonts w:ascii="Times New Roman" w:eastAsia="Times New Roman" w:hAnsi="Times New Roman" w:cs="Times New Roman"/>
                <w:noProof/>
                <w:sz w:val="20"/>
                <w:szCs w:val="20"/>
                <w:lang w:eastAsia="en-IE"/>
              </w:rPr>
              <w:t>: Private investment </w:t>
            </w:r>
          </w:p>
        </w:tc>
        <w:tc>
          <w:tcPr>
            <w:tcW w:w="3989" w:type="dxa"/>
            <w:tcBorders>
              <w:top w:val="single" w:sz="4" w:space="0" w:color="auto"/>
              <w:left w:val="single" w:sz="4" w:space="0" w:color="auto"/>
              <w:bottom w:val="single" w:sz="4" w:space="0" w:color="auto"/>
              <w:right w:val="single" w:sz="4" w:space="0" w:color="auto"/>
            </w:tcBorders>
            <w:shd w:val="clear" w:color="auto" w:fill="F4B083"/>
          </w:tcPr>
          <w:p w14:paraId="7005874D" w14:textId="71AD4E1E"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486446">
              <w:rPr>
                <w:rFonts w:ascii="Times New Roman" w:eastAsia="Times New Roman" w:hAnsi="Times New Roman" w:cs="Times New Roman"/>
                <w:noProof/>
                <w:sz w:val="20"/>
                <w:szCs w:val="20"/>
                <w:lang w:eastAsia="en-IE"/>
              </w:rPr>
              <w:t>Private investment (share of GDP</w:t>
            </w:r>
            <w:r w:rsidR="00901A7B" w:rsidRPr="004D4450">
              <w:rPr>
                <w:rFonts w:ascii="Times New Roman" w:eastAsia="Times New Roman" w:hAnsi="Times New Roman" w:cs="Times New Roman"/>
                <w:noProof/>
                <w:sz w:val="20"/>
                <w:szCs w:val="20"/>
                <w:lang w:eastAsia="en-IE"/>
              </w:rPr>
              <w:t>).</w:t>
            </w:r>
            <w:r w:rsidRPr="00486446">
              <w:rPr>
                <w:rFonts w:ascii="Times New Roman" w:eastAsia="Times New Roman" w:hAnsi="Times New Roman" w:cs="Times New Roman"/>
                <w:noProof/>
                <w:sz w:val="20"/>
                <w:szCs w:val="20"/>
                <w:lang w:eastAsia="en-IE"/>
              </w:rPr>
              <w:t> </w:t>
            </w:r>
          </w:p>
        </w:tc>
        <w:tc>
          <w:tcPr>
            <w:tcW w:w="2591" w:type="dxa"/>
            <w:tcBorders>
              <w:top w:val="single" w:sz="4" w:space="0" w:color="auto"/>
              <w:left w:val="single" w:sz="4" w:space="0" w:color="auto"/>
              <w:bottom w:val="single" w:sz="4" w:space="0" w:color="auto"/>
              <w:right w:val="single" w:sz="4" w:space="0" w:color="auto"/>
            </w:tcBorders>
            <w:shd w:val="clear" w:color="auto" w:fill="F4B083"/>
          </w:tcPr>
          <w:p w14:paraId="1F248A17" w14:textId="77777777"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17.6% (2024)</w:t>
            </w:r>
          </w:p>
          <w:p w14:paraId="57D2443C" w14:textId="147CE3A9"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18.</w:t>
            </w:r>
            <w:r w:rsidR="007E0DB9">
              <w:rPr>
                <w:rFonts w:ascii="Times New Roman" w:eastAsia="Times New Roman" w:hAnsi="Times New Roman" w:cs="Times New Roman"/>
                <w:noProof/>
                <w:sz w:val="20"/>
                <w:szCs w:val="20"/>
                <w:lang w:eastAsia="en-IE"/>
              </w:rPr>
              <w:t>6</w:t>
            </w:r>
            <w:r w:rsidRPr="00486446">
              <w:rPr>
                <w:rFonts w:ascii="Times New Roman" w:eastAsia="Times New Roman" w:hAnsi="Times New Roman" w:cs="Times New Roman"/>
                <w:noProof/>
                <w:sz w:val="20"/>
                <w:szCs w:val="20"/>
                <w:lang w:eastAsia="en-IE"/>
              </w:rPr>
              <w:t>% (2023)</w:t>
            </w:r>
          </w:p>
        </w:tc>
      </w:tr>
      <w:tr w:rsidR="00486446" w:rsidRPr="00486446" w14:paraId="137E14A3"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1CAE595D" w14:textId="1BF9EC12"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 xml:space="preserve">KPI </w:t>
            </w:r>
            <w:r w:rsidR="00A43206">
              <w:rPr>
                <w:rFonts w:ascii="Times New Roman" w:eastAsia="Times New Roman" w:hAnsi="Times New Roman" w:cs="Times New Roman"/>
                <w:noProof/>
                <w:sz w:val="20"/>
                <w:szCs w:val="20"/>
                <w:lang w:eastAsia="en-IE"/>
              </w:rPr>
              <w:t>19</w:t>
            </w:r>
            <w:r w:rsidRPr="00486446">
              <w:rPr>
                <w:rFonts w:ascii="Times New Roman" w:eastAsia="Times New Roman" w:hAnsi="Times New Roman" w:cs="Times New Roman"/>
                <w:noProof/>
                <w:sz w:val="20"/>
                <w:szCs w:val="20"/>
                <w:lang w:eastAsia="en-IE"/>
              </w:rPr>
              <w:t>: Public investment </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67A70107" w14:textId="6F839177"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486446">
              <w:rPr>
                <w:rFonts w:ascii="Times New Roman" w:eastAsia="Times New Roman" w:hAnsi="Times New Roman" w:cs="Times New Roman"/>
                <w:noProof/>
                <w:sz w:val="20"/>
                <w:szCs w:val="20"/>
                <w:lang w:eastAsia="en-IE"/>
              </w:rPr>
              <w:t>Public investment (share of GDP</w:t>
            </w:r>
            <w:r w:rsidR="00901A7B" w:rsidRPr="004D4450">
              <w:rPr>
                <w:rFonts w:ascii="Times New Roman" w:eastAsia="Times New Roman" w:hAnsi="Times New Roman" w:cs="Times New Roman"/>
                <w:noProof/>
                <w:sz w:val="20"/>
                <w:szCs w:val="20"/>
                <w:lang w:eastAsia="en-IE"/>
              </w:rPr>
              <w:t>).</w:t>
            </w:r>
            <w:r w:rsidRPr="00486446">
              <w:rPr>
                <w:rFonts w:ascii="Times New Roman" w:eastAsia="Times New Roman" w:hAnsi="Times New Roman" w:cs="Times New Roman"/>
                <w:noProof/>
                <w:sz w:val="20"/>
                <w:szCs w:val="20"/>
                <w:lang w:eastAsia="en-IE"/>
              </w:rPr>
              <w:t> </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0CDF44E2" w14:textId="10F20A7C"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3.</w:t>
            </w:r>
            <w:r w:rsidR="00237C5F">
              <w:rPr>
                <w:rFonts w:ascii="Times New Roman" w:eastAsia="Times New Roman" w:hAnsi="Times New Roman" w:cs="Times New Roman"/>
                <w:noProof/>
                <w:sz w:val="20"/>
                <w:szCs w:val="20"/>
                <w:lang w:eastAsia="en-IE"/>
              </w:rPr>
              <w:t>7</w:t>
            </w:r>
            <w:r w:rsidRPr="00486446">
              <w:rPr>
                <w:rFonts w:ascii="Times New Roman" w:eastAsia="Times New Roman" w:hAnsi="Times New Roman" w:cs="Times New Roman"/>
                <w:noProof/>
                <w:sz w:val="20"/>
                <w:szCs w:val="20"/>
                <w:lang w:eastAsia="en-IE"/>
              </w:rPr>
              <w:t>% (2024)</w:t>
            </w:r>
          </w:p>
          <w:p w14:paraId="6C6255AF" w14:textId="2570727A"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3.</w:t>
            </w:r>
            <w:r w:rsidR="00237C5F">
              <w:rPr>
                <w:rFonts w:ascii="Times New Roman" w:eastAsia="Times New Roman" w:hAnsi="Times New Roman" w:cs="Times New Roman"/>
                <w:noProof/>
                <w:sz w:val="20"/>
                <w:szCs w:val="20"/>
                <w:lang w:eastAsia="en-IE"/>
              </w:rPr>
              <w:t>6</w:t>
            </w:r>
            <w:r w:rsidRPr="00486446">
              <w:rPr>
                <w:rFonts w:ascii="Times New Roman" w:eastAsia="Times New Roman" w:hAnsi="Times New Roman" w:cs="Times New Roman"/>
                <w:noProof/>
                <w:sz w:val="20"/>
                <w:szCs w:val="20"/>
                <w:lang w:eastAsia="en-IE"/>
              </w:rPr>
              <w:t>% (2023) </w:t>
            </w:r>
          </w:p>
        </w:tc>
      </w:tr>
      <w:tr w:rsidR="00486446" w:rsidRPr="00486446" w14:paraId="620922EC"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66EA60A4" w14:textId="5DE2229D" w:rsidR="0048336D" w:rsidRPr="00855331"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855331">
              <w:rPr>
                <w:rFonts w:ascii="Times New Roman" w:eastAsia="Times New Roman" w:hAnsi="Times New Roman" w:cs="Times New Roman"/>
                <w:noProof/>
                <w:sz w:val="20"/>
                <w:szCs w:val="20"/>
                <w:lang w:eastAsia="en-IE"/>
              </w:rPr>
              <w:t>KPI 2</w:t>
            </w:r>
            <w:r w:rsidR="008A1E07">
              <w:rPr>
                <w:rFonts w:ascii="Times New Roman" w:eastAsia="Times New Roman" w:hAnsi="Times New Roman" w:cs="Times New Roman"/>
                <w:noProof/>
                <w:sz w:val="20"/>
                <w:szCs w:val="20"/>
                <w:lang w:eastAsia="en-IE"/>
              </w:rPr>
              <w:t>0</w:t>
            </w:r>
            <w:r w:rsidRPr="00855331">
              <w:rPr>
                <w:rFonts w:ascii="Times New Roman" w:eastAsia="Times New Roman" w:hAnsi="Times New Roman" w:cs="Times New Roman"/>
                <w:noProof/>
                <w:sz w:val="20"/>
                <w:szCs w:val="20"/>
                <w:lang w:eastAsia="en-IE"/>
              </w:rPr>
              <w:t>: Venture capital investment </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488A72F5" w14:textId="4AD1985C" w:rsidR="0048336D" w:rsidRPr="00855331"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855331">
              <w:rPr>
                <w:rFonts w:ascii="Times New Roman" w:eastAsia="Times New Roman" w:hAnsi="Times New Roman" w:cs="Times New Roman"/>
                <w:noProof/>
                <w:sz w:val="20"/>
                <w:szCs w:val="20"/>
                <w:lang w:eastAsia="en-IE"/>
              </w:rPr>
              <w:t>Venture capital investment (share of GDP</w:t>
            </w:r>
            <w:r w:rsidR="00901A7B" w:rsidRPr="00855331">
              <w:rPr>
                <w:rFonts w:ascii="Times New Roman" w:eastAsia="Times New Roman" w:hAnsi="Times New Roman" w:cs="Times New Roman"/>
                <w:noProof/>
                <w:sz w:val="20"/>
                <w:szCs w:val="20"/>
                <w:lang w:eastAsia="en-IE"/>
              </w:rPr>
              <w:t>).</w:t>
            </w:r>
            <w:r w:rsidRPr="00855331">
              <w:rPr>
                <w:rFonts w:ascii="Times New Roman" w:eastAsia="Times New Roman" w:hAnsi="Times New Roman" w:cs="Times New Roman"/>
                <w:noProof/>
                <w:sz w:val="20"/>
                <w:szCs w:val="20"/>
                <w:lang w:eastAsia="en-IE"/>
              </w:rPr>
              <w:t> </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0268F2C1" w14:textId="70B89A99" w:rsidR="0048336D" w:rsidRPr="00855331" w:rsidRDefault="006C1EF1" w:rsidP="00AC2436">
            <w:pPr>
              <w:spacing w:after="0" w:line="240" w:lineRule="auto"/>
              <w:textAlignment w:val="baseline"/>
              <w:rPr>
                <w:rFonts w:ascii="Times New Roman" w:eastAsia="Times New Roman" w:hAnsi="Times New Roman" w:cs="Times New Roman"/>
                <w:noProof/>
                <w:sz w:val="20"/>
                <w:szCs w:val="20"/>
                <w:lang w:eastAsia="en-IE"/>
              </w:rPr>
            </w:pPr>
            <w:r w:rsidRPr="00782F8D">
              <w:rPr>
                <w:rFonts w:ascii="Times New Roman" w:eastAsia="Times New Roman" w:hAnsi="Times New Roman" w:cs="Times New Roman"/>
                <w:noProof/>
                <w:sz w:val="20"/>
                <w:szCs w:val="20"/>
                <w:lang w:eastAsia="en-IE"/>
              </w:rPr>
              <w:t>0.06</w:t>
            </w:r>
            <w:r w:rsidR="0048336D" w:rsidRPr="00782F8D">
              <w:rPr>
                <w:rFonts w:ascii="Times New Roman" w:eastAsia="Times New Roman" w:hAnsi="Times New Roman" w:cs="Times New Roman"/>
                <w:noProof/>
                <w:sz w:val="20"/>
                <w:szCs w:val="20"/>
                <w:lang w:eastAsia="en-IE"/>
              </w:rPr>
              <w:t>% (2024)</w:t>
            </w:r>
          </w:p>
          <w:p w14:paraId="14E64C48" w14:textId="4B17E0DA" w:rsidR="0048336D" w:rsidRPr="00855331"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855331">
              <w:rPr>
                <w:rFonts w:ascii="Times New Roman" w:eastAsia="Times New Roman" w:hAnsi="Times New Roman" w:cs="Times New Roman"/>
                <w:noProof/>
                <w:sz w:val="20"/>
                <w:szCs w:val="20"/>
                <w:lang w:eastAsia="en-IE"/>
              </w:rPr>
              <w:t>0.0</w:t>
            </w:r>
            <w:r w:rsidR="00855331" w:rsidRPr="00855331">
              <w:rPr>
                <w:rFonts w:ascii="Times New Roman" w:eastAsia="Times New Roman" w:hAnsi="Times New Roman" w:cs="Times New Roman"/>
                <w:noProof/>
                <w:sz w:val="20"/>
                <w:szCs w:val="20"/>
                <w:lang w:eastAsia="en-IE"/>
              </w:rPr>
              <w:t>6</w:t>
            </w:r>
            <w:r w:rsidRPr="00855331">
              <w:rPr>
                <w:rFonts w:ascii="Times New Roman" w:eastAsia="Times New Roman" w:hAnsi="Times New Roman" w:cs="Times New Roman"/>
                <w:noProof/>
                <w:sz w:val="20"/>
                <w:szCs w:val="20"/>
                <w:lang w:eastAsia="en-IE"/>
              </w:rPr>
              <w:t>% (2023) </w:t>
            </w:r>
          </w:p>
        </w:tc>
      </w:tr>
      <w:tr w:rsidR="00486446" w:rsidRPr="00E270A7" w14:paraId="6E401061"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C5E0B3"/>
          </w:tcPr>
          <w:p w14:paraId="138D9D7D" w14:textId="4756C417"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KPI 2</w:t>
            </w:r>
            <w:r w:rsidR="008A1E07">
              <w:rPr>
                <w:rFonts w:ascii="Times New Roman" w:eastAsia="Times New Roman" w:hAnsi="Times New Roman" w:cs="Times New Roman"/>
                <w:noProof/>
                <w:sz w:val="20"/>
                <w:szCs w:val="20"/>
                <w:lang w:eastAsia="en-IE"/>
              </w:rPr>
              <w:t>1</w:t>
            </w:r>
            <w:r w:rsidRPr="00486446">
              <w:rPr>
                <w:rFonts w:ascii="Times New Roman" w:eastAsia="Times New Roman" w:hAnsi="Times New Roman" w:cs="Times New Roman"/>
                <w:noProof/>
                <w:sz w:val="20"/>
                <w:szCs w:val="20"/>
                <w:lang w:eastAsia="en-IE"/>
              </w:rPr>
              <w:t>: EU investments supporting industrial transition</w:t>
            </w:r>
          </w:p>
        </w:tc>
        <w:tc>
          <w:tcPr>
            <w:tcW w:w="3989" w:type="dxa"/>
            <w:tcBorders>
              <w:top w:val="single" w:sz="4" w:space="0" w:color="auto"/>
              <w:left w:val="single" w:sz="4" w:space="0" w:color="auto"/>
              <w:bottom w:val="single" w:sz="4" w:space="0" w:color="auto"/>
              <w:right w:val="single" w:sz="4" w:space="0" w:color="auto"/>
            </w:tcBorders>
            <w:shd w:val="clear" w:color="auto" w:fill="C5E0B3"/>
          </w:tcPr>
          <w:p w14:paraId="3ADF9183" w14:textId="1A56D8C9" w:rsidR="00532E29" w:rsidRPr="0065549F" w:rsidRDefault="008E01B6" w:rsidP="00AC2436">
            <w:pPr>
              <w:spacing w:after="0" w:line="240" w:lineRule="auto"/>
              <w:textAlignment w:val="baseline"/>
              <w:rPr>
                <w:rFonts w:ascii="Times New Roman" w:eastAsia="Times New Roman" w:hAnsi="Times New Roman" w:cs="Times New Roman"/>
                <w:noProof/>
                <w:sz w:val="20"/>
                <w:szCs w:val="20"/>
                <w:lang w:eastAsia="en-IE"/>
              </w:rPr>
            </w:pPr>
            <w:r>
              <w:rPr>
                <w:rFonts w:ascii="Times New Roman" w:eastAsia="Times New Roman" w:hAnsi="Times New Roman" w:cs="Times New Roman"/>
                <w:noProof/>
                <w:sz w:val="20"/>
                <w:szCs w:val="20"/>
                <w:lang w:eastAsia="en-IE"/>
              </w:rPr>
              <w:t xml:space="preserve">Cumulative </w:t>
            </w:r>
            <w:r w:rsidR="0048336D" w:rsidRPr="00486446">
              <w:rPr>
                <w:rFonts w:ascii="Times New Roman" w:eastAsia="Times New Roman" w:hAnsi="Times New Roman" w:cs="Times New Roman"/>
                <w:noProof/>
                <w:sz w:val="20"/>
                <w:szCs w:val="20"/>
                <w:lang w:eastAsia="en-IE"/>
              </w:rPr>
              <w:t>volume of InvestEU investments supporting industrial transition</w:t>
            </w:r>
            <w:r w:rsidR="00901A7B" w:rsidRPr="00D07DED">
              <w:rPr>
                <w:rFonts w:ascii="Times New Roman" w:eastAsia="Times New Roman" w:hAnsi="Times New Roman" w:cs="Times New Roman"/>
                <w:noProof/>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C5E0B3"/>
          </w:tcPr>
          <w:p w14:paraId="2DDE24E9" w14:textId="7592427B" w:rsidR="0048336D" w:rsidRPr="00486446" w:rsidRDefault="0048336D" w:rsidP="00AC2436">
            <w:pPr>
              <w:spacing w:after="0" w:line="240" w:lineRule="auto"/>
              <w:textAlignment w:val="baseline"/>
              <w:rPr>
                <w:rFonts w:ascii="Times New Roman" w:eastAsia="Times New Roman" w:hAnsi="Times New Roman" w:cs="Times New Roman"/>
                <w:noProof/>
                <w:sz w:val="20"/>
                <w:szCs w:val="20"/>
                <w:lang w:val="fr-FR" w:eastAsia="en-IE"/>
              </w:rPr>
            </w:pPr>
            <w:r w:rsidRPr="00486446">
              <w:rPr>
                <w:rFonts w:ascii="Times New Roman" w:eastAsia="Times New Roman" w:hAnsi="Times New Roman" w:cs="Times New Roman"/>
                <w:noProof/>
                <w:sz w:val="20"/>
                <w:szCs w:val="20"/>
                <w:lang w:val="fr-FR" w:eastAsia="en-IE"/>
              </w:rPr>
              <w:t xml:space="preserve">EUR </w:t>
            </w:r>
            <w:r w:rsidR="001E72C6" w:rsidRPr="006E0577">
              <w:rPr>
                <w:rFonts w:ascii="Times New Roman" w:eastAsia="Times New Roman" w:hAnsi="Times New Roman" w:cs="Times New Roman"/>
                <w:noProof/>
                <w:sz w:val="20"/>
                <w:szCs w:val="20"/>
                <w:lang w:val="fr-FR" w:eastAsia="en-IE"/>
              </w:rPr>
              <w:t>115.5</w:t>
            </w:r>
            <w:r w:rsidRPr="00486446">
              <w:rPr>
                <w:rFonts w:ascii="Times New Roman" w:eastAsia="Times New Roman" w:hAnsi="Times New Roman" w:cs="Times New Roman"/>
                <w:noProof/>
                <w:sz w:val="20"/>
                <w:szCs w:val="20"/>
                <w:lang w:val="fr-FR" w:eastAsia="en-IE"/>
              </w:rPr>
              <w:t>bn (</w:t>
            </w:r>
            <w:r w:rsidR="00913A62">
              <w:rPr>
                <w:rFonts w:ascii="Times New Roman" w:eastAsia="Times New Roman" w:hAnsi="Times New Roman" w:cs="Times New Roman"/>
                <w:noProof/>
                <w:sz w:val="20"/>
                <w:szCs w:val="20"/>
                <w:lang w:val="fr-FR" w:eastAsia="en-IE"/>
              </w:rPr>
              <w:t>Jun</w:t>
            </w:r>
            <w:r w:rsidR="00913A62" w:rsidRPr="00486446">
              <w:rPr>
                <w:rFonts w:ascii="Times New Roman" w:eastAsia="Times New Roman" w:hAnsi="Times New Roman" w:cs="Times New Roman"/>
                <w:noProof/>
                <w:sz w:val="20"/>
                <w:szCs w:val="20"/>
                <w:lang w:val="fr-FR" w:eastAsia="en-IE"/>
              </w:rPr>
              <w:t xml:space="preserve"> </w:t>
            </w:r>
            <w:r w:rsidRPr="00486446">
              <w:rPr>
                <w:rFonts w:ascii="Times New Roman" w:eastAsia="Times New Roman" w:hAnsi="Times New Roman" w:cs="Times New Roman"/>
                <w:noProof/>
                <w:sz w:val="20"/>
                <w:szCs w:val="20"/>
                <w:lang w:val="fr-FR" w:eastAsia="en-IE"/>
              </w:rPr>
              <w:t>202</w:t>
            </w:r>
            <w:r w:rsidR="00913A62">
              <w:rPr>
                <w:rFonts w:ascii="Times New Roman" w:eastAsia="Times New Roman" w:hAnsi="Times New Roman" w:cs="Times New Roman"/>
                <w:noProof/>
                <w:sz w:val="20"/>
                <w:szCs w:val="20"/>
                <w:lang w:val="fr-FR" w:eastAsia="en-IE"/>
              </w:rPr>
              <w:t>5</w:t>
            </w:r>
            <w:r w:rsidRPr="00486446">
              <w:rPr>
                <w:rFonts w:ascii="Times New Roman" w:eastAsia="Times New Roman" w:hAnsi="Times New Roman" w:cs="Times New Roman"/>
                <w:noProof/>
                <w:sz w:val="20"/>
                <w:szCs w:val="20"/>
                <w:lang w:val="fr-FR" w:eastAsia="en-IE"/>
              </w:rPr>
              <w:t>)</w:t>
            </w:r>
          </w:p>
          <w:p w14:paraId="3E3ABBB6" w14:textId="77777777" w:rsidR="0048336D" w:rsidRPr="00486446" w:rsidRDefault="0048336D" w:rsidP="00AC2436">
            <w:pPr>
              <w:spacing w:after="0" w:line="240" w:lineRule="auto"/>
              <w:textAlignment w:val="baseline"/>
              <w:rPr>
                <w:rFonts w:ascii="Times New Roman" w:eastAsia="Times New Roman" w:hAnsi="Times New Roman" w:cs="Times New Roman"/>
                <w:noProof/>
                <w:sz w:val="20"/>
                <w:szCs w:val="20"/>
                <w:lang w:val="fr-FR" w:eastAsia="en-IE"/>
              </w:rPr>
            </w:pPr>
            <w:r w:rsidRPr="00486446">
              <w:rPr>
                <w:rFonts w:ascii="Times New Roman" w:eastAsia="Times New Roman" w:hAnsi="Times New Roman" w:cs="Times New Roman"/>
                <w:noProof/>
                <w:sz w:val="20"/>
                <w:szCs w:val="20"/>
                <w:lang w:val="fr-FR" w:eastAsia="en-IE"/>
              </w:rPr>
              <w:t>EUR 52.7 bn (Jun 2024)</w:t>
            </w:r>
          </w:p>
        </w:tc>
      </w:tr>
      <w:tr w:rsidR="00486446" w:rsidRPr="00007C78" w14:paraId="26AFA87A"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5230083C" w14:textId="66AD8523" w:rsidR="0048336D" w:rsidRPr="00502CFE"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D07DED">
              <w:rPr>
                <w:rFonts w:ascii="Times New Roman" w:eastAsia="Times New Roman" w:hAnsi="Times New Roman" w:cs="Times New Roman"/>
                <w:noProof/>
                <w:color w:val="000000"/>
                <w:sz w:val="20"/>
                <w:szCs w:val="20"/>
                <w:lang w:eastAsia="en-IE"/>
              </w:rPr>
              <w:t>KPI 2</w:t>
            </w:r>
            <w:r w:rsidR="008A1E07">
              <w:rPr>
                <w:rFonts w:ascii="Times New Roman" w:eastAsia="Times New Roman" w:hAnsi="Times New Roman" w:cs="Times New Roman"/>
                <w:noProof/>
                <w:color w:val="000000"/>
                <w:sz w:val="20"/>
                <w:szCs w:val="20"/>
                <w:lang w:eastAsia="en-IE"/>
              </w:rPr>
              <w:t>2</w:t>
            </w:r>
            <w:r w:rsidRPr="00D07DED">
              <w:rPr>
                <w:rFonts w:ascii="Times New Roman" w:eastAsia="Times New Roman" w:hAnsi="Times New Roman" w:cs="Times New Roman"/>
                <w:noProof/>
                <w:color w:val="000000"/>
                <w:sz w:val="20"/>
                <w:szCs w:val="20"/>
                <w:lang w:eastAsia="en-IE"/>
              </w:rPr>
              <w:t>: Electricity prices for non-household consumers</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17B8C21C" w14:textId="4D81C656"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486446">
              <w:rPr>
                <w:rFonts w:ascii="Times New Roman" w:eastAsia="Times New Roman" w:hAnsi="Times New Roman" w:cs="Times New Roman"/>
                <w:noProof/>
                <w:sz w:val="20"/>
                <w:szCs w:val="20"/>
                <w:lang w:eastAsia="en-IE"/>
              </w:rPr>
              <w:t xml:space="preserve">Electricity prices for non-household consumers (EU ID price band, large commercial </w:t>
            </w:r>
            <w:r w:rsidR="00306B16">
              <w:rPr>
                <w:rFonts w:ascii="Times New Roman" w:eastAsia="Times New Roman" w:hAnsi="Times New Roman" w:cs="Times New Roman"/>
                <w:noProof/>
                <w:sz w:val="20"/>
                <w:szCs w:val="20"/>
                <w:lang w:eastAsia="en-IE"/>
              </w:rPr>
              <w:t>users</w:t>
            </w:r>
            <w:r w:rsidRPr="00486446">
              <w:rPr>
                <w:rFonts w:ascii="Times New Roman" w:eastAsia="Times New Roman" w:hAnsi="Times New Roman" w:cs="Times New Roman"/>
                <w:noProof/>
                <w:sz w:val="20"/>
                <w:szCs w:val="20"/>
                <w:lang w:eastAsia="en-IE"/>
              </w:rPr>
              <w:t>)</w:t>
            </w:r>
            <w:r w:rsidRPr="00D07DED">
              <w:rPr>
                <w:rFonts w:ascii="Times New Roman" w:eastAsia="Times New Roman" w:hAnsi="Times New Roman" w:cs="Times New Roman"/>
                <w:noProof/>
                <w:sz w:val="20"/>
                <w:szCs w:val="20"/>
                <w:vertAlign w:val="superscript"/>
                <w:lang w:eastAsia="en-IE"/>
              </w:rPr>
              <w:footnoteReference w:id="7"/>
            </w:r>
            <w:r w:rsidR="00901A7B" w:rsidRPr="00D07DED">
              <w:rPr>
                <w:rFonts w:ascii="Times New Roman" w:eastAsia="Times New Roman" w:hAnsi="Times New Roman" w:cs="Times New Roman"/>
                <w:noProof/>
                <w:sz w:val="20"/>
                <w:szCs w:val="20"/>
                <w:lang w:eastAsia="en-IE"/>
              </w:rPr>
              <w:t>. </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25FB7D9F" w14:textId="4FA22372"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val="it-IT" w:eastAsia="en-IE"/>
              </w:rPr>
            </w:pPr>
            <w:r w:rsidRPr="00486446">
              <w:rPr>
                <w:rFonts w:ascii="Times New Roman" w:eastAsia="Times New Roman" w:hAnsi="Times New Roman" w:cs="Times New Roman"/>
                <w:noProof/>
                <w:sz w:val="20"/>
                <w:szCs w:val="20"/>
                <w:lang w:val="it-IT" w:eastAsia="en-IE"/>
              </w:rPr>
              <w:t>EUR 0.164 per kWh (2025) </w:t>
            </w:r>
          </w:p>
          <w:p w14:paraId="3C0F013F" w14:textId="1A36AB6D"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val="it-IT" w:eastAsia="en-IE"/>
              </w:rPr>
            </w:pPr>
            <w:r w:rsidRPr="00486446">
              <w:rPr>
                <w:rFonts w:ascii="Times New Roman" w:eastAsia="Times New Roman" w:hAnsi="Times New Roman" w:cs="Times New Roman"/>
                <w:noProof/>
                <w:sz w:val="20"/>
                <w:szCs w:val="20"/>
                <w:lang w:val="it-IT" w:eastAsia="en-IE"/>
              </w:rPr>
              <w:t>EUR 0.163 per kWh (2024) </w:t>
            </w:r>
          </w:p>
        </w:tc>
      </w:tr>
      <w:tr w:rsidR="00486446" w:rsidRPr="00486446" w14:paraId="3B973102"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3BDF1AF3" w14:textId="29D9874D"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val="sv-SE" w:eastAsia="en-IE"/>
              </w:rPr>
            </w:pPr>
            <w:r w:rsidRPr="00D07DED">
              <w:rPr>
                <w:rFonts w:ascii="Times New Roman" w:eastAsia="Times New Roman" w:hAnsi="Times New Roman" w:cs="Times New Roman"/>
                <w:noProof/>
                <w:color w:val="000000"/>
                <w:sz w:val="20"/>
                <w:szCs w:val="20"/>
                <w:lang w:eastAsia="en-IE"/>
              </w:rPr>
              <w:t>KPI 2</w:t>
            </w:r>
            <w:r w:rsidR="008A1E07">
              <w:rPr>
                <w:rFonts w:ascii="Times New Roman" w:eastAsia="Times New Roman" w:hAnsi="Times New Roman" w:cs="Times New Roman"/>
                <w:noProof/>
                <w:color w:val="000000"/>
                <w:sz w:val="20"/>
                <w:szCs w:val="20"/>
                <w:lang w:eastAsia="en-IE"/>
              </w:rPr>
              <w:t>3</w:t>
            </w:r>
            <w:r w:rsidRPr="00D07DED">
              <w:rPr>
                <w:rFonts w:ascii="Times New Roman" w:eastAsia="Times New Roman" w:hAnsi="Times New Roman" w:cs="Times New Roman"/>
                <w:noProof/>
                <w:color w:val="000000"/>
                <w:sz w:val="20"/>
                <w:szCs w:val="20"/>
                <w:lang w:eastAsia="en-IE"/>
              </w:rPr>
              <w:t>: Electrification </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7919B2D1" w14:textId="19286AEB" w:rsidR="00944A10"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D07DED">
              <w:rPr>
                <w:rFonts w:ascii="Times New Roman" w:eastAsia="Times New Roman" w:hAnsi="Times New Roman" w:cs="Times New Roman"/>
                <w:noProof/>
                <w:color w:val="000000"/>
                <w:sz w:val="20"/>
                <w:szCs w:val="20"/>
                <w:lang w:eastAsia="en-IE"/>
              </w:rPr>
              <w:t xml:space="preserve">Electricity as a share of the total </w:t>
            </w:r>
            <w:r w:rsidR="00901A7B">
              <w:rPr>
                <w:rFonts w:ascii="Times New Roman" w:eastAsia="Times New Roman" w:hAnsi="Times New Roman" w:cs="Times New Roman"/>
                <w:noProof/>
                <w:color w:val="000000"/>
                <w:sz w:val="20"/>
                <w:szCs w:val="20"/>
                <w:lang w:eastAsia="en-IE"/>
              </w:rPr>
              <w:t xml:space="preserve">(final) </w:t>
            </w:r>
            <w:r w:rsidRPr="00D07DED">
              <w:rPr>
                <w:rFonts w:ascii="Times New Roman" w:eastAsia="Times New Roman" w:hAnsi="Times New Roman" w:cs="Times New Roman"/>
                <w:noProof/>
                <w:color w:val="000000"/>
                <w:sz w:val="20"/>
                <w:szCs w:val="20"/>
                <w:lang w:eastAsia="en-IE"/>
              </w:rPr>
              <w:t>energy consumption</w:t>
            </w:r>
            <w:r w:rsidR="00901A7B" w:rsidRPr="00D07DED">
              <w:rPr>
                <w:rFonts w:ascii="Times New Roman" w:eastAsia="Times New Roman" w:hAnsi="Times New Roman" w:cs="Times New Roman"/>
                <w:noProof/>
                <w:color w:val="000000"/>
                <w:sz w:val="20"/>
                <w:szCs w:val="20"/>
                <w:lang w:eastAsia="en-IE"/>
              </w:rPr>
              <w:t>.</w:t>
            </w:r>
            <w:r w:rsidR="00BB43C2">
              <w:rPr>
                <w:rFonts w:ascii="Times New Roman" w:eastAsia="Times New Roman" w:hAnsi="Times New Roman" w:cs="Times New Roman"/>
                <w:b/>
                <w:bCs/>
                <w:noProof/>
                <w:sz w:val="20"/>
                <w:szCs w:val="20"/>
                <w:lang w:eastAsia="en-IE"/>
              </w:rPr>
              <w:t xml:space="preserve"> </w:t>
            </w:r>
            <w:r w:rsidR="00D97B79">
              <w:rPr>
                <w:rFonts w:ascii="Times New Roman" w:eastAsia="Times New Roman" w:hAnsi="Times New Roman" w:cs="Times New Roman"/>
                <w:b/>
                <w:bCs/>
                <w:noProof/>
                <w:sz w:val="20"/>
                <w:szCs w:val="20"/>
                <w:lang w:eastAsia="en-IE"/>
              </w:rPr>
              <w:t>Objective</w:t>
            </w:r>
            <w:r w:rsidR="00197AED" w:rsidRPr="00D07DED">
              <w:rPr>
                <w:rFonts w:ascii="Times New Roman" w:eastAsia="Times New Roman" w:hAnsi="Times New Roman" w:cs="Times New Roman"/>
                <w:b/>
                <w:bCs/>
                <w:noProof/>
                <w:sz w:val="20"/>
                <w:szCs w:val="20"/>
                <w:lang w:eastAsia="en-IE"/>
              </w:rPr>
              <w:t xml:space="preserve"> = </w:t>
            </w:r>
            <w:r w:rsidR="00197AED">
              <w:rPr>
                <w:rFonts w:ascii="Times New Roman" w:eastAsia="Times New Roman" w:hAnsi="Times New Roman" w:cs="Times New Roman"/>
                <w:b/>
                <w:bCs/>
                <w:noProof/>
                <w:sz w:val="20"/>
                <w:szCs w:val="20"/>
                <w:lang w:eastAsia="en-IE"/>
              </w:rPr>
              <w:t>32</w:t>
            </w:r>
            <w:r w:rsidR="00197AED" w:rsidRPr="00D07DED">
              <w:rPr>
                <w:rFonts w:ascii="Times New Roman" w:eastAsia="Times New Roman" w:hAnsi="Times New Roman" w:cs="Times New Roman"/>
                <w:b/>
                <w:bCs/>
                <w:noProof/>
                <w:sz w:val="20"/>
                <w:szCs w:val="20"/>
                <w:lang w:eastAsia="en-IE"/>
              </w:rPr>
              <w:t>% in 2030</w:t>
            </w:r>
            <w:r w:rsidR="00D97B79">
              <w:rPr>
                <w:rStyle w:val="FootnoteReference"/>
                <w:rFonts w:ascii="Times New Roman" w:eastAsia="Times New Roman" w:hAnsi="Times New Roman" w:cs="Times New Roman"/>
                <w:b/>
                <w:bCs/>
                <w:noProof/>
                <w:sz w:val="20"/>
                <w:szCs w:val="20"/>
                <w:lang w:eastAsia="en-IE"/>
              </w:rPr>
              <w:footnoteReference w:id="8"/>
            </w:r>
            <w:r w:rsidR="00D97B79">
              <w:rPr>
                <w:rFonts w:ascii="Times New Roman" w:eastAsia="Times New Roman" w:hAnsi="Times New Roman" w:cs="Times New Roman"/>
                <w:b/>
                <w:bCs/>
                <w:noProof/>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69EDF442" w14:textId="77777777"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22.9% (2023)</w:t>
            </w:r>
          </w:p>
          <w:p w14:paraId="68C07D63" w14:textId="77777777"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22.9% of (2022)</w:t>
            </w:r>
          </w:p>
        </w:tc>
      </w:tr>
      <w:tr w:rsidR="00486446" w:rsidRPr="00486446" w14:paraId="77C3F677"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C5E0B3"/>
          </w:tcPr>
          <w:p w14:paraId="323FDEBD" w14:textId="3E9A79F6"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D07DED">
              <w:rPr>
                <w:rFonts w:ascii="Times New Roman" w:eastAsia="Times New Roman" w:hAnsi="Times New Roman" w:cs="Times New Roman"/>
                <w:noProof/>
                <w:color w:val="000000"/>
                <w:sz w:val="20"/>
                <w:szCs w:val="20"/>
                <w:lang w:eastAsia="en-IE"/>
              </w:rPr>
              <w:t>KPI</w:t>
            </w:r>
            <w:r w:rsidR="00502CFE">
              <w:rPr>
                <w:rFonts w:ascii="Times New Roman" w:eastAsia="Times New Roman" w:hAnsi="Times New Roman" w:cs="Times New Roman"/>
                <w:noProof/>
                <w:color w:val="000000"/>
                <w:sz w:val="20"/>
                <w:szCs w:val="20"/>
                <w:lang w:eastAsia="en-IE"/>
              </w:rPr>
              <w:t xml:space="preserve"> </w:t>
            </w:r>
            <w:r w:rsidRPr="00D07DED">
              <w:rPr>
                <w:rFonts w:ascii="Times New Roman" w:eastAsia="Times New Roman" w:hAnsi="Times New Roman" w:cs="Times New Roman"/>
                <w:noProof/>
                <w:color w:val="000000"/>
                <w:sz w:val="20"/>
                <w:szCs w:val="20"/>
                <w:lang w:eastAsia="en-IE"/>
              </w:rPr>
              <w:t>2</w:t>
            </w:r>
            <w:r w:rsidR="008A1E07">
              <w:rPr>
                <w:rFonts w:ascii="Times New Roman" w:eastAsia="Times New Roman" w:hAnsi="Times New Roman" w:cs="Times New Roman"/>
                <w:noProof/>
                <w:color w:val="000000"/>
                <w:sz w:val="20"/>
                <w:szCs w:val="20"/>
                <w:lang w:eastAsia="en-IE"/>
              </w:rPr>
              <w:t>4</w:t>
            </w:r>
            <w:r w:rsidRPr="00D07DED">
              <w:rPr>
                <w:rFonts w:ascii="Times New Roman" w:eastAsia="Times New Roman" w:hAnsi="Times New Roman" w:cs="Times New Roman"/>
                <w:noProof/>
                <w:color w:val="000000"/>
                <w:sz w:val="20"/>
                <w:szCs w:val="20"/>
                <w:lang w:eastAsia="en-IE"/>
              </w:rPr>
              <w:t>: Share of energy from renewable sources</w:t>
            </w:r>
          </w:p>
        </w:tc>
        <w:tc>
          <w:tcPr>
            <w:tcW w:w="3989" w:type="dxa"/>
            <w:tcBorders>
              <w:top w:val="single" w:sz="4" w:space="0" w:color="auto"/>
              <w:left w:val="single" w:sz="4" w:space="0" w:color="auto"/>
              <w:bottom w:val="single" w:sz="4" w:space="0" w:color="auto"/>
              <w:right w:val="single" w:sz="4" w:space="0" w:color="auto"/>
            </w:tcBorders>
            <w:shd w:val="clear" w:color="auto" w:fill="C5E0B3"/>
          </w:tcPr>
          <w:p w14:paraId="14F6A9E1" w14:textId="650B8719" w:rsidR="00BB43C2" w:rsidRPr="00EF60DD"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486446">
              <w:rPr>
                <w:rFonts w:ascii="Times New Roman" w:eastAsia="Times New Roman" w:hAnsi="Times New Roman" w:cs="Times New Roman"/>
                <w:noProof/>
                <w:sz w:val="20"/>
                <w:szCs w:val="20"/>
                <w:lang w:eastAsia="en-IE"/>
              </w:rPr>
              <w:t>Renewable energy generation as a share of the overall energy consumption.</w:t>
            </w:r>
          </w:p>
          <w:p w14:paraId="4E94D91E" w14:textId="24512220"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val="sv-SE"/>
              </w:rPr>
            </w:pPr>
            <w:r w:rsidRPr="00486446">
              <w:rPr>
                <w:rFonts w:ascii="Times New Roman" w:eastAsia="Times New Roman" w:hAnsi="Times New Roman" w:cs="Times New Roman"/>
                <w:b/>
                <w:bCs/>
                <w:noProof/>
                <w:sz w:val="20"/>
                <w:szCs w:val="20"/>
                <w:lang w:eastAsia="en-IE"/>
              </w:rPr>
              <w:t>Target = 4</w:t>
            </w:r>
            <w:r w:rsidR="00804B66">
              <w:rPr>
                <w:rFonts w:ascii="Times New Roman" w:eastAsia="Times New Roman" w:hAnsi="Times New Roman" w:cs="Times New Roman"/>
                <w:b/>
                <w:bCs/>
                <w:noProof/>
                <w:sz w:val="20"/>
                <w:szCs w:val="20"/>
                <w:lang w:eastAsia="en-IE"/>
              </w:rPr>
              <w:t>2.5</w:t>
            </w:r>
            <w:r w:rsidRPr="00486446">
              <w:rPr>
                <w:rFonts w:ascii="Times New Roman" w:eastAsia="Times New Roman" w:hAnsi="Times New Roman" w:cs="Times New Roman"/>
                <w:b/>
                <w:bCs/>
                <w:noProof/>
                <w:sz w:val="20"/>
                <w:szCs w:val="20"/>
                <w:lang w:eastAsia="en-IE"/>
              </w:rPr>
              <w:t>% in 2030</w:t>
            </w:r>
            <w:r w:rsidR="00D97B79">
              <w:rPr>
                <w:rFonts w:ascii="Times New Roman" w:eastAsia="Times New Roman" w:hAnsi="Times New Roman" w:cs="Times New Roman"/>
                <w:b/>
                <w:bCs/>
                <w:noProof/>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C5E0B3"/>
          </w:tcPr>
          <w:p w14:paraId="3F5A2D10" w14:textId="367C86CA" w:rsidR="0048336D" w:rsidRPr="00D07DED" w:rsidRDefault="00455235" w:rsidP="00AC2436">
            <w:pPr>
              <w:spacing w:after="0" w:line="240" w:lineRule="auto"/>
              <w:textAlignment w:val="baseline"/>
              <w:rPr>
                <w:rFonts w:ascii="Times New Roman" w:eastAsia="Times New Roman" w:hAnsi="Times New Roman" w:cs="Times New Roman"/>
                <w:noProof/>
                <w:color w:val="000000"/>
                <w:sz w:val="20"/>
                <w:szCs w:val="20"/>
                <w:lang w:eastAsia="en-IE"/>
              </w:rPr>
            </w:pPr>
            <w:r w:rsidRPr="00782F8D">
              <w:rPr>
                <w:rFonts w:ascii="Times New Roman" w:eastAsia="Times New Roman" w:hAnsi="Times New Roman" w:cs="Times New Roman"/>
                <w:noProof/>
                <w:color w:val="000000"/>
                <w:sz w:val="20"/>
                <w:szCs w:val="20"/>
                <w:lang w:eastAsia="en-IE"/>
              </w:rPr>
              <w:t>25.2</w:t>
            </w:r>
            <w:r w:rsidR="0048336D" w:rsidRPr="00782F8D">
              <w:rPr>
                <w:rFonts w:ascii="Times New Roman" w:eastAsia="Times New Roman" w:hAnsi="Times New Roman" w:cs="Times New Roman"/>
                <w:noProof/>
                <w:color w:val="000000"/>
                <w:sz w:val="20"/>
                <w:szCs w:val="20"/>
                <w:lang w:eastAsia="en-IE"/>
              </w:rPr>
              <w:t>% (2024)</w:t>
            </w:r>
          </w:p>
          <w:p w14:paraId="17F04641" w14:textId="02459B25"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D07DED">
              <w:rPr>
                <w:rFonts w:ascii="Times New Roman" w:eastAsia="Times New Roman" w:hAnsi="Times New Roman" w:cs="Times New Roman"/>
                <w:noProof/>
                <w:color w:val="000000"/>
                <w:sz w:val="20"/>
                <w:szCs w:val="20"/>
                <w:lang w:eastAsia="en-IE"/>
              </w:rPr>
              <w:t>24.5% (2023)</w:t>
            </w:r>
          </w:p>
        </w:tc>
      </w:tr>
      <w:tr w:rsidR="00486446" w:rsidRPr="00486446" w14:paraId="2C153B82"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C5E0B3"/>
          </w:tcPr>
          <w:p w14:paraId="33D32A2E" w14:textId="47459BDF" w:rsidR="0048336D" w:rsidRPr="00D027A7" w:rsidRDefault="0048336D" w:rsidP="00AC2436">
            <w:pPr>
              <w:spacing w:after="0" w:line="240" w:lineRule="auto"/>
              <w:textAlignment w:val="baseline"/>
              <w:rPr>
                <w:rFonts w:ascii="Times New Roman" w:eastAsia="Times New Roman" w:hAnsi="Times New Roman" w:cs="Times New Roman"/>
                <w:noProof/>
                <w:kern w:val="0"/>
                <w:sz w:val="20"/>
                <w:szCs w:val="20"/>
                <w:highlight w:val="yellow"/>
                <w:lang w:eastAsia="en-IE"/>
              </w:rPr>
            </w:pPr>
            <w:r w:rsidRPr="00FD0882">
              <w:rPr>
                <w:rFonts w:ascii="Times New Roman" w:eastAsia="Times New Roman" w:hAnsi="Times New Roman" w:cs="Times New Roman"/>
                <w:noProof/>
                <w:color w:val="000000"/>
                <w:sz w:val="20"/>
                <w:szCs w:val="20"/>
                <w:lang w:eastAsia="en-IE"/>
              </w:rPr>
              <w:t>KPI 2</w:t>
            </w:r>
            <w:r w:rsidR="008A1E07">
              <w:rPr>
                <w:rFonts w:ascii="Times New Roman" w:eastAsia="Times New Roman" w:hAnsi="Times New Roman" w:cs="Times New Roman"/>
                <w:noProof/>
                <w:color w:val="000000"/>
                <w:sz w:val="20"/>
                <w:szCs w:val="20"/>
                <w:lang w:eastAsia="en-IE"/>
              </w:rPr>
              <w:t>5</w:t>
            </w:r>
            <w:r w:rsidRPr="00FD0882">
              <w:rPr>
                <w:rFonts w:ascii="Times New Roman" w:eastAsia="Times New Roman" w:hAnsi="Times New Roman" w:cs="Times New Roman"/>
                <w:noProof/>
                <w:color w:val="000000"/>
                <w:sz w:val="20"/>
                <w:szCs w:val="20"/>
                <w:lang w:eastAsia="en-IE"/>
              </w:rPr>
              <w:t>: Annual growth in renewable electricity generation</w:t>
            </w:r>
          </w:p>
        </w:tc>
        <w:tc>
          <w:tcPr>
            <w:tcW w:w="3989" w:type="dxa"/>
            <w:tcBorders>
              <w:top w:val="single" w:sz="4" w:space="0" w:color="auto"/>
              <w:left w:val="single" w:sz="4" w:space="0" w:color="auto"/>
              <w:bottom w:val="single" w:sz="4" w:space="0" w:color="auto"/>
              <w:right w:val="single" w:sz="4" w:space="0" w:color="auto"/>
            </w:tcBorders>
            <w:shd w:val="clear" w:color="auto" w:fill="C5E0B3"/>
          </w:tcPr>
          <w:p w14:paraId="4B7B3C77" w14:textId="54799B1E" w:rsidR="0048336D" w:rsidRPr="00FD0882"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FD0882">
              <w:rPr>
                <w:rFonts w:ascii="Times New Roman" w:eastAsia="Times New Roman" w:hAnsi="Times New Roman" w:cs="Times New Roman"/>
                <w:noProof/>
                <w:sz w:val="20"/>
                <w:szCs w:val="20"/>
                <w:lang w:eastAsia="en-IE"/>
              </w:rPr>
              <w:t>The annually added capacity to generate renewable electricity.</w:t>
            </w:r>
            <w:r w:rsidR="00BB43C2" w:rsidRPr="00FD0882">
              <w:rPr>
                <w:rFonts w:ascii="Times New Roman" w:eastAsia="Times New Roman" w:hAnsi="Times New Roman" w:cs="Times New Roman"/>
                <w:b/>
                <w:bCs/>
                <w:noProof/>
                <w:sz w:val="20"/>
                <w:szCs w:val="20"/>
                <w:lang w:eastAsia="en-IE"/>
              </w:rPr>
              <w:t xml:space="preserve"> </w:t>
            </w:r>
            <w:r w:rsidR="00D97B79">
              <w:rPr>
                <w:rFonts w:ascii="Times New Roman" w:eastAsia="Times New Roman" w:hAnsi="Times New Roman" w:cs="Times New Roman"/>
                <w:b/>
                <w:bCs/>
                <w:noProof/>
                <w:sz w:val="20"/>
                <w:szCs w:val="20"/>
                <w:lang w:eastAsia="en-IE"/>
              </w:rPr>
              <w:t>Objective</w:t>
            </w:r>
            <w:r w:rsidRPr="00FD0882">
              <w:rPr>
                <w:rFonts w:ascii="Times New Roman" w:eastAsia="Times New Roman" w:hAnsi="Times New Roman" w:cs="Times New Roman"/>
                <w:b/>
                <w:bCs/>
                <w:noProof/>
                <w:sz w:val="20"/>
                <w:szCs w:val="20"/>
                <w:lang w:eastAsia="en-IE"/>
              </w:rPr>
              <w:t xml:space="preserve"> = + 100 GW</w:t>
            </w:r>
            <w:r w:rsidR="006E4176">
              <w:rPr>
                <w:rStyle w:val="FootnoteReference"/>
                <w:rFonts w:ascii="Times New Roman" w:eastAsia="Times New Roman" w:hAnsi="Times New Roman" w:cs="Times New Roman"/>
                <w:b/>
                <w:bCs/>
                <w:noProof/>
                <w:sz w:val="20"/>
                <w:szCs w:val="20"/>
                <w:lang w:eastAsia="en-IE"/>
              </w:rPr>
              <w:footnoteReference w:id="9"/>
            </w:r>
            <w:r w:rsidR="00D97B79">
              <w:rPr>
                <w:rFonts w:ascii="Times New Roman" w:eastAsia="Times New Roman" w:hAnsi="Times New Roman" w:cs="Times New Roman"/>
                <w:b/>
                <w:bCs/>
                <w:noProof/>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C5E0B3"/>
          </w:tcPr>
          <w:p w14:paraId="67F9252A" w14:textId="5840B752" w:rsidR="00291648" w:rsidRPr="00FD0882" w:rsidRDefault="00291648" w:rsidP="00AC2436">
            <w:pPr>
              <w:spacing w:after="0" w:line="240" w:lineRule="auto"/>
              <w:textAlignment w:val="baseline"/>
              <w:rPr>
                <w:rFonts w:ascii="Times New Roman" w:eastAsia="Times New Roman" w:hAnsi="Times New Roman" w:cs="Times New Roman"/>
                <w:noProof/>
                <w:color w:val="000000"/>
                <w:sz w:val="20"/>
                <w:szCs w:val="20"/>
                <w:lang w:eastAsia="en-IE"/>
              </w:rPr>
            </w:pPr>
            <w:r w:rsidRPr="00FD0882">
              <w:rPr>
                <w:rFonts w:ascii="Times New Roman" w:eastAsia="Times New Roman" w:hAnsi="Times New Roman" w:cs="Times New Roman"/>
                <w:noProof/>
                <w:color w:val="000000"/>
                <w:sz w:val="20"/>
                <w:szCs w:val="20"/>
                <w:lang w:eastAsia="en-IE"/>
              </w:rPr>
              <w:t>+</w:t>
            </w:r>
            <w:r w:rsidR="00245319">
              <w:rPr>
                <w:rFonts w:ascii="Times New Roman" w:eastAsia="Times New Roman" w:hAnsi="Times New Roman" w:cs="Times New Roman"/>
                <w:noProof/>
                <w:color w:val="000000"/>
                <w:sz w:val="20"/>
                <w:szCs w:val="20"/>
                <w:lang w:eastAsia="en-IE"/>
              </w:rPr>
              <w:t>68</w:t>
            </w:r>
            <w:r w:rsidRPr="00FD0882">
              <w:rPr>
                <w:rFonts w:ascii="Times New Roman" w:eastAsia="Times New Roman" w:hAnsi="Times New Roman" w:cs="Times New Roman"/>
                <w:noProof/>
                <w:color w:val="000000"/>
                <w:sz w:val="20"/>
                <w:szCs w:val="20"/>
                <w:lang w:eastAsia="en-IE"/>
              </w:rPr>
              <w:t xml:space="preserve"> GW (2024)</w:t>
            </w:r>
          </w:p>
          <w:p w14:paraId="05E1375A" w14:textId="45C5B46F" w:rsidR="0048336D" w:rsidRPr="00291648"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FD0882">
              <w:rPr>
                <w:rFonts w:ascii="Times New Roman" w:eastAsia="Times New Roman" w:hAnsi="Times New Roman" w:cs="Times New Roman"/>
                <w:noProof/>
                <w:color w:val="000000"/>
                <w:sz w:val="20"/>
                <w:szCs w:val="20"/>
                <w:lang w:eastAsia="en-IE"/>
              </w:rPr>
              <w:t>+6</w:t>
            </w:r>
            <w:r w:rsidR="00245319">
              <w:rPr>
                <w:rFonts w:ascii="Times New Roman" w:eastAsia="Times New Roman" w:hAnsi="Times New Roman" w:cs="Times New Roman"/>
                <w:noProof/>
                <w:color w:val="000000"/>
                <w:sz w:val="20"/>
                <w:szCs w:val="20"/>
                <w:lang w:eastAsia="en-IE"/>
              </w:rPr>
              <w:t>7</w:t>
            </w:r>
            <w:r w:rsidRPr="00FD0882">
              <w:rPr>
                <w:rFonts w:ascii="Times New Roman" w:eastAsia="Times New Roman" w:hAnsi="Times New Roman" w:cs="Times New Roman"/>
                <w:noProof/>
                <w:color w:val="000000"/>
                <w:sz w:val="20"/>
                <w:szCs w:val="20"/>
                <w:lang w:eastAsia="en-IE"/>
              </w:rPr>
              <w:t xml:space="preserve"> GW (2023)</w:t>
            </w:r>
          </w:p>
        </w:tc>
      </w:tr>
      <w:tr w:rsidR="00486446" w:rsidRPr="00486446" w14:paraId="0D1D1A97" w14:textId="77777777" w:rsidTr="00AC2436">
        <w:trPr>
          <w:trHeight w:val="340"/>
        </w:trPr>
        <w:tc>
          <w:tcPr>
            <w:tcW w:w="8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98AC77" w14:textId="77777777" w:rsidR="0048336D" w:rsidRPr="00486446" w:rsidRDefault="0048336D" w:rsidP="00AC2436">
            <w:pPr>
              <w:widowControl w:val="0"/>
              <w:shd w:val="clear" w:color="auto" w:fill="FFFFFF"/>
              <w:spacing w:after="0" w:line="240" w:lineRule="auto"/>
              <w:rPr>
                <w:rFonts w:ascii="Times New Roman" w:eastAsia="Times New Roman" w:hAnsi="Times New Roman" w:cs="Times New Roman"/>
                <w:noProof/>
                <w:kern w:val="0"/>
                <w:sz w:val="20"/>
                <w:szCs w:val="20"/>
              </w:rPr>
            </w:pPr>
            <w:r w:rsidRPr="0065549F">
              <w:rPr>
                <w:rFonts w:ascii="Times New Roman" w:eastAsiaTheme="minorEastAsia" w:hAnsi="Times New Roman" w:cs="Times New Roman"/>
                <w:b/>
                <w:noProof/>
                <w:sz w:val="20"/>
                <w:szCs w:val="20"/>
                <w:lang w:eastAsia="en-IE"/>
              </w:rPr>
              <w:t>Increasing security and reducing dependencies</w:t>
            </w:r>
          </w:p>
        </w:tc>
      </w:tr>
      <w:tr w:rsidR="00486446" w:rsidRPr="00486446" w14:paraId="45E9F448"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3091BFAA" w14:textId="4CA7D287"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B736A8">
              <w:rPr>
                <w:rFonts w:ascii="Times New Roman" w:eastAsia="Times New Roman" w:hAnsi="Times New Roman" w:cs="Times New Roman"/>
                <w:noProof/>
                <w:color w:val="000000"/>
                <w:sz w:val="20"/>
                <w:szCs w:val="20"/>
                <w:lang w:eastAsia="en-IE"/>
              </w:rPr>
              <w:t>KPI 2</w:t>
            </w:r>
            <w:r w:rsidR="008A1E07">
              <w:rPr>
                <w:rFonts w:ascii="Times New Roman" w:eastAsia="Times New Roman" w:hAnsi="Times New Roman" w:cs="Times New Roman"/>
                <w:noProof/>
                <w:color w:val="000000"/>
                <w:sz w:val="20"/>
                <w:szCs w:val="20"/>
                <w:lang w:eastAsia="en-IE"/>
              </w:rPr>
              <w:t>6</w:t>
            </w:r>
            <w:r w:rsidRPr="00B736A8">
              <w:rPr>
                <w:rFonts w:ascii="Times New Roman" w:eastAsia="Times New Roman" w:hAnsi="Times New Roman" w:cs="Times New Roman"/>
                <w:noProof/>
                <w:color w:val="000000"/>
                <w:sz w:val="20"/>
                <w:szCs w:val="20"/>
                <w:lang w:eastAsia="en-IE"/>
              </w:rPr>
              <w:t>: Trade with the rest of the world</w:t>
            </w:r>
            <w:r w:rsidRPr="00486446">
              <w:rPr>
                <w:rFonts w:ascii="Times New Roman" w:eastAsia="Times New Roman" w:hAnsi="Times New Roman" w:cs="Times New Roman"/>
                <w:noProof/>
                <w:sz w:val="20"/>
                <w:szCs w:val="20"/>
                <w:lang w:eastAsia="en-IE"/>
              </w:rPr>
              <w:t> as share of GDP </w:t>
            </w:r>
          </w:p>
          <w:p w14:paraId="6272A80F" w14:textId="77777777"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486446">
              <w:rPr>
                <w:rFonts w:ascii="Times New Roman" w:eastAsia="Times New Roman" w:hAnsi="Times New Roman" w:cs="Times New Roman"/>
                <w:noProof/>
                <w:sz w:val="20"/>
                <w:szCs w:val="20"/>
                <w:lang w:eastAsia="en-IE"/>
              </w:rPr>
              <w:t>  </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63A63657" w14:textId="56FAEAA1"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486446">
              <w:rPr>
                <w:rFonts w:ascii="Times New Roman" w:eastAsia="Times New Roman" w:hAnsi="Times New Roman" w:cs="Times New Roman"/>
                <w:noProof/>
                <w:sz w:val="20"/>
                <w:szCs w:val="20"/>
                <w:lang w:eastAsia="en-IE"/>
              </w:rPr>
              <w:t>The EU’s degree of economic integration with the rest of the world</w:t>
            </w:r>
            <w:r w:rsidR="00FD5523" w:rsidRPr="00B736A8">
              <w:rPr>
                <w:rFonts w:ascii="Times New Roman" w:eastAsia="Times New Roman" w:hAnsi="Times New Roman" w:cs="Times New Roman"/>
                <w:noProof/>
                <w:sz w:val="20"/>
                <w:szCs w:val="20"/>
                <w:lang w:eastAsia="en-IE"/>
              </w:rPr>
              <w:t>. </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7A7FA136" w14:textId="0245E0DD" w:rsidR="0048336D" w:rsidRPr="00B736A8" w:rsidRDefault="0048336D" w:rsidP="00AC2436">
            <w:pPr>
              <w:spacing w:after="0" w:line="240" w:lineRule="auto"/>
              <w:rPr>
                <w:rFonts w:ascii="Times New Roman" w:eastAsia="Times New Roman" w:hAnsi="Times New Roman" w:cs="Times New Roman"/>
                <w:noProof/>
                <w:color w:val="000000"/>
                <w:sz w:val="20"/>
                <w:szCs w:val="20"/>
                <w:lang w:eastAsia="en-IE"/>
              </w:rPr>
            </w:pPr>
            <w:r w:rsidRPr="00B736A8">
              <w:rPr>
                <w:rFonts w:ascii="Times New Roman" w:eastAsia="Times New Roman" w:hAnsi="Times New Roman" w:cs="Times New Roman"/>
                <w:noProof/>
                <w:color w:val="000000"/>
                <w:sz w:val="20"/>
                <w:szCs w:val="20"/>
                <w:lang w:eastAsia="en-IE"/>
              </w:rPr>
              <w:t>13.9 % for goods (2024)</w:t>
            </w:r>
          </w:p>
          <w:p w14:paraId="0D588D41" w14:textId="4DD03D39" w:rsidR="0048336D" w:rsidRPr="00B736A8" w:rsidRDefault="0048336D" w:rsidP="00AC2436">
            <w:pPr>
              <w:spacing w:after="0" w:line="240" w:lineRule="auto"/>
              <w:rPr>
                <w:rFonts w:ascii="Times New Roman" w:eastAsia="Times New Roman" w:hAnsi="Times New Roman" w:cs="Times New Roman"/>
                <w:noProof/>
                <w:color w:val="000000"/>
                <w:sz w:val="20"/>
                <w:szCs w:val="20"/>
                <w:lang w:eastAsia="en-IE"/>
              </w:rPr>
            </w:pPr>
            <w:r w:rsidRPr="00B736A8">
              <w:rPr>
                <w:rFonts w:ascii="Times New Roman" w:eastAsia="Times New Roman" w:hAnsi="Times New Roman" w:cs="Times New Roman"/>
                <w:noProof/>
                <w:color w:val="000000"/>
                <w:sz w:val="20"/>
                <w:szCs w:val="20"/>
                <w:lang w:eastAsia="en-IE"/>
              </w:rPr>
              <w:t>14.7% for goods (2023)</w:t>
            </w:r>
          </w:p>
          <w:p w14:paraId="192FBB2D" w14:textId="77777777" w:rsidR="0048336D" w:rsidRPr="00B736A8" w:rsidRDefault="0048336D" w:rsidP="00AC2436">
            <w:pPr>
              <w:spacing w:after="0" w:line="240" w:lineRule="auto"/>
              <w:rPr>
                <w:rFonts w:ascii="Times New Roman" w:eastAsia="Times New Roman" w:hAnsi="Times New Roman" w:cs="Times New Roman"/>
                <w:noProof/>
                <w:color w:val="000000"/>
                <w:sz w:val="8"/>
                <w:szCs w:val="8"/>
                <w:lang w:eastAsia="en-IE"/>
              </w:rPr>
            </w:pPr>
          </w:p>
          <w:p w14:paraId="572C688A" w14:textId="77777777" w:rsidR="0048336D" w:rsidRPr="00B736A8" w:rsidRDefault="0048336D" w:rsidP="00AC2436">
            <w:pPr>
              <w:spacing w:after="0" w:line="240" w:lineRule="auto"/>
              <w:rPr>
                <w:rFonts w:ascii="Times New Roman" w:eastAsia="Times New Roman" w:hAnsi="Times New Roman" w:cs="Times New Roman"/>
                <w:noProof/>
                <w:color w:val="000000"/>
                <w:sz w:val="20"/>
                <w:szCs w:val="20"/>
                <w:lang w:eastAsia="en-IE"/>
              </w:rPr>
            </w:pPr>
            <w:r w:rsidRPr="00B736A8">
              <w:rPr>
                <w:rFonts w:ascii="Times New Roman" w:eastAsia="Times New Roman" w:hAnsi="Times New Roman" w:cs="Times New Roman"/>
                <w:noProof/>
                <w:color w:val="000000"/>
                <w:sz w:val="20"/>
                <w:szCs w:val="20"/>
                <w:lang w:eastAsia="en-IE"/>
              </w:rPr>
              <w:t>8.1% for services (2024)</w:t>
            </w:r>
          </w:p>
          <w:p w14:paraId="5DB36301" w14:textId="48C9A3BA" w:rsidR="0048336D" w:rsidRPr="00486446" w:rsidRDefault="0048336D" w:rsidP="00AC2436">
            <w:pPr>
              <w:spacing w:after="0" w:line="240" w:lineRule="auto"/>
              <w:rPr>
                <w:rFonts w:ascii="Times New Roman" w:eastAsia="Times New Roman" w:hAnsi="Times New Roman" w:cs="Times New Roman"/>
                <w:noProof/>
                <w:kern w:val="0"/>
                <w:sz w:val="20"/>
                <w:szCs w:val="20"/>
              </w:rPr>
            </w:pPr>
            <w:r w:rsidRPr="00B736A8">
              <w:rPr>
                <w:rFonts w:ascii="Times New Roman" w:eastAsia="Times New Roman" w:hAnsi="Times New Roman" w:cs="Times New Roman"/>
                <w:noProof/>
                <w:color w:val="000000"/>
                <w:sz w:val="20"/>
                <w:szCs w:val="20"/>
                <w:lang w:eastAsia="en-IE"/>
              </w:rPr>
              <w:t>7.8% for services (2023)</w:t>
            </w:r>
          </w:p>
        </w:tc>
      </w:tr>
      <w:tr w:rsidR="00486446" w:rsidRPr="00486446" w14:paraId="55B01A03"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3B4D3C9B" w14:textId="5D445477"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B736A8">
              <w:rPr>
                <w:rFonts w:ascii="Times New Roman" w:eastAsia="Times New Roman" w:hAnsi="Times New Roman" w:cs="Times New Roman"/>
                <w:noProof/>
                <w:color w:val="000000"/>
                <w:sz w:val="20"/>
                <w:szCs w:val="20"/>
                <w:lang w:eastAsia="en-IE"/>
              </w:rPr>
              <w:t>KPI 2</w:t>
            </w:r>
            <w:r w:rsidR="005A6888">
              <w:rPr>
                <w:rFonts w:ascii="Times New Roman" w:eastAsia="Times New Roman" w:hAnsi="Times New Roman" w:cs="Times New Roman"/>
                <w:noProof/>
                <w:color w:val="000000"/>
                <w:sz w:val="20"/>
                <w:szCs w:val="20"/>
                <w:lang w:eastAsia="en-IE"/>
              </w:rPr>
              <w:t>7</w:t>
            </w:r>
            <w:r w:rsidRPr="00B736A8">
              <w:rPr>
                <w:rFonts w:ascii="Times New Roman" w:eastAsia="Times New Roman" w:hAnsi="Times New Roman" w:cs="Times New Roman"/>
                <w:noProof/>
                <w:color w:val="000000"/>
                <w:sz w:val="20"/>
                <w:szCs w:val="20"/>
                <w:lang w:eastAsia="en-IE"/>
              </w:rPr>
              <w:t>: Exports of goods and services as a share of worldwide imports  </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1D1AE6F8" w14:textId="15F78237"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486446">
              <w:rPr>
                <w:rFonts w:ascii="Times New Roman" w:eastAsia="Times New Roman" w:hAnsi="Times New Roman" w:cs="Times New Roman"/>
                <w:noProof/>
                <w:sz w:val="20"/>
                <w:szCs w:val="20"/>
                <w:lang w:eastAsia="en-IE"/>
              </w:rPr>
              <w:t>The EU economy’s market share</w:t>
            </w:r>
            <w:r w:rsidR="00FD5523" w:rsidRPr="00B736A8">
              <w:rPr>
                <w:rFonts w:ascii="Times New Roman" w:eastAsia="Times New Roman" w:hAnsi="Times New Roman" w:cs="Times New Roman"/>
                <w:noProof/>
                <w:sz w:val="20"/>
                <w:szCs w:val="20"/>
                <w:lang w:eastAsia="en-IE"/>
              </w:rPr>
              <w:t>. </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2C1B77B6" w14:textId="7A9AF640"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B736A8">
              <w:rPr>
                <w:rFonts w:ascii="Times New Roman" w:eastAsia="Times New Roman" w:hAnsi="Times New Roman" w:cs="Times New Roman"/>
                <w:noProof/>
                <w:color w:val="000000"/>
                <w:sz w:val="20"/>
                <w:szCs w:val="20"/>
                <w:lang w:eastAsia="en-IE"/>
              </w:rPr>
              <w:t>12.6% for goods (2024)</w:t>
            </w:r>
          </w:p>
          <w:p w14:paraId="34CC3CC3" w14:textId="25E5F3BB" w:rsidR="0048336D" w:rsidRPr="00B736A8" w:rsidRDefault="0048336D" w:rsidP="00AC2436">
            <w:pPr>
              <w:spacing w:after="0" w:line="240" w:lineRule="auto"/>
              <w:textAlignment w:val="baseline"/>
              <w:rPr>
                <w:rFonts w:ascii="Times New Roman" w:eastAsia="Times New Roman" w:hAnsi="Times New Roman" w:cs="Times New Roman"/>
                <w:noProof/>
                <w:color w:val="000000"/>
                <w:sz w:val="20"/>
                <w:szCs w:val="20"/>
                <w:lang w:eastAsia="en-IE"/>
              </w:rPr>
            </w:pPr>
            <w:r w:rsidRPr="00B736A8">
              <w:rPr>
                <w:rFonts w:ascii="Times New Roman" w:eastAsia="Times New Roman" w:hAnsi="Times New Roman" w:cs="Times New Roman"/>
                <w:noProof/>
                <w:color w:val="000000"/>
                <w:sz w:val="20"/>
                <w:szCs w:val="20"/>
                <w:lang w:eastAsia="en-IE"/>
              </w:rPr>
              <w:t>11.9% for goods (2023)</w:t>
            </w:r>
          </w:p>
          <w:p w14:paraId="1A43CECC" w14:textId="77777777" w:rsidR="0048336D" w:rsidRPr="00486446" w:rsidRDefault="0048336D" w:rsidP="00AC2436">
            <w:pPr>
              <w:spacing w:after="0" w:line="240" w:lineRule="auto"/>
              <w:textAlignment w:val="baseline"/>
              <w:rPr>
                <w:rFonts w:ascii="Times New Roman" w:eastAsia="Times New Roman" w:hAnsi="Times New Roman" w:cs="Times New Roman"/>
                <w:noProof/>
                <w:sz w:val="8"/>
                <w:szCs w:val="8"/>
                <w:lang w:eastAsia="en-IE"/>
              </w:rPr>
            </w:pPr>
          </w:p>
          <w:p w14:paraId="369A5A86" w14:textId="01C417CB" w:rsidR="00FD5523" w:rsidRPr="0065549F" w:rsidRDefault="00FD5523" w:rsidP="00FD5523">
            <w:pPr>
              <w:spacing w:after="0" w:line="240" w:lineRule="auto"/>
              <w:textAlignment w:val="baseline"/>
              <w:rPr>
                <w:rFonts w:ascii="Times New Roman" w:eastAsia="Times New Roman" w:hAnsi="Times New Roman" w:cs="Times New Roman"/>
                <w:noProof/>
                <w:sz w:val="20"/>
                <w:szCs w:val="20"/>
                <w:lang w:eastAsia="en-IE"/>
              </w:rPr>
            </w:pPr>
            <w:r w:rsidRPr="00B736A8">
              <w:rPr>
                <w:rFonts w:ascii="Times New Roman" w:eastAsia="Times New Roman" w:hAnsi="Times New Roman" w:cs="Times New Roman"/>
                <w:noProof/>
                <w:color w:val="000000"/>
                <w:sz w:val="20"/>
                <w:szCs w:val="20"/>
                <w:lang w:eastAsia="en-IE"/>
              </w:rPr>
              <w:t>25</w:t>
            </w:r>
            <w:r>
              <w:rPr>
                <w:rFonts w:ascii="Times New Roman" w:eastAsia="Times New Roman" w:hAnsi="Times New Roman" w:cs="Times New Roman"/>
                <w:noProof/>
                <w:color w:val="000000"/>
                <w:sz w:val="20"/>
                <w:szCs w:val="20"/>
                <w:lang w:eastAsia="en-IE"/>
              </w:rPr>
              <w:t>.0</w:t>
            </w:r>
            <w:r w:rsidRPr="00B736A8">
              <w:rPr>
                <w:rFonts w:ascii="Times New Roman" w:eastAsia="Times New Roman" w:hAnsi="Times New Roman" w:cs="Times New Roman"/>
                <w:noProof/>
                <w:color w:val="000000"/>
                <w:sz w:val="20"/>
                <w:szCs w:val="20"/>
                <w:lang w:eastAsia="en-IE"/>
              </w:rPr>
              <w:t>% for services (2024)</w:t>
            </w:r>
          </w:p>
          <w:p w14:paraId="480728AC" w14:textId="2E2E7235" w:rsidR="0048336D" w:rsidRPr="0065549F" w:rsidRDefault="0048336D" w:rsidP="00AC2436">
            <w:pPr>
              <w:spacing w:after="0" w:line="240" w:lineRule="auto"/>
              <w:textAlignment w:val="baseline"/>
              <w:rPr>
                <w:rFonts w:ascii="Times New Roman" w:eastAsia="Times New Roman" w:hAnsi="Times New Roman" w:cs="Times New Roman"/>
                <w:noProof/>
                <w:sz w:val="20"/>
                <w:szCs w:val="20"/>
                <w:lang w:eastAsia="en-IE"/>
              </w:rPr>
            </w:pPr>
            <w:r w:rsidRPr="00B736A8">
              <w:rPr>
                <w:rFonts w:ascii="Times New Roman" w:eastAsia="Times New Roman" w:hAnsi="Times New Roman" w:cs="Times New Roman"/>
                <w:noProof/>
                <w:color w:val="000000"/>
                <w:sz w:val="20"/>
                <w:szCs w:val="20"/>
                <w:lang w:eastAsia="en-IE"/>
              </w:rPr>
              <w:t>25.4% for services (2023)</w:t>
            </w:r>
          </w:p>
        </w:tc>
      </w:tr>
      <w:tr w:rsidR="00486446" w:rsidRPr="00486446" w14:paraId="6D6E0AEC"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5FE2C286" w14:textId="216947C0" w:rsidR="0048336D" w:rsidRPr="00B736A8" w:rsidRDefault="0048336D" w:rsidP="00AC2436">
            <w:pPr>
              <w:spacing w:after="0" w:line="240" w:lineRule="auto"/>
              <w:textAlignment w:val="baseline"/>
              <w:rPr>
                <w:rFonts w:ascii="Times New Roman" w:eastAsia="Times New Roman" w:hAnsi="Times New Roman" w:cs="Times New Roman"/>
                <w:noProof/>
                <w:color w:val="000000"/>
                <w:sz w:val="20"/>
                <w:szCs w:val="20"/>
                <w:lang w:eastAsia="fr-FR"/>
              </w:rPr>
            </w:pPr>
            <w:r w:rsidRPr="00B736A8">
              <w:rPr>
                <w:rFonts w:ascii="Times New Roman" w:eastAsia="Times New Roman" w:hAnsi="Times New Roman" w:cs="Times New Roman"/>
                <w:noProof/>
                <w:color w:val="000000"/>
                <w:sz w:val="20"/>
                <w:szCs w:val="20"/>
                <w:lang w:eastAsia="en-IE"/>
              </w:rPr>
              <w:t>KPI 2</w:t>
            </w:r>
            <w:r w:rsidR="005A6888">
              <w:rPr>
                <w:rFonts w:ascii="Times New Roman" w:eastAsia="Times New Roman" w:hAnsi="Times New Roman" w:cs="Times New Roman"/>
                <w:noProof/>
                <w:color w:val="000000"/>
                <w:sz w:val="20"/>
                <w:szCs w:val="20"/>
                <w:lang w:eastAsia="en-IE"/>
              </w:rPr>
              <w:t>8</w:t>
            </w:r>
            <w:r w:rsidRPr="00B736A8">
              <w:rPr>
                <w:rFonts w:ascii="Times New Roman" w:eastAsia="Times New Roman" w:hAnsi="Times New Roman" w:cs="Times New Roman"/>
                <w:noProof/>
                <w:color w:val="000000"/>
                <w:sz w:val="20"/>
                <w:szCs w:val="20"/>
                <w:lang w:eastAsia="en-IE"/>
              </w:rPr>
              <w:t xml:space="preserve">: </w:t>
            </w:r>
            <w:r w:rsidRPr="00B736A8">
              <w:rPr>
                <w:rFonts w:ascii="Times New Roman" w:eastAsia="Times New Roman" w:hAnsi="Times New Roman" w:cs="Times New Roman"/>
                <w:noProof/>
                <w:color w:val="000000"/>
                <w:sz w:val="20"/>
                <w:szCs w:val="20"/>
                <w:lang w:eastAsia="fr-FR"/>
              </w:rPr>
              <w:t>Domestic clean tech manufacturing capacity</w:t>
            </w:r>
          </w:p>
          <w:p w14:paraId="194D7BEE" w14:textId="77777777"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5B1BB3C0" w14:textId="77777777" w:rsidR="00AE7C44" w:rsidRDefault="0048336D" w:rsidP="00AC2436">
            <w:pPr>
              <w:spacing w:after="0" w:line="240" w:lineRule="auto"/>
              <w:textAlignment w:val="baseline"/>
              <w:rPr>
                <w:rFonts w:ascii="Times New Roman" w:eastAsia="Times New Roman" w:hAnsi="Times New Roman" w:cs="Times New Roman"/>
                <w:noProof/>
                <w:color w:val="000000"/>
                <w:sz w:val="20"/>
                <w:szCs w:val="20"/>
                <w:lang w:eastAsia="en-IE"/>
              </w:rPr>
            </w:pPr>
            <w:r w:rsidRPr="00B736A8">
              <w:rPr>
                <w:rFonts w:ascii="Times New Roman" w:eastAsia="Times New Roman" w:hAnsi="Times New Roman" w:cs="Times New Roman"/>
                <w:noProof/>
                <w:color w:val="000000"/>
                <w:sz w:val="20"/>
                <w:szCs w:val="20"/>
                <w:lang w:eastAsia="en-IE"/>
              </w:rPr>
              <w:t>The share of clean tech components tracked under the Net-Zero Industry Act that meet the benchmark domestic manufacturing rate.</w:t>
            </w:r>
          </w:p>
          <w:p w14:paraId="4C98067E" w14:textId="301B6C06"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B736A8">
              <w:rPr>
                <w:rFonts w:ascii="Times New Roman" w:eastAsia="Times New Roman" w:hAnsi="Times New Roman" w:cs="Times New Roman"/>
                <w:b/>
                <w:noProof/>
                <w:color w:val="000000"/>
                <w:sz w:val="20"/>
                <w:szCs w:val="20"/>
                <w:lang w:eastAsia="en-IE"/>
              </w:rPr>
              <w:t>Target = 100%</w:t>
            </w:r>
            <w:r w:rsidR="00C7328C">
              <w:rPr>
                <w:rFonts w:ascii="Times New Roman" w:eastAsia="Times New Roman" w:hAnsi="Times New Roman" w:cs="Times New Roman"/>
                <w:b/>
                <w:noProof/>
                <w:color w:val="000000"/>
                <w:sz w:val="20"/>
                <w:szCs w:val="20"/>
                <w:lang w:eastAsia="en-IE"/>
              </w:rPr>
              <w:t xml:space="preserve"> of the tracked components</w:t>
            </w:r>
            <w:r w:rsidR="00D97B79">
              <w:rPr>
                <w:rFonts w:ascii="Times New Roman" w:eastAsia="Times New Roman" w:hAnsi="Times New Roman" w:cs="Times New Roman"/>
                <w:b/>
                <w:noProof/>
                <w:color w:val="000000"/>
                <w:sz w:val="20"/>
                <w:szCs w:val="20"/>
                <w:lang w:eastAsia="en-IE"/>
              </w:rPr>
              <w:t>.</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062C52B8" w14:textId="0C889315" w:rsidR="0048336D" w:rsidRPr="00486446" w:rsidRDefault="0048336D" w:rsidP="00AC2436">
            <w:pPr>
              <w:spacing w:after="0" w:line="240" w:lineRule="auto"/>
              <w:textAlignment w:val="baseline"/>
              <w:rPr>
                <w:rFonts w:ascii="Times New Roman" w:eastAsia="Times New Roman" w:hAnsi="Times New Roman" w:cs="Times New Roman"/>
                <w:noProof/>
                <w:sz w:val="20"/>
                <w:szCs w:val="20"/>
                <w:lang w:eastAsia="fr-FR"/>
              </w:rPr>
            </w:pPr>
            <w:r w:rsidRPr="00B736A8">
              <w:rPr>
                <w:rFonts w:ascii="Times New Roman" w:eastAsia="Times New Roman" w:hAnsi="Times New Roman" w:cs="Times New Roman"/>
                <w:noProof/>
                <w:color w:val="000000"/>
                <w:sz w:val="20"/>
                <w:szCs w:val="20"/>
                <w:lang w:eastAsia="en-IE"/>
              </w:rPr>
              <w:t>6 out of 27 (22%) technology components exceed the benchmark manufacturing rate (2024)</w:t>
            </w:r>
          </w:p>
        </w:tc>
      </w:tr>
      <w:tr w:rsidR="00486446" w:rsidRPr="00486446" w14:paraId="13CF1810" w14:textId="77777777" w:rsidTr="00EC17D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6FA84"/>
          </w:tcPr>
          <w:p w14:paraId="31A5F4C6" w14:textId="5EF26784"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lang w:eastAsia="en-IE"/>
              </w:rPr>
            </w:pPr>
            <w:r w:rsidRPr="00B736A8">
              <w:rPr>
                <w:rFonts w:ascii="Times New Roman" w:eastAsia="Times New Roman" w:hAnsi="Times New Roman" w:cs="Times New Roman"/>
                <w:noProof/>
                <w:color w:val="000000"/>
                <w:sz w:val="20"/>
                <w:szCs w:val="20"/>
                <w:lang w:eastAsia="en-IE"/>
              </w:rPr>
              <w:t xml:space="preserve">KPI </w:t>
            </w:r>
            <w:r w:rsidR="005A6888">
              <w:rPr>
                <w:rFonts w:ascii="Times New Roman" w:eastAsia="Times New Roman" w:hAnsi="Times New Roman" w:cs="Times New Roman"/>
                <w:noProof/>
                <w:color w:val="000000"/>
                <w:sz w:val="20"/>
                <w:szCs w:val="20"/>
                <w:lang w:eastAsia="en-IE"/>
              </w:rPr>
              <w:t>29</w:t>
            </w:r>
            <w:r w:rsidRPr="00B736A8">
              <w:rPr>
                <w:rFonts w:ascii="Times New Roman" w:eastAsia="Times New Roman" w:hAnsi="Times New Roman" w:cs="Times New Roman"/>
                <w:noProof/>
                <w:color w:val="000000"/>
                <w:sz w:val="20"/>
                <w:szCs w:val="20"/>
                <w:lang w:eastAsia="en-IE"/>
              </w:rPr>
              <w:t>: External vulnerability</w:t>
            </w:r>
          </w:p>
        </w:tc>
        <w:tc>
          <w:tcPr>
            <w:tcW w:w="3989" w:type="dxa"/>
            <w:tcBorders>
              <w:top w:val="single" w:sz="4" w:space="0" w:color="auto"/>
              <w:left w:val="single" w:sz="4" w:space="0" w:color="auto"/>
              <w:bottom w:val="single" w:sz="4" w:space="0" w:color="auto"/>
              <w:right w:val="single" w:sz="4" w:space="0" w:color="auto"/>
            </w:tcBorders>
            <w:shd w:val="clear" w:color="auto" w:fill="F6FA84"/>
          </w:tcPr>
          <w:p w14:paraId="46AC1F47" w14:textId="4F05872A" w:rsidR="0048336D" w:rsidRPr="00486446" w:rsidRDefault="0048336D" w:rsidP="00AC2436">
            <w:pPr>
              <w:spacing w:after="0" w:line="240" w:lineRule="auto"/>
              <w:textAlignment w:val="baseline"/>
              <w:rPr>
                <w:rFonts w:ascii="Times New Roman" w:eastAsia="Times New Roman" w:hAnsi="Times New Roman" w:cs="Times New Roman"/>
                <w:noProof/>
                <w:kern w:val="0"/>
                <w:sz w:val="20"/>
                <w:szCs w:val="20"/>
              </w:rPr>
            </w:pPr>
            <w:r w:rsidRPr="00B736A8">
              <w:rPr>
                <w:rFonts w:ascii="Times New Roman" w:eastAsia="Times New Roman" w:hAnsi="Times New Roman" w:cs="Times New Roman"/>
                <w:noProof/>
                <w:color w:val="000000"/>
                <w:sz w:val="20"/>
                <w:szCs w:val="20"/>
                <w:lang w:eastAsia="fr-FR"/>
              </w:rPr>
              <w:t>External vulnerabilities for strategically important industrial products</w:t>
            </w:r>
            <w:r w:rsidRPr="00B736A8">
              <w:rPr>
                <w:rFonts w:ascii="Times New Roman" w:eastAsia="Times New Roman" w:hAnsi="Times New Roman" w:cs="Times New Roman"/>
                <w:noProof/>
                <w:color w:val="000000"/>
                <w:sz w:val="20"/>
                <w:szCs w:val="20"/>
                <w:vertAlign w:val="superscript"/>
                <w:lang w:eastAsia="fr-FR"/>
              </w:rPr>
              <w:footnoteReference w:id="10"/>
            </w:r>
            <w:r w:rsidRPr="00B736A8">
              <w:rPr>
                <w:rFonts w:ascii="Times New Roman" w:eastAsia="Times New Roman" w:hAnsi="Times New Roman" w:cs="Times New Roman"/>
                <w:noProof/>
                <w:color w:val="000000"/>
                <w:sz w:val="20"/>
                <w:szCs w:val="20"/>
                <w:lang w:eastAsia="fr-FR"/>
              </w:rPr>
              <w:t xml:space="preserve">. </w:t>
            </w:r>
          </w:p>
        </w:tc>
        <w:tc>
          <w:tcPr>
            <w:tcW w:w="2591" w:type="dxa"/>
            <w:tcBorders>
              <w:top w:val="single" w:sz="4" w:space="0" w:color="auto"/>
              <w:left w:val="single" w:sz="4" w:space="0" w:color="auto"/>
              <w:bottom w:val="single" w:sz="4" w:space="0" w:color="auto"/>
              <w:right w:val="single" w:sz="4" w:space="0" w:color="auto"/>
            </w:tcBorders>
            <w:shd w:val="clear" w:color="auto" w:fill="F6FA84"/>
          </w:tcPr>
          <w:p w14:paraId="5438CE58" w14:textId="77777777" w:rsidR="0048336D" w:rsidRPr="00B736A8" w:rsidRDefault="0048336D" w:rsidP="00AC2436">
            <w:pPr>
              <w:spacing w:after="0" w:line="240" w:lineRule="auto"/>
              <w:textAlignment w:val="baseline"/>
              <w:rPr>
                <w:rFonts w:ascii="Times New Roman" w:hAnsi="Times New Roman" w:cs="Times New Roman"/>
                <w:noProof/>
                <w:color w:val="000000"/>
                <w:sz w:val="20"/>
              </w:rPr>
            </w:pPr>
            <w:r w:rsidRPr="00B736A8">
              <w:rPr>
                <w:rFonts w:ascii="Times New Roman" w:hAnsi="Times New Roman" w:cs="Times New Roman"/>
                <w:noProof/>
                <w:color w:val="000000"/>
                <w:sz w:val="20"/>
              </w:rPr>
              <w:t>0.20 (2023)</w:t>
            </w:r>
          </w:p>
          <w:p w14:paraId="2250E0DC" w14:textId="11963CF4" w:rsidR="0048336D" w:rsidRPr="00300FF1" w:rsidRDefault="00B540A8" w:rsidP="00EC17DB">
            <w:pPr>
              <w:pStyle w:val="ListParagraph"/>
              <w:numPr>
                <w:ilvl w:val="1"/>
                <w:numId w:val="50"/>
              </w:numPr>
              <w:spacing w:after="0" w:line="240" w:lineRule="auto"/>
              <w:textAlignment w:val="baseline"/>
              <w:rPr>
                <w:rFonts w:cs="Times New Roman"/>
                <w:noProof/>
                <w:sz w:val="20"/>
              </w:rPr>
            </w:pPr>
            <w:r>
              <w:rPr>
                <w:rFonts w:cs="Times New Roman"/>
                <w:noProof/>
                <w:color w:val="000000"/>
                <w:sz w:val="20"/>
              </w:rPr>
              <w:t xml:space="preserve"> (</w:t>
            </w:r>
            <w:r w:rsidR="0048336D" w:rsidRPr="00300FF1">
              <w:rPr>
                <w:rFonts w:cs="Times New Roman"/>
                <w:noProof/>
                <w:color w:val="000000"/>
                <w:sz w:val="20"/>
              </w:rPr>
              <w:t xml:space="preserve">2022) </w:t>
            </w:r>
          </w:p>
        </w:tc>
      </w:tr>
    </w:tbl>
    <w:p w14:paraId="71002B7C" w14:textId="147A19D5" w:rsidR="00432A46" w:rsidRDefault="00432A46" w:rsidP="006E0577">
      <w:pPr>
        <w:pStyle w:val="paragraph0"/>
        <w:spacing w:before="0" w:beforeAutospacing="0" w:after="160" w:afterAutospacing="0" w:line="250" w:lineRule="auto"/>
        <w:jc w:val="both"/>
        <w:textAlignment w:val="baseline"/>
        <w:rPr>
          <w:rStyle w:val="eop"/>
          <w:rFonts w:ascii="Calibri" w:eastAsia="Calibri" w:hAnsi="Calibri" w:cs="Arial"/>
          <w:noProof/>
          <w:kern w:val="3"/>
          <w:sz w:val="22"/>
          <w:szCs w:val="22"/>
          <w:lang w:val="en-GB" w:eastAsia="en-US"/>
        </w:rPr>
      </w:pPr>
      <w:r>
        <w:rPr>
          <w:rStyle w:val="normaltextrun"/>
          <w:noProof/>
        </w:rPr>
        <w:t xml:space="preserve">This </w:t>
      </w:r>
      <w:r w:rsidRPr="00502227">
        <w:rPr>
          <w:rStyle w:val="normaltextrun"/>
          <w:noProof/>
        </w:rPr>
        <w:t xml:space="preserve">annex </w:t>
      </w:r>
      <w:r w:rsidR="002744B8">
        <w:rPr>
          <w:rStyle w:val="normaltextrun"/>
          <w:noProof/>
        </w:rPr>
        <w:t>zooms</w:t>
      </w:r>
      <w:r w:rsidRPr="00502227">
        <w:rPr>
          <w:rStyle w:val="normaltextrun"/>
          <w:noProof/>
        </w:rPr>
        <w:t xml:space="preserve"> in on each of the Report’s </w:t>
      </w:r>
      <w:r w:rsidR="00F40CD0">
        <w:rPr>
          <w:rStyle w:val="normaltextrun"/>
          <w:noProof/>
        </w:rPr>
        <w:t>29</w:t>
      </w:r>
      <w:r w:rsidRPr="00502227">
        <w:rPr>
          <w:rStyle w:val="normaltextrun"/>
          <w:noProof/>
        </w:rPr>
        <w:t xml:space="preserve"> KPIs, showing</w:t>
      </w:r>
      <w:r w:rsidRPr="00EC17DB">
        <w:rPr>
          <w:rStyle w:val="normaltextrun"/>
          <w:noProof/>
        </w:rPr>
        <w:t xml:space="preserve"> the evolution of</w:t>
      </w:r>
      <w:r w:rsidRPr="00502227">
        <w:rPr>
          <w:rStyle w:val="normaltextrun"/>
          <w:noProof/>
        </w:rPr>
        <w:t xml:space="preserve"> EU performance over time</w:t>
      </w:r>
      <w:r w:rsidR="00EC06DD">
        <w:rPr>
          <w:rStyle w:val="normaltextrun"/>
          <w:noProof/>
        </w:rPr>
        <w:t xml:space="preserve"> </w:t>
      </w:r>
      <w:r w:rsidRPr="00502227">
        <w:rPr>
          <w:rStyle w:val="normaltextrun"/>
          <w:noProof/>
        </w:rPr>
        <w:t>and data by individual Member State</w:t>
      </w:r>
      <w:r w:rsidR="00C46973">
        <w:rPr>
          <w:rStyle w:val="normaltextrun"/>
          <w:noProof/>
        </w:rPr>
        <w:t xml:space="preserve"> as available</w:t>
      </w:r>
      <w:r w:rsidRPr="00502227">
        <w:rPr>
          <w:rStyle w:val="normaltextrun"/>
          <w:noProof/>
        </w:rPr>
        <w:t>.</w:t>
      </w:r>
      <w:r w:rsidR="00EC06DD">
        <w:rPr>
          <w:rStyle w:val="eop"/>
          <w:noProof/>
        </w:rPr>
        <w:t xml:space="preserve"> </w:t>
      </w:r>
      <w:r>
        <w:rPr>
          <w:rStyle w:val="eop"/>
          <w:noProof/>
        </w:rPr>
        <w:t>It includes the latest available data for each KPI, with data sources last accessed on 15 January 2026.</w:t>
      </w:r>
    </w:p>
    <w:p w14:paraId="7C43D5C5" w14:textId="77777777" w:rsidR="00432A46" w:rsidRPr="00502227" w:rsidRDefault="00432A46" w:rsidP="00EC17DB">
      <w:pPr>
        <w:pStyle w:val="paragraph0"/>
        <w:spacing w:before="0" w:beforeAutospacing="0" w:after="0" w:afterAutospacing="0"/>
        <w:jc w:val="both"/>
        <w:textAlignment w:val="baseline"/>
        <w:rPr>
          <w:noProof/>
        </w:rPr>
      </w:pPr>
    </w:p>
    <w:p w14:paraId="0D6642C6" w14:textId="77777777" w:rsidR="003529E2" w:rsidRPr="00486446" w:rsidRDefault="003529E2" w:rsidP="0065549F">
      <w:pPr>
        <w:pStyle w:val="Heading2"/>
        <w:numPr>
          <w:ilvl w:val="0"/>
          <w:numId w:val="31"/>
        </w:numPr>
        <w:spacing w:after="160" w:line="250" w:lineRule="auto"/>
        <w:rPr>
          <w:rFonts w:ascii="Times New Roman" w:hAnsi="Times New Roman"/>
          <w:b/>
          <w:bCs/>
          <w:noProof/>
          <w:color w:val="auto"/>
          <w:sz w:val="28"/>
          <w:szCs w:val="28"/>
        </w:rPr>
      </w:pPr>
      <w:bookmarkStart w:id="6" w:name="_Toc220103434"/>
      <w:r w:rsidRPr="00486446">
        <w:rPr>
          <w:rFonts w:ascii="Times New Roman" w:hAnsi="Times New Roman"/>
          <w:b/>
          <w:bCs/>
          <w:noProof/>
          <w:color w:val="auto"/>
          <w:sz w:val="28"/>
          <w:szCs w:val="28"/>
        </w:rPr>
        <w:t>A functioning Single Market</w:t>
      </w:r>
      <w:bookmarkEnd w:id="6"/>
    </w:p>
    <w:p w14:paraId="645DEDE0" w14:textId="77777777" w:rsidR="00331C3B" w:rsidRDefault="00331C3B" w:rsidP="00EC06DD">
      <w:pPr>
        <w:pStyle w:val="Heading3"/>
        <w:spacing w:after="160" w:line="250" w:lineRule="auto"/>
        <w:rPr>
          <w:rFonts w:ascii="Times New Roman" w:hAnsi="Times New Roman"/>
          <w:b/>
          <w:bCs/>
          <w:noProof/>
          <w:color w:val="auto"/>
        </w:rPr>
      </w:pPr>
      <w:bookmarkStart w:id="7" w:name="_Toc185237870"/>
      <w:bookmarkStart w:id="8" w:name="_Toc185239873"/>
      <w:bookmarkStart w:id="9" w:name="_Toc185264639"/>
      <w:bookmarkStart w:id="10" w:name="_Toc185525732"/>
      <w:bookmarkStart w:id="11" w:name="_Toc185591272"/>
    </w:p>
    <w:p w14:paraId="4DC70860" w14:textId="16B9B4D6" w:rsidR="00C1173C" w:rsidRPr="00AC092F" w:rsidRDefault="00F50AF8" w:rsidP="0065549F">
      <w:pPr>
        <w:pStyle w:val="Heading3"/>
        <w:spacing w:after="160" w:line="250" w:lineRule="auto"/>
        <w:rPr>
          <w:rFonts w:ascii="Times New Roman" w:hAnsi="Times New Roman"/>
          <w:b/>
          <w:bCs/>
          <w:noProof/>
          <w:color w:val="auto"/>
        </w:rPr>
      </w:pPr>
      <w:bookmarkStart w:id="12" w:name="_Toc220103435"/>
      <w:r w:rsidRPr="00AC092F">
        <w:rPr>
          <w:rFonts w:ascii="Times New Roman" w:hAnsi="Times New Roman"/>
          <w:b/>
          <w:bCs/>
          <w:noProof/>
          <w:color w:val="auto"/>
        </w:rPr>
        <w:t>KPI 1: Labour productivity</w:t>
      </w:r>
      <w:bookmarkStart w:id="13" w:name="_Toc183515520"/>
      <w:bookmarkEnd w:id="7"/>
      <w:bookmarkEnd w:id="8"/>
      <w:bookmarkEnd w:id="9"/>
      <w:bookmarkEnd w:id="10"/>
      <w:bookmarkEnd w:id="11"/>
      <w:bookmarkEnd w:id="12"/>
      <w:r w:rsidRPr="00AC092F">
        <w:rPr>
          <w:rFonts w:ascii="Times New Roman" w:hAnsi="Times New Roman"/>
          <w:b/>
          <w:bCs/>
          <w:noProof/>
          <w:color w:val="auto"/>
        </w:rPr>
        <w:t xml:space="preserve"> </w:t>
      </w:r>
      <w:bookmarkEnd w:id="13"/>
    </w:p>
    <w:p w14:paraId="45F82171" w14:textId="741B2208" w:rsidR="007B1861" w:rsidRPr="00486446" w:rsidRDefault="001121D4" w:rsidP="0065549F">
      <w:pPr>
        <w:pStyle w:val="Paragraph"/>
        <w:spacing w:line="250" w:lineRule="auto"/>
        <w:rPr>
          <w:noProof/>
          <w:lang w:val="en-IE"/>
        </w:rPr>
      </w:pPr>
      <w:r w:rsidRPr="00486446">
        <w:rPr>
          <w:noProof/>
          <w:lang w:val="en-IE"/>
        </w:rPr>
        <w:t>KPI</w:t>
      </w:r>
      <w:r w:rsidR="00986AEB" w:rsidRPr="00486446">
        <w:rPr>
          <w:noProof/>
          <w:lang w:val="en-IE"/>
        </w:rPr>
        <w:t xml:space="preserve"> </w:t>
      </w:r>
      <w:r w:rsidR="00194EA0" w:rsidRPr="00486446">
        <w:rPr>
          <w:noProof/>
          <w:lang w:val="en-IE"/>
        </w:rPr>
        <w:t>1</w:t>
      </w:r>
      <w:r w:rsidR="00F50AF8" w:rsidRPr="00486446">
        <w:rPr>
          <w:noProof/>
          <w:lang w:val="en-IE"/>
        </w:rPr>
        <w:t xml:space="preserve"> shows the trend in labour productivity, meaning the economic output per hour worked in the economy</w:t>
      </w:r>
      <w:r w:rsidR="001342C8" w:rsidRPr="00486446">
        <w:rPr>
          <w:noProof/>
          <w:lang w:val="en-IE"/>
        </w:rPr>
        <w:t xml:space="preserve"> (in PP</w:t>
      </w:r>
      <w:r w:rsidR="006916CB">
        <w:rPr>
          <w:noProof/>
          <w:lang w:val="en-IE"/>
        </w:rPr>
        <w:t>S</w:t>
      </w:r>
      <w:r w:rsidR="001342C8" w:rsidRPr="00486446">
        <w:rPr>
          <w:noProof/>
          <w:lang w:val="en-IE"/>
        </w:rPr>
        <w:t xml:space="preserve"> terms)</w:t>
      </w:r>
      <w:r w:rsidR="00F50AF8" w:rsidRPr="00486446">
        <w:rPr>
          <w:noProof/>
          <w:lang w:val="en-IE"/>
        </w:rPr>
        <w:t xml:space="preserve">. </w:t>
      </w:r>
      <w:r w:rsidR="006D1320" w:rsidRPr="00486446">
        <w:rPr>
          <w:noProof/>
          <w:lang w:val="en-IE"/>
        </w:rPr>
        <w:t>EU</w:t>
      </w:r>
      <w:r w:rsidR="00EA517A" w:rsidRPr="00486446">
        <w:rPr>
          <w:noProof/>
          <w:lang w:val="en-IE"/>
        </w:rPr>
        <w:t xml:space="preserve"> indexed</w:t>
      </w:r>
      <w:r w:rsidR="006D1320" w:rsidRPr="00486446">
        <w:rPr>
          <w:noProof/>
          <w:lang w:val="en-IE"/>
        </w:rPr>
        <w:t xml:space="preserve"> at </w:t>
      </w:r>
      <w:r w:rsidR="00EA517A" w:rsidRPr="00486446">
        <w:rPr>
          <w:noProof/>
          <w:lang w:val="en-IE"/>
        </w:rPr>
        <w:t>100</w:t>
      </w:r>
      <w:r w:rsidR="006D1320" w:rsidRPr="00486446">
        <w:rPr>
          <w:noProof/>
          <w:lang w:val="en-IE"/>
        </w:rPr>
        <w:t xml:space="preserve"> for 2024.</w:t>
      </w:r>
    </w:p>
    <w:p w14:paraId="56B4F97F" w14:textId="5516202A" w:rsidR="0099631C" w:rsidRDefault="003A795B" w:rsidP="006E0577">
      <w:pPr>
        <w:pStyle w:val="Paragraph"/>
        <w:spacing w:line="250" w:lineRule="auto"/>
        <w:rPr>
          <w:noProof/>
          <w:lang w:val="en-IE"/>
        </w:rPr>
      </w:pPr>
      <w:r>
        <w:rPr>
          <w:noProof/>
          <w:lang w:val="en-IE"/>
        </w:rPr>
        <w:t>The EU shows a persistent productivity gap in relation to the US</w:t>
      </w:r>
      <w:r w:rsidR="001E2A14">
        <w:rPr>
          <w:noProof/>
          <w:lang w:val="en-IE"/>
        </w:rPr>
        <w:t xml:space="preserve">, with </w:t>
      </w:r>
      <w:r w:rsidR="00D67F05">
        <w:rPr>
          <w:noProof/>
          <w:lang w:val="en-IE"/>
        </w:rPr>
        <w:t>labour productivity</w:t>
      </w:r>
      <w:r w:rsidR="001E2A14">
        <w:rPr>
          <w:noProof/>
          <w:lang w:val="en-IE"/>
        </w:rPr>
        <w:t xml:space="preserve"> </w:t>
      </w:r>
      <w:r w:rsidR="00A25FAE">
        <w:rPr>
          <w:noProof/>
          <w:lang w:val="en-IE"/>
        </w:rPr>
        <w:t>significantly</w:t>
      </w:r>
      <w:r w:rsidR="00280583">
        <w:rPr>
          <w:noProof/>
          <w:lang w:val="en-IE"/>
        </w:rPr>
        <w:t xml:space="preserve"> below</w:t>
      </w:r>
      <w:r w:rsidR="00D67F05">
        <w:rPr>
          <w:noProof/>
          <w:lang w:val="en-IE"/>
        </w:rPr>
        <w:t xml:space="preserve"> US levels for the past 30 </w:t>
      </w:r>
      <w:r w:rsidR="00D67F05" w:rsidRPr="00D95AC2">
        <w:rPr>
          <w:noProof/>
          <w:lang w:val="en-IE"/>
        </w:rPr>
        <w:t>years</w:t>
      </w:r>
      <w:r w:rsidR="00A25FAE" w:rsidRPr="00D95AC2">
        <w:rPr>
          <w:noProof/>
          <w:lang w:val="en-IE"/>
        </w:rPr>
        <w:t xml:space="preserve">, </w:t>
      </w:r>
      <w:r w:rsidR="00A25FAE" w:rsidRPr="00EC17DB">
        <w:rPr>
          <w:noProof/>
          <w:lang w:val="en-IE"/>
        </w:rPr>
        <w:t>currently 2</w:t>
      </w:r>
      <w:r w:rsidR="005F12D1" w:rsidRPr="00EC17DB">
        <w:rPr>
          <w:noProof/>
          <w:lang w:val="en-IE"/>
        </w:rPr>
        <w:t>1</w:t>
      </w:r>
      <w:r w:rsidR="00A25FAE" w:rsidRPr="00EC17DB">
        <w:rPr>
          <w:noProof/>
          <w:lang w:val="en-IE"/>
        </w:rPr>
        <w:t>% lower</w:t>
      </w:r>
      <w:r w:rsidRPr="00D95AC2">
        <w:rPr>
          <w:noProof/>
          <w:lang w:val="en-IE"/>
        </w:rPr>
        <w:t>.</w:t>
      </w:r>
    </w:p>
    <w:p w14:paraId="66633754" w14:textId="77777777" w:rsidR="000C0B93" w:rsidRPr="00486446" w:rsidRDefault="000C0B93" w:rsidP="006E0577">
      <w:pPr>
        <w:pStyle w:val="Paragraph"/>
        <w:spacing w:line="250" w:lineRule="auto"/>
        <w:rPr>
          <w:noProof/>
          <w:lang w:val="en-IE"/>
        </w:rPr>
      </w:pPr>
    </w:p>
    <w:p w14:paraId="416274FC" w14:textId="30FDB031" w:rsidR="00A054E9" w:rsidRPr="00486446" w:rsidRDefault="00F50AF8" w:rsidP="006E0577">
      <w:pPr>
        <w:pStyle w:val="Figurecaption"/>
        <w:spacing w:line="250" w:lineRule="auto"/>
        <w:jc w:val="both"/>
        <w:rPr>
          <w:rFonts w:eastAsia="Times New Roman" w:cs="Times New Roman"/>
          <w:noProof/>
          <w:lang w:val="en-IE"/>
        </w:rPr>
      </w:pPr>
      <w:r w:rsidRPr="00486446">
        <w:rPr>
          <w:rFonts w:eastAsia="Times New Roman" w:cs="Times New Roman"/>
          <w:b/>
          <w:bCs/>
          <w:noProof/>
          <w:lang w:val="en-IE"/>
        </w:rPr>
        <w:t>Figure 1</w:t>
      </w:r>
      <w:r w:rsidRPr="00486446">
        <w:rPr>
          <w:rFonts w:eastAsia="Times New Roman" w:cs="Times New Roman"/>
          <w:noProof/>
          <w:lang w:val="en-IE"/>
        </w:rPr>
        <w:t xml:space="preserve">: </w:t>
      </w:r>
      <w:r w:rsidR="000B0F9F" w:rsidRPr="00486446">
        <w:rPr>
          <w:rFonts w:eastAsia="Times New Roman" w:cs="Times New Roman"/>
          <w:iCs w:val="0"/>
          <w:noProof/>
          <w:szCs w:val="24"/>
          <w:lang w:val="en-IE"/>
        </w:rPr>
        <w:t>Labour productivity</w:t>
      </w:r>
      <w:r w:rsidR="001342C8" w:rsidRPr="00486446">
        <w:rPr>
          <w:rFonts w:eastAsia="Times New Roman" w:cs="Times New Roman"/>
          <w:iCs w:val="0"/>
          <w:noProof/>
          <w:szCs w:val="24"/>
          <w:lang w:val="en-IE"/>
        </w:rPr>
        <w:t xml:space="preserve"> in the EU and other advanced economies</w:t>
      </w:r>
      <w:r w:rsidR="00E34280" w:rsidRPr="00486446">
        <w:rPr>
          <w:rFonts w:eastAsia="Times New Roman" w:cs="Times New Roman"/>
          <w:iCs w:val="0"/>
          <w:noProof/>
          <w:szCs w:val="24"/>
          <w:lang w:val="en-IE"/>
        </w:rPr>
        <w:t>.</w:t>
      </w:r>
    </w:p>
    <w:p w14:paraId="4E1EEC92" w14:textId="34895C1A" w:rsidR="007A794D" w:rsidRPr="00FB2E5E" w:rsidRDefault="00E42FEB" w:rsidP="00EC17DB">
      <w:pPr>
        <w:pStyle w:val="Figurecaption"/>
        <w:jc w:val="center"/>
        <w:rPr>
          <w:rStyle w:val="normaltextrun"/>
          <w:rFonts w:eastAsia="Times New Roman" w:cs="Times New Roman"/>
          <w:noProof/>
          <w:lang w:val="en-IE"/>
        </w:rPr>
      </w:pPr>
      <w:r w:rsidRPr="00E42FEB">
        <w:rPr>
          <w:noProof/>
          <w:lang w:eastAsia="en-GB"/>
        </w:rPr>
        <w:drawing>
          <wp:inline distT="0" distB="0" distL="0" distR="0" wp14:anchorId="709D39FB" wp14:editId="17348A3C">
            <wp:extent cx="5731510" cy="3542030"/>
            <wp:effectExtent l="0" t="0" r="2540" b="1270"/>
            <wp:docPr id="2051213564"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13564" name="Picture 1" descr="A graph of different colored lines&#10;&#10;AI-generated content may be incorrect."/>
                    <pic:cNvPicPr/>
                  </pic:nvPicPr>
                  <pic:blipFill>
                    <a:blip r:embed="rId36"/>
                    <a:stretch>
                      <a:fillRect/>
                    </a:stretch>
                  </pic:blipFill>
                  <pic:spPr>
                    <a:xfrm>
                      <a:off x="0" y="0"/>
                      <a:ext cx="5731510" cy="3542030"/>
                    </a:xfrm>
                    <a:prstGeom prst="rect">
                      <a:avLst/>
                    </a:prstGeom>
                  </pic:spPr>
                </pic:pic>
              </a:graphicData>
            </a:graphic>
          </wp:inline>
        </w:drawing>
      </w:r>
    </w:p>
    <w:p w14:paraId="5BAE363E" w14:textId="1BCDA8A8" w:rsidR="006F121F" w:rsidRPr="00486446" w:rsidRDefault="00F50AF8" w:rsidP="00A37A7A">
      <w:pPr>
        <w:pStyle w:val="Source"/>
        <w:spacing w:line="250" w:lineRule="auto"/>
        <w:rPr>
          <w:rStyle w:val="eop"/>
          <w:noProof/>
          <w:color w:val="auto"/>
          <w:lang w:val="en-IE"/>
        </w:rPr>
      </w:pPr>
      <w:r w:rsidRPr="00486446">
        <w:rPr>
          <w:rStyle w:val="normaltextrun"/>
          <w:noProof/>
          <w:color w:val="auto"/>
          <w:lang w:val="en-IE"/>
        </w:rPr>
        <w:t xml:space="preserve">Source: </w:t>
      </w:r>
      <w:r w:rsidR="004F7BFC">
        <w:rPr>
          <w:rStyle w:val="normaltextrun"/>
          <w:noProof/>
          <w:color w:val="auto"/>
          <w:lang w:val="en-IE"/>
        </w:rPr>
        <w:t xml:space="preserve">European Commission services calculations based on </w:t>
      </w:r>
      <w:r w:rsidRPr="00486446">
        <w:rPr>
          <w:rStyle w:val="normaltextrun"/>
          <w:noProof/>
          <w:color w:val="auto"/>
          <w:lang w:val="en-IE"/>
        </w:rPr>
        <w:t>AMECO</w:t>
      </w:r>
      <w:r w:rsidR="00F126DF" w:rsidDel="004F7BFC">
        <w:rPr>
          <w:rStyle w:val="normaltextrun"/>
          <w:noProof/>
          <w:color w:val="auto"/>
          <w:lang w:val="en-IE"/>
        </w:rPr>
        <w:t xml:space="preserve"> </w:t>
      </w:r>
      <w:r w:rsidR="003A1654">
        <w:rPr>
          <w:rStyle w:val="normaltextrun"/>
          <w:noProof/>
          <w:color w:val="auto"/>
          <w:lang w:val="en-IE"/>
        </w:rPr>
        <w:t>database</w:t>
      </w:r>
      <w:r w:rsidR="00AB7920">
        <w:rPr>
          <w:rStyle w:val="normaltextrun"/>
          <w:noProof/>
          <w:color w:val="auto"/>
          <w:lang w:val="en-IE"/>
        </w:rPr>
        <w:t>, series</w:t>
      </w:r>
      <w:r w:rsidR="00302B85">
        <w:rPr>
          <w:rStyle w:val="normaltextrun"/>
          <w:noProof/>
          <w:color w:val="auto"/>
          <w:lang w:val="en-IE"/>
        </w:rPr>
        <w:t xml:space="preserve">: </w:t>
      </w:r>
      <w:r w:rsidR="00AB7920">
        <w:rPr>
          <w:rStyle w:val="normaltextrun"/>
          <w:noProof/>
          <w:color w:val="auto"/>
          <w:lang w:val="en-IE"/>
        </w:rPr>
        <w:t>UVGD PPS</w:t>
      </w:r>
      <w:r w:rsidR="00D52372">
        <w:rPr>
          <w:rStyle w:val="normaltextrun"/>
          <w:noProof/>
          <w:color w:val="auto"/>
          <w:lang w:val="en-IE"/>
        </w:rPr>
        <w:t xml:space="preserve"> and N</w:t>
      </w:r>
      <w:r w:rsidR="00A65B41">
        <w:rPr>
          <w:rStyle w:val="normaltextrun"/>
          <w:noProof/>
          <w:color w:val="auto"/>
          <w:lang w:val="en-IE"/>
        </w:rPr>
        <w:t>LHT</w:t>
      </w:r>
    </w:p>
    <w:p w14:paraId="48990EBC" w14:textId="77777777" w:rsidR="004F0F7D" w:rsidRPr="00486446" w:rsidRDefault="004F0F7D" w:rsidP="004F0F7D">
      <w:pPr>
        <w:rPr>
          <w:rFonts w:ascii="Times New Roman" w:hAnsi="Times New Roman" w:cs="Times New Roman"/>
          <w:noProof/>
        </w:rPr>
      </w:pPr>
    </w:p>
    <w:p w14:paraId="18AA1C0F" w14:textId="77777777" w:rsidR="00FD0882" w:rsidRDefault="00FD0882">
      <w:pPr>
        <w:suppressAutoHyphens w:val="0"/>
        <w:rPr>
          <w:rFonts w:ascii="Times New Roman" w:eastAsia="MS Gothic" w:hAnsi="Times New Roman" w:cs="Times New Roman"/>
          <w:b/>
          <w:bCs/>
          <w:noProof/>
          <w:sz w:val="24"/>
          <w:szCs w:val="24"/>
        </w:rPr>
      </w:pPr>
      <w:bookmarkStart w:id="14" w:name="_Toc183515522"/>
      <w:bookmarkStart w:id="15" w:name="_Toc185237872"/>
      <w:bookmarkStart w:id="16" w:name="_Toc185239875"/>
      <w:bookmarkStart w:id="17" w:name="_Toc185264641"/>
      <w:bookmarkStart w:id="18" w:name="_Toc185525734"/>
      <w:bookmarkStart w:id="19" w:name="_Toc185591274"/>
      <w:r>
        <w:rPr>
          <w:rFonts w:ascii="Times New Roman" w:hAnsi="Times New Roman"/>
          <w:b/>
          <w:bCs/>
          <w:noProof/>
        </w:rPr>
        <w:br w:type="page"/>
      </w:r>
    </w:p>
    <w:p w14:paraId="321A0BDD" w14:textId="1664626C" w:rsidR="00C1173C" w:rsidRPr="00AC092F" w:rsidRDefault="00F50AF8" w:rsidP="0065549F">
      <w:pPr>
        <w:pStyle w:val="Heading3"/>
        <w:spacing w:before="0" w:after="160" w:line="250" w:lineRule="auto"/>
        <w:rPr>
          <w:rFonts w:ascii="Times New Roman" w:hAnsi="Times New Roman"/>
          <w:b/>
          <w:bCs/>
          <w:noProof/>
          <w:color w:val="auto"/>
        </w:rPr>
      </w:pPr>
      <w:bookmarkStart w:id="20" w:name="_Toc220103436"/>
      <w:r w:rsidRPr="00AC092F">
        <w:rPr>
          <w:rFonts w:ascii="Times New Roman" w:hAnsi="Times New Roman"/>
          <w:b/>
          <w:bCs/>
          <w:noProof/>
          <w:color w:val="auto"/>
        </w:rPr>
        <w:t>KPI 2: Integration in the Single Market</w:t>
      </w:r>
      <w:bookmarkEnd w:id="14"/>
      <w:bookmarkEnd w:id="15"/>
      <w:bookmarkEnd w:id="16"/>
      <w:bookmarkEnd w:id="17"/>
      <w:bookmarkEnd w:id="18"/>
      <w:bookmarkEnd w:id="19"/>
      <w:bookmarkEnd w:id="20"/>
    </w:p>
    <w:p w14:paraId="12DE7B88" w14:textId="1E36FA9D" w:rsidR="00C1173C" w:rsidRPr="00486446" w:rsidRDefault="0099631C" w:rsidP="00927E0B">
      <w:pPr>
        <w:pStyle w:val="Paragraph"/>
        <w:rPr>
          <w:noProof/>
          <w:lang w:val="en-IE"/>
        </w:rPr>
      </w:pPr>
      <w:r w:rsidRPr="00486446">
        <w:rPr>
          <w:noProof/>
          <w:lang w:val="en-IE"/>
        </w:rPr>
        <w:t>KPI 2</w:t>
      </w:r>
      <w:r w:rsidR="00F50AF8" w:rsidRPr="00486446">
        <w:rPr>
          <w:noProof/>
          <w:lang w:val="en-IE"/>
        </w:rPr>
        <w:t xml:space="preserve"> shows the trend in </w:t>
      </w:r>
      <w:r w:rsidR="00733567" w:rsidRPr="00486446">
        <w:rPr>
          <w:noProof/>
          <w:lang w:val="en-IE"/>
        </w:rPr>
        <w:t xml:space="preserve">cross-border </w:t>
      </w:r>
      <w:r w:rsidR="00F50AF8" w:rsidRPr="00486446">
        <w:rPr>
          <w:noProof/>
          <w:lang w:val="en-IE"/>
        </w:rPr>
        <w:t xml:space="preserve">trade flows in goods and services within the EU </w:t>
      </w:r>
      <w:r w:rsidR="00733567" w:rsidRPr="00486446">
        <w:rPr>
          <w:noProof/>
          <w:lang w:val="en-IE"/>
        </w:rPr>
        <w:t xml:space="preserve">Single Market </w:t>
      </w:r>
      <w:r w:rsidR="00F50AF8" w:rsidRPr="00486446">
        <w:rPr>
          <w:noProof/>
          <w:lang w:val="en-IE"/>
        </w:rPr>
        <w:t>as a share of total EU GDP. Trade is measured by the average of imports and exports.</w:t>
      </w:r>
    </w:p>
    <w:p w14:paraId="1E6CD0E7" w14:textId="2AE70015" w:rsidR="00355906" w:rsidRDefault="00660B0D" w:rsidP="0065549F">
      <w:pPr>
        <w:pStyle w:val="Text1"/>
        <w:widowControl w:val="0"/>
        <w:spacing w:after="160"/>
        <w:ind w:left="0"/>
        <w:rPr>
          <w:noProof/>
          <w:color w:val="000000" w:themeColor="text1"/>
          <w:lang w:val="en-IE"/>
        </w:rPr>
      </w:pPr>
      <w:r w:rsidRPr="00DC1A63">
        <w:rPr>
          <w:noProof/>
          <w:color w:val="000000" w:themeColor="text1"/>
          <w:lang w:val="en-IE"/>
        </w:rPr>
        <w:t xml:space="preserve">Since the creation of the Single Market in 1993, trade in goods and services as </w:t>
      </w:r>
      <w:r>
        <w:rPr>
          <w:noProof/>
          <w:color w:val="000000" w:themeColor="text1"/>
          <w:lang w:val="en-IE"/>
        </w:rPr>
        <w:t>share</w:t>
      </w:r>
      <w:r w:rsidRPr="00DC1A63">
        <w:rPr>
          <w:noProof/>
          <w:color w:val="000000" w:themeColor="text1"/>
          <w:lang w:val="en-IE"/>
        </w:rPr>
        <w:t xml:space="preserve"> of GDP </w:t>
      </w:r>
      <w:r>
        <w:rPr>
          <w:noProof/>
          <w:color w:val="000000" w:themeColor="text1"/>
          <w:lang w:val="en-IE"/>
        </w:rPr>
        <w:t xml:space="preserve">has </w:t>
      </w:r>
      <w:r w:rsidR="003466A8">
        <w:rPr>
          <w:noProof/>
          <w:color w:val="000000" w:themeColor="text1"/>
          <w:lang w:val="en-IE"/>
        </w:rPr>
        <w:t>steadily risen</w:t>
      </w:r>
      <w:r w:rsidRPr="00DC1A63">
        <w:rPr>
          <w:noProof/>
          <w:color w:val="000000" w:themeColor="text1"/>
          <w:lang w:val="en-IE"/>
        </w:rPr>
        <w:t xml:space="preserve">. </w:t>
      </w:r>
      <w:r>
        <w:rPr>
          <w:noProof/>
          <w:color w:val="000000" w:themeColor="text1"/>
          <w:lang w:val="en-IE"/>
        </w:rPr>
        <w:t>After a strong increase in 2022, trade in goods has fallen back to pre-2022 levels. Disaggregated trade data suggest that th</w:t>
      </w:r>
      <w:r w:rsidR="00AA2494">
        <w:rPr>
          <w:noProof/>
          <w:color w:val="000000" w:themeColor="text1"/>
          <w:lang w:val="en-IE"/>
        </w:rPr>
        <w:t xml:space="preserve">ese changes </w:t>
      </w:r>
      <w:r>
        <w:rPr>
          <w:noProof/>
          <w:color w:val="000000" w:themeColor="text1"/>
          <w:lang w:val="en-IE"/>
        </w:rPr>
        <w:t>can, to a great extent, be attributed to trade fluctuations in energy products, linked to the significant price volatility in the wake of the Russian war of aggression against Ukraine</w:t>
      </w:r>
      <w:r w:rsidRPr="00381E34">
        <w:rPr>
          <w:noProof/>
          <w:color w:val="000000" w:themeColor="text1"/>
          <w:lang w:val="en-IE"/>
        </w:rPr>
        <w:t>.</w:t>
      </w:r>
      <w:r>
        <w:rPr>
          <w:noProof/>
          <w:color w:val="000000" w:themeColor="text1"/>
          <w:lang w:val="en-IE"/>
        </w:rPr>
        <w:t xml:space="preserve"> </w:t>
      </w:r>
      <w:r w:rsidR="003F3657">
        <w:rPr>
          <w:noProof/>
          <w:color w:val="000000" w:themeColor="text1"/>
          <w:lang w:val="en-IE"/>
        </w:rPr>
        <w:t>T</w:t>
      </w:r>
      <w:r>
        <w:rPr>
          <w:noProof/>
          <w:color w:val="000000" w:themeColor="text1"/>
          <w:lang w:val="en-IE"/>
        </w:rPr>
        <w:t>rade in services continues to expand</w:t>
      </w:r>
      <w:r w:rsidR="00234AE2">
        <w:rPr>
          <w:noProof/>
          <w:color w:val="000000" w:themeColor="text1"/>
          <w:lang w:val="en-IE"/>
        </w:rPr>
        <w:t>, albeit at a slow pace,</w:t>
      </w:r>
      <w:r>
        <w:rPr>
          <w:noProof/>
          <w:color w:val="000000" w:themeColor="text1"/>
          <w:lang w:val="en-IE"/>
        </w:rPr>
        <w:t xml:space="preserve"> after its pandemic-related dip.</w:t>
      </w:r>
    </w:p>
    <w:p w14:paraId="49B6E211" w14:textId="77777777" w:rsidR="00DC150D" w:rsidRDefault="00F50AF8" w:rsidP="00DC150D">
      <w:pPr>
        <w:pStyle w:val="Paragraph"/>
        <w:rPr>
          <w:noProof/>
          <w:lang w:val="en-IE"/>
        </w:rPr>
      </w:pPr>
      <w:r w:rsidRPr="00486446">
        <w:rPr>
          <w:b/>
          <w:noProof/>
          <w:lang w:val="en-IE"/>
        </w:rPr>
        <w:t>Figure 2</w:t>
      </w:r>
      <w:r w:rsidRPr="00486446">
        <w:rPr>
          <w:noProof/>
          <w:lang w:val="en-IE"/>
        </w:rPr>
        <w:t xml:space="preserve">: </w:t>
      </w:r>
      <w:r w:rsidR="000B0F9F" w:rsidRPr="00486446">
        <w:rPr>
          <w:noProof/>
          <w:lang w:val="en-IE"/>
        </w:rPr>
        <w:t>Integration in the Single Market</w:t>
      </w:r>
      <w:r w:rsidR="0099631C" w:rsidRPr="00486446">
        <w:rPr>
          <w:noProof/>
          <w:lang w:val="en-IE"/>
        </w:rPr>
        <w:t>: Intra-EU trade in go</w:t>
      </w:r>
      <w:r w:rsidR="00A66B29" w:rsidRPr="00486446">
        <w:rPr>
          <w:noProof/>
          <w:lang w:val="en-IE"/>
        </w:rPr>
        <w:t>o</w:t>
      </w:r>
      <w:r w:rsidR="0099631C" w:rsidRPr="00486446">
        <w:rPr>
          <w:noProof/>
          <w:lang w:val="en-IE"/>
        </w:rPr>
        <w:t>ds and services.</w:t>
      </w:r>
    </w:p>
    <w:p w14:paraId="2476AA3A" w14:textId="659BBC10" w:rsidR="00FB2FFF" w:rsidRDefault="001F4CB2" w:rsidP="00DC150D">
      <w:pPr>
        <w:pStyle w:val="Paragraph"/>
        <w:rPr>
          <w:noProof/>
        </w:rPr>
      </w:pPr>
      <w:r>
        <w:rPr>
          <w:noProof/>
          <w:lang w:eastAsia="en-GB"/>
        </w:rPr>
        <w:drawing>
          <wp:inline distT="0" distB="0" distL="0" distR="0" wp14:anchorId="0277DA1E" wp14:editId="76CBF0EC">
            <wp:extent cx="5731510" cy="2600960"/>
            <wp:effectExtent l="0" t="0" r="2540" b="8890"/>
            <wp:docPr id="18344086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26798"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5731510" cy="2600960"/>
                    </a:xfrm>
                    <a:prstGeom prst="rect">
                      <a:avLst/>
                    </a:prstGeom>
                  </pic:spPr>
                </pic:pic>
              </a:graphicData>
            </a:graphic>
          </wp:inline>
        </w:drawing>
      </w:r>
    </w:p>
    <w:p w14:paraId="3B6354D3" w14:textId="5524A348" w:rsidR="00DC150D" w:rsidRDefault="00F50AF8" w:rsidP="00DC150D">
      <w:pPr>
        <w:pStyle w:val="Paragraph"/>
        <w:rPr>
          <w:noProof/>
          <w:sz w:val="20"/>
          <w:szCs w:val="20"/>
          <w:lang w:val="en-IE"/>
        </w:rPr>
      </w:pPr>
      <w:r w:rsidRPr="00DC150D">
        <w:rPr>
          <w:noProof/>
          <w:sz w:val="20"/>
          <w:szCs w:val="20"/>
          <w:lang w:val="en-IE"/>
        </w:rPr>
        <w:t>Source: Eurostat</w:t>
      </w:r>
    </w:p>
    <w:p w14:paraId="17F4CAE8" w14:textId="6947C534" w:rsidR="00E02F2F" w:rsidRPr="00EC17DB" w:rsidRDefault="00E02F2F" w:rsidP="00EC17DB">
      <w:pPr>
        <w:pStyle w:val="Text1"/>
        <w:widowControl w:val="0"/>
        <w:spacing w:after="160"/>
        <w:ind w:left="0"/>
        <w:rPr>
          <w:noProof/>
          <w:color w:val="000000" w:themeColor="text1"/>
          <w:lang w:val="en-IE"/>
        </w:rPr>
      </w:pPr>
      <w:r w:rsidRPr="00C46973">
        <w:rPr>
          <w:noProof/>
          <w:color w:val="000000" w:themeColor="text1"/>
          <w:lang w:val="en-IE"/>
        </w:rPr>
        <w:t xml:space="preserve">The indicator only covers intra-EU trade. If considering trade with </w:t>
      </w:r>
      <w:r w:rsidR="007F096C" w:rsidRPr="00C46973">
        <w:rPr>
          <w:noProof/>
          <w:color w:val="000000" w:themeColor="text1"/>
          <w:lang w:val="en-IE"/>
        </w:rPr>
        <w:t xml:space="preserve">non-EU </w:t>
      </w:r>
      <w:r w:rsidRPr="00C46973">
        <w:rPr>
          <w:noProof/>
          <w:color w:val="000000" w:themeColor="text1"/>
          <w:lang w:val="en-IE"/>
        </w:rPr>
        <w:t>EEA partners</w:t>
      </w:r>
      <w:r w:rsidR="007F096C" w:rsidRPr="00C46973">
        <w:rPr>
          <w:noProof/>
          <w:color w:val="000000" w:themeColor="text1"/>
          <w:lang w:val="en-IE"/>
        </w:rPr>
        <w:t xml:space="preserve"> (</w:t>
      </w:r>
      <w:r w:rsidR="007F096C" w:rsidRPr="00EC17DB">
        <w:rPr>
          <w:noProof/>
          <w:color w:val="000000" w:themeColor="text1"/>
        </w:rPr>
        <w:t>Norway, Iceland and Liechtenstein)</w:t>
      </w:r>
      <w:r w:rsidRPr="00C46973">
        <w:rPr>
          <w:noProof/>
          <w:color w:val="000000" w:themeColor="text1"/>
          <w:lang w:val="en-IE"/>
        </w:rPr>
        <w:t xml:space="preserve">, </w:t>
      </w:r>
      <w:r w:rsidR="00C61F10" w:rsidRPr="00C46973">
        <w:rPr>
          <w:noProof/>
          <w:color w:val="000000" w:themeColor="text1"/>
          <w:lang w:val="en-IE"/>
        </w:rPr>
        <w:t xml:space="preserve"> </w:t>
      </w:r>
      <w:r w:rsidR="000377B1" w:rsidRPr="00EC17DB">
        <w:rPr>
          <w:noProof/>
          <w:color w:val="000000" w:themeColor="text1"/>
          <w:lang w:val="en-IE"/>
        </w:rPr>
        <w:t xml:space="preserve">values for </w:t>
      </w:r>
      <w:r w:rsidR="00A557E7" w:rsidRPr="00C46973">
        <w:rPr>
          <w:noProof/>
          <w:color w:val="000000" w:themeColor="text1"/>
          <w:lang w:val="en-IE"/>
        </w:rPr>
        <w:t xml:space="preserve">Member States with significant trade ties to </w:t>
      </w:r>
      <w:r w:rsidR="007F096C" w:rsidRPr="00C46973">
        <w:rPr>
          <w:noProof/>
          <w:color w:val="000000" w:themeColor="text1"/>
          <w:lang w:val="en-IE"/>
        </w:rPr>
        <w:t xml:space="preserve">non-EU </w:t>
      </w:r>
      <w:r w:rsidR="00EA5597" w:rsidRPr="00C46973">
        <w:rPr>
          <w:noProof/>
          <w:color w:val="000000" w:themeColor="text1"/>
          <w:lang w:val="en-IE"/>
        </w:rPr>
        <w:t>EEA countries</w:t>
      </w:r>
      <w:r w:rsidR="000377B1" w:rsidRPr="007C7682">
        <w:rPr>
          <w:noProof/>
          <w:color w:val="000000" w:themeColor="text1"/>
          <w:lang w:val="en-IE"/>
        </w:rPr>
        <w:t xml:space="preserve"> </w:t>
      </w:r>
      <w:r w:rsidR="000377B1" w:rsidRPr="00EC17DB">
        <w:rPr>
          <w:noProof/>
          <w:color w:val="000000" w:themeColor="text1"/>
          <w:lang w:val="en-IE"/>
        </w:rPr>
        <w:t>would be higher</w:t>
      </w:r>
      <w:r w:rsidRPr="00C46973">
        <w:rPr>
          <w:noProof/>
          <w:color w:val="000000" w:themeColor="text1"/>
          <w:lang w:val="en-IE"/>
        </w:rPr>
        <w:t>.</w:t>
      </w:r>
    </w:p>
    <w:p w14:paraId="4CA2E3AD" w14:textId="74E3A962" w:rsidR="00856B27" w:rsidRPr="00486446" w:rsidRDefault="00F50AF8">
      <w:pPr>
        <w:pStyle w:val="Paragraph"/>
        <w:rPr>
          <w:noProof/>
          <w:lang w:val="en-IE"/>
        </w:rPr>
      </w:pPr>
      <w:r w:rsidRPr="00486446">
        <w:rPr>
          <w:noProof/>
          <w:lang w:val="en-IE"/>
        </w:rPr>
        <w:t xml:space="preserve">National data, </w:t>
      </w:r>
      <w:r w:rsidRPr="0065549F">
        <w:rPr>
          <w:noProof/>
          <w:lang w:val="en-IE"/>
        </w:rPr>
        <w:t xml:space="preserve">intra-EU </w:t>
      </w:r>
      <w:r w:rsidR="00C9302A" w:rsidRPr="0065549F">
        <w:rPr>
          <w:noProof/>
          <w:u w:val="single"/>
          <w:lang w:val="en-IE"/>
        </w:rPr>
        <w:t>g</w:t>
      </w:r>
      <w:r w:rsidRPr="0065549F">
        <w:rPr>
          <w:noProof/>
          <w:u w:val="single"/>
          <w:lang w:val="en-IE"/>
        </w:rPr>
        <w:t>oods</w:t>
      </w:r>
      <w:r w:rsidRPr="0065549F">
        <w:rPr>
          <w:noProof/>
          <w:lang w:val="en-IE"/>
        </w:rPr>
        <w:t>, % of GDP (202</w:t>
      </w:r>
      <w:r w:rsidR="001E6118" w:rsidRPr="0065549F">
        <w:rPr>
          <w:noProof/>
          <w:lang w:val="en-IE"/>
        </w:rPr>
        <w:t>4</w:t>
      </w:r>
      <w:r w:rsidRPr="0065549F">
        <w:rPr>
          <w:noProof/>
          <w:lang w:val="en-IE"/>
        </w:rPr>
        <w:t>)</w:t>
      </w:r>
    </w:p>
    <w:tbl>
      <w:tblPr>
        <w:tblStyle w:val="TableGrid"/>
        <w:tblW w:w="0" w:type="auto"/>
        <w:jc w:val="center"/>
        <w:tblLook w:val="04A0" w:firstRow="1" w:lastRow="0" w:firstColumn="1" w:lastColumn="0" w:noHBand="0" w:noVBand="1"/>
      </w:tblPr>
      <w:tblGrid>
        <w:gridCol w:w="631"/>
        <w:gridCol w:w="641"/>
        <w:gridCol w:w="657"/>
        <w:gridCol w:w="657"/>
        <w:gridCol w:w="640"/>
        <w:gridCol w:w="649"/>
        <w:gridCol w:w="665"/>
        <w:gridCol w:w="632"/>
        <w:gridCol w:w="632"/>
        <w:gridCol w:w="632"/>
        <w:gridCol w:w="657"/>
        <w:gridCol w:w="665"/>
        <w:gridCol w:w="601"/>
        <w:gridCol w:w="657"/>
      </w:tblGrid>
      <w:tr w:rsidR="00047933" w:rsidRPr="00486446" w14:paraId="7ABE7212" w14:textId="77777777" w:rsidTr="00047933">
        <w:trPr>
          <w:trHeight w:val="300"/>
          <w:jc w:val="center"/>
        </w:trPr>
        <w:tc>
          <w:tcPr>
            <w:tcW w:w="631" w:type="dxa"/>
            <w:shd w:val="clear" w:color="auto" w:fill="D9E2F3" w:themeFill="accent1" w:themeFillTint="33"/>
            <w:vAlign w:val="center"/>
            <w:hideMark/>
          </w:tcPr>
          <w:p w14:paraId="6AEEF0E0" w14:textId="015E2260"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 xml:space="preserve">AT </w:t>
            </w:r>
          </w:p>
        </w:tc>
        <w:tc>
          <w:tcPr>
            <w:tcW w:w="641" w:type="dxa"/>
            <w:shd w:val="clear" w:color="auto" w:fill="D9E2F3" w:themeFill="accent1" w:themeFillTint="33"/>
            <w:vAlign w:val="center"/>
            <w:hideMark/>
          </w:tcPr>
          <w:p w14:paraId="6B9BAFF8" w14:textId="115182B6"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BE</w:t>
            </w:r>
          </w:p>
        </w:tc>
        <w:tc>
          <w:tcPr>
            <w:tcW w:w="657" w:type="dxa"/>
            <w:shd w:val="clear" w:color="auto" w:fill="D9E2F3" w:themeFill="accent1" w:themeFillTint="33"/>
            <w:vAlign w:val="center"/>
            <w:hideMark/>
          </w:tcPr>
          <w:p w14:paraId="4EBA9AD4" w14:textId="28392EE4"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BG</w:t>
            </w:r>
          </w:p>
        </w:tc>
        <w:tc>
          <w:tcPr>
            <w:tcW w:w="657" w:type="dxa"/>
            <w:shd w:val="clear" w:color="auto" w:fill="D9E2F3" w:themeFill="accent1" w:themeFillTint="33"/>
            <w:vAlign w:val="center"/>
            <w:hideMark/>
          </w:tcPr>
          <w:p w14:paraId="67D299D8" w14:textId="1F261DF4"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CY</w:t>
            </w:r>
          </w:p>
        </w:tc>
        <w:tc>
          <w:tcPr>
            <w:tcW w:w="640" w:type="dxa"/>
            <w:shd w:val="clear" w:color="auto" w:fill="D9E2F3" w:themeFill="accent1" w:themeFillTint="33"/>
            <w:vAlign w:val="center"/>
            <w:hideMark/>
          </w:tcPr>
          <w:p w14:paraId="1564E3B7" w14:textId="053A180B"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CZ</w:t>
            </w:r>
          </w:p>
        </w:tc>
        <w:tc>
          <w:tcPr>
            <w:tcW w:w="649" w:type="dxa"/>
            <w:shd w:val="clear" w:color="auto" w:fill="D9E2F3" w:themeFill="accent1" w:themeFillTint="33"/>
            <w:vAlign w:val="center"/>
            <w:hideMark/>
          </w:tcPr>
          <w:p w14:paraId="5A809AB4" w14:textId="50CB0C13"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DE</w:t>
            </w:r>
          </w:p>
        </w:tc>
        <w:tc>
          <w:tcPr>
            <w:tcW w:w="665" w:type="dxa"/>
            <w:shd w:val="clear" w:color="auto" w:fill="D9E2F3" w:themeFill="accent1" w:themeFillTint="33"/>
            <w:vAlign w:val="center"/>
            <w:hideMark/>
          </w:tcPr>
          <w:p w14:paraId="12BBC036" w14:textId="66A1CE6C"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DK</w:t>
            </w:r>
          </w:p>
        </w:tc>
        <w:tc>
          <w:tcPr>
            <w:tcW w:w="632" w:type="dxa"/>
            <w:shd w:val="clear" w:color="auto" w:fill="D9E2F3" w:themeFill="accent1" w:themeFillTint="33"/>
            <w:vAlign w:val="center"/>
            <w:hideMark/>
          </w:tcPr>
          <w:p w14:paraId="47C9A2C5" w14:textId="412C873C"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EE</w:t>
            </w:r>
          </w:p>
        </w:tc>
        <w:tc>
          <w:tcPr>
            <w:tcW w:w="632" w:type="dxa"/>
            <w:shd w:val="clear" w:color="auto" w:fill="D9E2F3" w:themeFill="accent1" w:themeFillTint="33"/>
            <w:vAlign w:val="center"/>
            <w:hideMark/>
          </w:tcPr>
          <w:p w14:paraId="1D764087" w14:textId="4B8F2C63"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EL</w:t>
            </w:r>
          </w:p>
        </w:tc>
        <w:tc>
          <w:tcPr>
            <w:tcW w:w="632" w:type="dxa"/>
            <w:shd w:val="clear" w:color="auto" w:fill="D9E2F3" w:themeFill="accent1" w:themeFillTint="33"/>
            <w:vAlign w:val="center"/>
            <w:hideMark/>
          </w:tcPr>
          <w:p w14:paraId="5C96302A" w14:textId="213E1D09"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ES</w:t>
            </w:r>
          </w:p>
        </w:tc>
        <w:tc>
          <w:tcPr>
            <w:tcW w:w="657" w:type="dxa"/>
            <w:shd w:val="clear" w:color="auto" w:fill="D9E2F3" w:themeFill="accent1" w:themeFillTint="33"/>
            <w:vAlign w:val="center"/>
          </w:tcPr>
          <w:p w14:paraId="08C2B326" w14:textId="6F5F2159" w:rsidR="00515444" w:rsidRPr="001C633D" w:rsidRDefault="00891100" w:rsidP="00515444">
            <w:pPr>
              <w:pStyle w:val="Paragraph"/>
              <w:spacing w:after="0" w:line="240" w:lineRule="auto"/>
              <w:jc w:val="center"/>
              <w:rPr>
                <w:noProof/>
                <w:sz w:val="22"/>
                <w:szCs w:val="22"/>
                <w:lang w:val="en-IE"/>
              </w:rPr>
            </w:pPr>
            <w:r w:rsidRPr="001C633D">
              <w:rPr>
                <w:noProof/>
                <w:sz w:val="22"/>
                <w:szCs w:val="22"/>
                <w:lang w:val="en-IE"/>
              </w:rPr>
              <w:t>FI</w:t>
            </w:r>
          </w:p>
        </w:tc>
        <w:tc>
          <w:tcPr>
            <w:tcW w:w="665" w:type="dxa"/>
            <w:shd w:val="clear" w:color="auto" w:fill="D9E2F3" w:themeFill="accent1" w:themeFillTint="33"/>
            <w:vAlign w:val="center"/>
          </w:tcPr>
          <w:p w14:paraId="305F5DE5" w14:textId="5119FEE0"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FR</w:t>
            </w:r>
          </w:p>
        </w:tc>
        <w:tc>
          <w:tcPr>
            <w:tcW w:w="601" w:type="dxa"/>
            <w:shd w:val="clear" w:color="auto" w:fill="D9E2F3" w:themeFill="accent1" w:themeFillTint="33"/>
            <w:vAlign w:val="center"/>
          </w:tcPr>
          <w:p w14:paraId="55A1F0A8" w14:textId="21530BF1"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HR</w:t>
            </w:r>
          </w:p>
        </w:tc>
        <w:tc>
          <w:tcPr>
            <w:tcW w:w="657" w:type="dxa"/>
            <w:shd w:val="clear" w:color="auto" w:fill="D9E2F3" w:themeFill="accent1" w:themeFillTint="33"/>
            <w:vAlign w:val="center"/>
          </w:tcPr>
          <w:p w14:paraId="409A4E66" w14:textId="09FDF1E6" w:rsidR="00515444" w:rsidRPr="001C633D" w:rsidRDefault="00515444" w:rsidP="00515444">
            <w:pPr>
              <w:pStyle w:val="Paragraph"/>
              <w:spacing w:after="0" w:line="240" w:lineRule="auto"/>
              <w:jc w:val="center"/>
              <w:rPr>
                <w:noProof/>
                <w:sz w:val="22"/>
                <w:szCs w:val="22"/>
                <w:lang w:val="en-IE"/>
              </w:rPr>
            </w:pPr>
            <w:r w:rsidRPr="001C633D">
              <w:rPr>
                <w:noProof/>
                <w:sz w:val="22"/>
                <w:szCs w:val="22"/>
                <w:lang w:val="en-IE"/>
              </w:rPr>
              <w:t>HU</w:t>
            </w:r>
          </w:p>
        </w:tc>
      </w:tr>
      <w:tr w:rsidR="00047933" w:rsidRPr="00486446" w14:paraId="781D697D" w14:textId="77777777" w:rsidTr="00047933">
        <w:trPr>
          <w:trHeight w:val="315"/>
          <w:jc w:val="center"/>
        </w:trPr>
        <w:tc>
          <w:tcPr>
            <w:tcW w:w="631" w:type="dxa"/>
            <w:vAlign w:val="center"/>
          </w:tcPr>
          <w:p w14:paraId="772B26A1" w14:textId="6D895F75"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29.7</w:t>
            </w:r>
          </w:p>
        </w:tc>
        <w:tc>
          <w:tcPr>
            <w:tcW w:w="641" w:type="dxa"/>
            <w:vAlign w:val="center"/>
          </w:tcPr>
          <w:p w14:paraId="4D75E5B3" w14:textId="1A2E0807"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51.2</w:t>
            </w:r>
          </w:p>
        </w:tc>
        <w:tc>
          <w:tcPr>
            <w:tcW w:w="657" w:type="dxa"/>
            <w:vAlign w:val="center"/>
          </w:tcPr>
          <w:p w14:paraId="3EF9DD91" w14:textId="1C291602"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27.0</w:t>
            </w:r>
          </w:p>
        </w:tc>
        <w:tc>
          <w:tcPr>
            <w:tcW w:w="657" w:type="dxa"/>
            <w:vAlign w:val="center"/>
          </w:tcPr>
          <w:p w14:paraId="12B5DFD7" w14:textId="11DE04B8"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12.7</w:t>
            </w:r>
          </w:p>
        </w:tc>
        <w:tc>
          <w:tcPr>
            <w:tcW w:w="640" w:type="dxa"/>
            <w:vAlign w:val="center"/>
          </w:tcPr>
          <w:p w14:paraId="6658FE9D" w14:textId="3A2E59E3"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53.9</w:t>
            </w:r>
          </w:p>
        </w:tc>
        <w:tc>
          <w:tcPr>
            <w:tcW w:w="649" w:type="dxa"/>
            <w:vAlign w:val="center"/>
          </w:tcPr>
          <w:p w14:paraId="7F2CC01F" w14:textId="6DA53F52"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19.7</w:t>
            </w:r>
          </w:p>
        </w:tc>
        <w:tc>
          <w:tcPr>
            <w:tcW w:w="665" w:type="dxa"/>
            <w:vAlign w:val="center"/>
          </w:tcPr>
          <w:p w14:paraId="72D36576" w14:textId="0E8AB6F7"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18.1</w:t>
            </w:r>
          </w:p>
        </w:tc>
        <w:tc>
          <w:tcPr>
            <w:tcW w:w="632" w:type="dxa"/>
            <w:vAlign w:val="center"/>
          </w:tcPr>
          <w:p w14:paraId="32E857FA" w14:textId="4E81C78D"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37.8</w:t>
            </w:r>
          </w:p>
        </w:tc>
        <w:tc>
          <w:tcPr>
            <w:tcW w:w="632" w:type="dxa"/>
            <w:vAlign w:val="center"/>
          </w:tcPr>
          <w:p w14:paraId="1683F242" w14:textId="550B22B5"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15.0</w:t>
            </w:r>
          </w:p>
        </w:tc>
        <w:tc>
          <w:tcPr>
            <w:tcW w:w="632" w:type="dxa"/>
            <w:vAlign w:val="center"/>
          </w:tcPr>
          <w:p w14:paraId="5EF178AF" w14:textId="03E21855"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15.3</w:t>
            </w:r>
          </w:p>
        </w:tc>
        <w:tc>
          <w:tcPr>
            <w:tcW w:w="657" w:type="dxa"/>
            <w:vAlign w:val="center"/>
          </w:tcPr>
          <w:p w14:paraId="70AFBFF1" w14:textId="2F6B1676"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17.2</w:t>
            </w:r>
          </w:p>
        </w:tc>
        <w:tc>
          <w:tcPr>
            <w:tcW w:w="665" w:type="dxa"/>
            <w:vAlign w:val="center"/>
          </w:tcPr>
          <w:p w14:paraId="21636FBF" w14:textId="3B7C41B4"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13.0</w:t>
            </w:r>
          </w:p>
        </w:tc>
        <w:tc>
          <w:tcPr>
            <w:tcW w:w="601" w:type="dxa"/>
            <w:vAlign w:val="center"/>
          </w:tcPr>
          <w:p w14:paraId="7EC2BB23" w14:textId="3F93354D"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28.8</w:t>
            </w:r>
          </w:p>
        </w:tc>
        <w:tc>
          <w:tcPr>
            <w:tcW w:w="657" w:type="dxa"/>
            <w:vAlign w:val="center"/>
          </w:tcPr>
          <w:p w14:paraId="0F923C3B" w14:textId="476F06B7" w:rsidR="00047933" w:rsidRPr="00047933" w:rsidRDefault="00047933" w:rsidP="00047933">
            <w:pPr>
              <w:suppressAutoHyphens w:val="0"/>
              <w:jc w:val="center"/>
              <w:rPr>
                <w:rFonts w:ascii="Times New Roman" w:hAnsi="Times New Roman" w:cs="Times New Roman"/>
                <w:noProof/>
                <w:color w:val="000000"/>
              </w:rPr>
            </w:pPr>
            <w:r w:rsidRPr="001C633D">
              <w:rPr>
                <w:rFonts w:ascii="Times New Roman" w:hAnsi="Times New Roman" w:cs="Times New Roman"/>
                <w:noProof/>
                <w:color w:val="000000"/>
              </w:rPr>
              <w:t>51.1</w:t>
            </w:r>
          </w:p>
        </w:tc>
      </w:tr>
      <w:tr w:rsidR="00047933" w:rsidRPr="00486446" w14:paraId="774C3B7D" w14:textId="77777777" w:rsidTr="00047933">
        <w:trPr>
          <w:trHeight w:val="300"/>
          <w:jc w:val="center"/>
        </w:trPr>
        <w:tc>
          <w:tcPr>
            <w:tcW w:w="631" w:type="dxa"/>
            <w:shd w:val="clear" w:color="auto" w:fill="D9E2F3" w:themeFill="accent1" w:themeFillTint="33"/>
            <w:vAlign w:val="center"/>
          </w:tcPr>
          <w:p w14:paraId="1B64DA3F" w14:textId="3005BD3D"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IE</w:t>
            </w:r>
          </w:p>
        </w:tc>
        <w:tc>
          <w:tcPr>
            <w:tcW w:w="641" w:type="dxa"/>
            <w:shd w:val="clear" w:color="auto" w:fill="D9E2F3" w:themeFill="accent1" w:themeFillTint="33"/>
            <w:vAlign w:val="center"/>
          </w:tcPr>
          <w:p w14:paraId="071563DA" w14:textId="6739AAF8"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IT</w:t>
            </w:r>
          </w:p>
        </w:tc>
        <w:tc>
          <w:tcPr>
            <w:tcW w:w="657" w:type="dxa"/>
            <w:shd w:val="clear" w:color="auto" w:fill="D9E2F3" w:themeFill="accent1" w:themeFillTint="33"/>
            <w:vAlign w:val="center"/>
          </w:tcPr>
          <w:p w14:paraId="5AA4682D" w14:textId="3C863A10"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LT</w:t>
            </w:r>
          </w:p>
        </w:tc>
        <w:tc>
          <w:tcPr>
            <w:tcW w:w="657" w:type="dxa"/>
            <w:shd w:val="clear" w:color="auto" w:fill="D9E2F3" w:themeFill="accent1" w:themeFillTint="33"/>
            <w:vAlign w:val="center"/>
          </w:tcPr>
          <w:p w14:paraId="703D7936" w14:textId="046E4392"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LU</w:t>
            </w:r>
          </w:p>
        </w:tc>
        <w:tc>
          <w:tcPr>
            <w:tcW w:w="640" w:type="dxa"/>
            <w:shd w:val="clear" w:color="auto" w:fill="D9E2F3" w:themeFill="accent1" w:themeFillTint="33"/>
            <w:vAlign w:val="center"/>
          </w:tcPr>
          <w:p w14:paraId="015FF7EB" w14:textId="1522DDA8"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LV</w:t>
            </w:r>
          </w:p>
        </w:tc>
        <w:tc>
          <w:tcPr>
            <w:tcW w:w="649" w:type="dxa"/>
            <w:shd w:val="clear" w:color="auto" w:fill="D9E2F3" w:themeFill="accent1" w:themeFillTint="33"/>
            <w:vAlign w:val="center"/>
          </w:tcPr>
          <w:p w14:paraId="59B6AA0B" w14:textId="759E308C"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MT</w:t>
            </w:r>
          </w:p>
        </w:tc>
        <w:tc>
          <w:tcPr>
            <w:tcW w:w="665" w:type="dxa"/>
            <w:shd w:val="clear" w:color="auto" w:fill="D9E2F3" w:themeFill="accent1" w:themeFillTint="33"/>
            <w:vAlign w:val="center"/>
          </w:tcPr>
          <w:p w14:paraId="4FA64043" w14:textId="50B965BE"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NL</w:t>
            </w:r>
          </w:p>
        </w:tc>
        <w:tc>
          <w:tcPr>
            <w:tcW w:w="632" w:type="dxa"/>
            <w:shd w:val="clear" w:color="auto" w:fill="D9E2F3" w:themeFill="accent1" w:themeFillTint="33"/>
            <w:vAlign w:val="center"/>
          </w:tcPr>
          <w:p w14:paraId="37FC2E98" w14:textId="7380FFAA"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PL</w:t>
            </w:r>
          </w:p>
        </w:tc>
        <w:tc>
          <w:tcPr>
            <w:tcW w:w="632" w:type="dxa"/>
            <w:shd w:val="clear" w:color="auto" w:fill="D9E2F3" w:themeFill="accent1" w:themeFillTint="33"/>
            <w:vAlign w:val="center"/>
          </w:tcPr>
          <w:p w14:paraId="60945868" w14:textId="36DD0E33"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PT</w:t>
            </w:r>
          </w:p>
        </w:tc>
        <w:tc>
          <w:tcPr>
            <w:tcW w:w="632" w:type="dxa"/>
            <w:shd w:val="clear" w:color="auto" w:fill="D9E2F3" w:themeFill="accent1" w:themeFillTint="33"/>
            <w:vAlign w:val="center"/>
          </w:tcPr>
          <w:p w14:paraId="361069CB" w14:textId="597694AA"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RO</w:t>
            </w:r>
          </w:p>
        </w:tc>
        <w:tc>
          <w:tcPr>
            <w:tcW w:w="657" w:type="dxa"/>
            <w:shd w:val="clear" w:color="auto" w:fill="D9E2F3" w:themeFill="accent1" w:themeFillTint="33"/>
            <w:vAlign w:val="center"/>
          </w:tcPr>
          <w:p w14:paraId="2EB76CAF" w14:textId="35322B4E"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SE</w:t>
            </w:r>
          </w:p>
        </w:tc>
        <w:tc>
          <w:tcPr>
            <w:tcW w:w="665" w:type="dxa"/>
            <w:shd w:val="clear" w:color="auto" w:fill="D9E2F3" w:themeFill="accent1" w:themeFillTint="33"/>
            <w:vAlign w:val="center"/>
            <w:hideMark/>
          </w:tcPr>
          <w:p w14:paraId="4DD14A8B" w14:textId="60B4183D"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SI</w:t>
            </w:r>
          </w:p>
        </w:tc>
        <w:tc>
          <w:tcPr>
            <w:tcW w:w="601" w:type="dxa"/>
            <w:shd w:val="clear" w:color="auto" w:fill="D9E2F3" w:themeFill="accent1" w:themeFillTint="33"/>
            <w:vAlign w:val="center"/>
            <w:hideMark/>
          </w:tcPr>
          <w:p w14:paraId="71258F95" w14:textId="7812D23E" w:rsidR="00047933" w:rsidRPr="001C633D" w:rsidRDefault="00047933" w:rsidP="00047933">
            <w:pPr>
              <w:pStyle w:val="Paragraph"/>
              <w:spacing w:after="0" w:line="240" w:lineRule="auto"/>
              <w:jc w:val="center"/>
              <w:rPr>
                <w:noProof/>
                <w:sz w:val="22"/>
                <w:szCs w:val="22"/>
                <w:lang w:val="en-IE"/>
              </w:rPr>
            </w:pPr>
            <w:r w:rsidRPr="001C633D">
              <w:rPr>
                <w:noProof/>
                <w:sz w:val="22"/>
                <w:szCs w:val="22"/>
                <w:lang w:val="en-IE"/>
              </w:rPr>
              <w:t>SK</w:t>
            </w:r>
          </w:p>
        </w:tc>
        <w:tc>
          <w:tcPr>
            <w:tcW w:w="657" w:type="dxa"/>
            <w:shd w:val="clear" w:color="auto" w:fill="D9E2F3" w:themeFill="accent1" w:themeFillTint="33"/>
            <w:vAlign w:val="center"/>
            <w:hideMark/>
          </w:tcPr>
          <w:p w14:paraId="49024635" w14:textId="23348DF6" w:rsidR="00047933" w:rsidRPr="001C633D" w:rsidRDefault="00047933" w:rsidP="00047933">
            <w:pPr>
              <w:pStyle w:val="Paragraph"/>
              <w:spacing w:after="0" w:line="240" w:lineRule="auto"/>
              <w:jc w:val="center"/>
              <w:rPr>
                <w:b/>
                <w:noProof/>
                <w:sz w:val="22"/>
                <w:szCs w:val="22"/>
                <w:lang w:val="en-IE"/>
              </w:rPr>
            </w:pPr>
            <w:r w:rsidRPr="001C633D">
              <w:rPr>
                <w:b/>
                <w:noProof/>
                <w:sz w:val="22"/>
                <w:szCs w:val="22"/>
                <w:lang w:val="en-IE"/>
              </w:rPr>
              <w:t>EU</w:t>
            </w:r>
          </w:p>
        </w:tc>
      </w:tr>
      <w:tr w:rsidR="00047933" w:rsidRPr="00486446" w14:paraId="14243B06" w14:textId="77777777" w:rsidTr="00047933">
        <w:trPr>
          <w:trHeight w:val="315"/>
          <w:jc w:val="center"/>
        </w:trPr>
        <w:tc>
          <w:tcPr>
            <w:tcW w:w="631" w:type="dxa"/>
            <w:vAlign w:val="center"/>
          </w:tcPr>
          <w:p w14:paraId="42931B41" w14:textId="2627831F" w:rsidR="00047933" w:rsidRPr="009C0A42" w:rsidRDefault="00047933" w:rsidP="00047933">
            <w:pPr>
              <w:suppressAutoHyphens w:val="0"/>
              <w:jc w:val="center"/>
              <w:rPr>
                <w:rFonts w:ascii="Times New Roman" w:hAnsi="Times New Roman" w:cs="Times New Roman"/>
                <w:noProof/>
                <w:color w:val="000000"/>
              </w:rPr>
            </w:pPr>
            <w:r w:rsidRPr="009C0A42">
              <w:rPr>
                <w:rFonts w:ascii="Times New Roman" w:hAnsi="Times New Roman" w:cs="Times New Roman"/>
                <w:noProof/>
                <w:color w:val="000000"/>
              </w:rPr>
              <w:t>12.8</w:t>
            </w:r>
          </w:p>
        </w:tc>
        <w:tc>
          <w:tcPr>
            <w:tcW w:w="641" w:type="dxa"/>
            <w:vAlign w:val="center"/>
          </w:tcPr>
          <w:p w14:paraId="2089555F" w14:textId="2DE43C36" w:rsidR="00047933" w:rsidRPr="009C0A42" w:rsidRDefault="00047933" w:rsidP="00047933">
            <w:pPr>
              <w:suppressAutoHyphens w:val="0"/>
              <w:jc w:val="center"/>
              <w:rPr>
                <w:rFonts w:ascii="Times New Roman" w:hAnsi="Times New Roman" w:cs="Times New Roman"/>
                <w:noProof/>
                <w:color w:val="000000"/>
              </w:rPr>
            </w:pPr>
            <w:r w:rsidRPr="009C0A42">
              <w:rPr>
                <w:rFonts w:ascii="Times New Roman" w:hAnsi="Times New Roman" w:cs="Times New Roman"/>
                <w:noProof/>
                <w:color w:val="000000"/>
              </w:rPr>
              <w:t>14.7</w:t>
            </w:r>
          </w:p>
        </w:tc>
        <w:tc>
          <w:tcPr>
            <w:tcW w:w="657" w:type="dxa"/>
            <w:vAlign w:val="center"/>
          </w:tcPr>
          <w:p w14:paraId="4F9CDF4C" w14:textId="513D72FD" w:rsidR="00047933" w:rsidRPr="009C0A42" w:rsidRDefault="00047933" w:rsidP="00047933">
            <w:pPr>
              <w:suppressAutoHyphens w:val="0"/>
              <w:jc w:val="center"/>
              <w:rPr>
                <w:rFonts w:ascii="Times New Roman" w:hAnsi="Times New Roman" w:cs="Times New Roman"/>
                <w:noProof/>
                <w:color w:val="000000"/>
              </w:rPr>
            </w:pPr>
            <w:r w:rsidRPr="009C0A42">
              <w:rPr>
                <w:rFonts w:ascii="Times New Roman" w:hAnsi="Times New Roman" w:cs="Times New Roman"/>
                <w:noProof/>
                <w:color w:val="000000"/>
              </w:rPr>
              <w:t>33.8</w:t>
            </w:r>
          </w:p>
        </w:tc>
        <w:tc>
          <w:tcPr>
            <w:tcW w:w="657" w:type="dxa"/>
            <w:vAlign w:val="center"/>
          </w:tcPr>
          <w:p w14:paraId="502F52E1" w14:textId="6D43DCAD" w:rsidR="00047933" w:rsidRPr="009C0A42" w:rsidRDefault="00047933" w:rsidP="00047933">
            <w:pPr>
              <w:suppressAutoHyphens w:val="0"/>
              <w:jc w:val="center"/>
              <w:rPr>
                <w:rFonts w:ascii="Times New Roman" w:hAnsi="Times New Roman" w:cs="Times New Roman"/>
                <w:noProof/>
                <w:color w:val="000000"/>
              </w:rPr>
            </w:pPr>
            <w:r w:rsidRPr="009C0A42">
              <w:rPr>
                <w:rFonts w:ascii="Times New Roman" w:hAnsi="Times New Roman" w:cs="Times New Roman"/>
                <w:noProof/>
                <w:color w:val="000000"/>
              </w:rPr>
              <w:t>19.3</w:t>
            </w:r>
          </w:p>
        </w:tc>
        <w:tc>
          <w:tcPr>
            <w:tcW w:w="640" w:type="dxa"/>
            <w:vAlign w:val="center"/>
          </w:tcPr>
          <w:p w14:paraId="428B6DA3" w14:textId="68BE4BE1" w:rsidR="00047933" w:rsidRPr="009C0A42" w:rsidRDefault="00047933" w:rsidP="00047933">
            <w:pPr>
              <w:suppressAutoHyphens w:val="0"/>
              <w:jc w:val="center"/>
              <w:rPr>
                <w:rFonts w:ascii="Times New Roman" w:hAnsi="Times New Roman" w:cs="Times New Roman"/>
                <w:noProof/>
                <w:color w:val="000000"/>
              </w:rPr>
            </w:pPr>
            <w:r w:rsidRPr="009C0A42">
              <w:rPr>
                <w:rFonts w:ascii="Times New Roman" w:hAnsi="Times New Roman" w:cs="Times New Roman"/>
                <w:noProof/>
                <w:color w:val="000000"/>
              </w:rPr>
              <w:t>38.9</w:t>
            </w:r>
          </w:p>
        </w:tc>
        <w:tc>
          <w:tcPr>
            <w:tcW w:w="649" w:type="dxa"/>
            <w:vAlign w:val="center"/>
          </w:tcPr>
          <w:p w14:paraId="79F9CF44" w14:textId="46FA3C6D" w:rsidR="00047933" w:rsidRPr="009C0A42" w:rsidRDefault="00047933" w:rsidP="00047933">
            <w:pPr>
              <w:suppressAutoHyphens w:val="0"/>
              <w:jc w:val="center"/>
              <w:rPr>
                <w:rFonts w:ascii="Times New Roman" w:hAnsi="Times New Roman" w:cs="Times New Roman"/>
                <w:noProof/>
                <w:color w:val="000000"/>
              </w:rPr>
            </w:pPr>
            <w:r w:rsidRPr="009C0A42">
              <w:rPr>
                <w:rFonts w:ascii="Times New Roman" w:hAnsi="Times New Roman" w:cs="Times New Roman"/>
                <w:noProof/>
                <w:color w:val="000000"/>
              </w:rPr>
              <w:t>16.1</w:t>
            </w:r>
          </w:p>
        </w:tc>
        <w:tc>
          <w:tcPr>
            <w:tcW w:w="665" w:type="dxa"/>
            <w:vAlign w:val="center"/>
          </w:tcPr>
          <w:p w14:paraId="7F9167B9" w14:textId="68A6400C" w:rsidR="00047933" w:rsidRPr="009C0A42" w:rsidRDefault="00047933" w:rsidP="00047933">
            <w:pPr>
              <w:suppressAutoHyphens w:val="0"/>
              <w:jc w:val="center"/>
              <w:rPr>
                <w:rFonts w:ascii="Times New Roman" w:hAnsi="Times New Roman" w:cs="Times New Roman"/>
                <w:noProof/>
                <w:color w:val="000000"/>
              </w:rPr>
            </w:pPr>
            <w:r w:rsidRPr="009C0A42">
              <w:rPr>
                <w:rFonts w:ascii="Times New Roman" w:hAnsi="Times New Roman" w:cs="Times New Roman"/>
                <w:noProof/>
                <w:color w:val="000000"/>
              </w:rPr>
              <w:t>40.3</w:t>
            </w:r>
          </w:p>
        </w:tc>
        <w:tc>
          <w:tcPr>
            <w:tcW w:w="632" w:type="dxa"/>
            <w:vAlign w:val="center"/>
          </w:tcPr>
          <w:p w14:paraId="08452683" w14:textId="7D1FDB5E" w:rsidR="00047933" w:rsidRPr="009C0A42" w:rsidRDefault="00047933" w:rsidP="00047933">
            <w:pPr>
              <w:suppressAutoHyphens w:val="0"/>
              <w:jc w:val="center"/>
              <w:rPr>
                <w:rFonts w:ascii="Times New Roman" w:hAnsi="Times New Roman" w:cs="Times New Roman"/>
                <w:noProof/>
                <w:color w:val="000000"/>
              </w:rPr>
            </w:pPr>
            <w:r w:rsidRPr="009C0A42">
              <w:rPr>
                <w:rFonts w:ascii="Times New Roman" w:hAnsi="Times New Roman" w:cs="Times New Roman"/>
                <w:noProof/>
                <w:color w:val="000000"/>
              </w:rPr>
              <w:t>29.3</w:t>
            </w:r>
          </w:p>
        </w:tc>
        <w:tc>
          <w:tcPr>
            <w:tcW w:w="632" w:type="dxa"/>
            <w:vAlign w:val="center"/>
          </w:tcPr>
          <w:p w14:paraId="5FE31E45" w14:textId="54B8F966" w:rsidR="00047933" w:rsidRPr="009C0A42" w:rsidRDefault="00047933" w:rsidP="00047933">
            <w:pPr>
              <w:suppressAutoHyphens w:val="0"/>
              <w:jc w:val="center"/>
              <w:rPr>
                <w:rFonts w:ascii="Times New Roman" w:hAnsi="Times New Roman" w:cs="Times New Roman"/>
                <w:noProof/>
                <w:color w:val="000000"/>
              </w:rPr>
            </w:pPr>
            <w:r w:rsidRPr="009C0A42">
              <w:rPr>
                <w:rFonts w:ascii="Times New Roman" w:hAnsi="Times New Roman" w:cs="Times New Roman"/>
                <w:noProof/>
                <w:color w:val="000000"/>
              </w:rPr>
              <w:t>23.8</w:t>
            </w:r>
          </w:p>
        </w:tc>
        <w:tc>
          <w:tcPr>
            <w:tcW w:w="632" w:type="dxa"/>
            <w:vAlign w:val="center"/>
          </w:tcPr>
          <w:p w14:paraId="270D1D20" w14:textId="5F2119F9" w:rsidR="00047933" w:rsidRPr="009C0A42" w:rsidRDefault="00047933" w:rsidP="00047933">
            <w:pPr>
              <w:suppressAutoHyphens w:val="0"/>
              <w:jc w:val="center"/>
              <w:rPr>
                <w:rFonts w:ascii="Times New Roman" w:hAnsi="Times New Roman" w:cs="Times New Roman"/>
                <w:noProof/>
                <w:color w:val="000000"/>
              </w:rPr>
            </w:pPr>
            <w:r w:rsidRPr="009C0A42">
              <w:rPr>
                <w:rFonts w:ascii="Times New Roman" w:hAnsi="Times New Roman" w:cs="Times New Roman"/>
                <w:noProof/>
                <w:color w:val="000000"/>
              </w:rPr>
              <w:t>22.3</w:t>
            </w:r>
          </w:p>
        </w:tc>
        <w:tc>
          <w:tcPr>
            <w:tcW w:w="657" w:type="dxa"/>
            <w:vAlign w:val="center"/>
          </w:tcPr>
          <w:p w14:paraId="3D232938" w14:textId="4C25C8FE" w:rsidR="00047933" w:rsidRPr="009C0A42" w:rsidRDefault="00047933" w:rsidP="00047933">
            <w:pPr>
              <w:suppressAutoHyphens w:val="0"/>
              <w:jc w:val="center"/>
              <w:rPr>
                <w:rFonts w:ascii="Times New Roman" w:hAnsi="Times New Roman" w:cs="Times New Roman"/>
                <w:noProof/>
                <w:color w:val="000000"/>
              </w:rPr>
            </w:pPr>
            <w:r w:rsidRPr="009C0A42">
              <w:rPr>
                <w:rFonts w:ascii="Times New Roman" w:hAnsi="Times New Roman" w:cs="Times New Roman"/>
                <w:noProof/>
                <w:color w:val="000000"/>
              </w:rPr>
              <w:t>19.3</w:t>
            </w:r>
          </w:p>
        </w:tc>
        <w:tc>
          <w:tcPr>
            <w:tcW w:w="665" w:type="dxa"/>
            <w:vAlign w:val="center"/>
          </w:tcPr>
          <w:p w14:paraId="08F125F5" w14:textId="263B2953" w:rsidR="00047933" w:rsidRPr="009C0A42" w:rsidRDefault="00047933" w:rsidP="00047933">
            <w:pPr>
              <w:suppressAutoHyphens w:val="0"/>
              <w:jc w:val="center"/>
              <w:rPr>
                <w:rFonts w:ascii="Times New Roman" w:hAnsi="Times New Roman" w:cs="Times New Roman"/>
                <w:noProof/>
                <w:color w:val="000000"/>
              </w:rPr>
            </w:pPr>
            <w:r w:rsidRPr="009C0A42">
              <w:rPr>
                <w:rFonts w:ascii="Times New Roman" w:hAnsi="Times New Roman" w:cs="Times New Roman"/>
                <w:noProof/>
                <w:color w:val="000000"/>
              </w:rPr>
              <w:t>54.0</w:t>
            </w:r>
          </w:p>
        </w:tc>
        <w:tc>
          <w:tcPr>
            <w:tcW w:w="601" w:type="dxa"/>
            <w:vAlign w:val="center"/>
          </w:tcPr>
          <w:p w14:paraId="2649EEF7" w14:textId="7CC1D343" w:rsidR="00047933" w:rsidRPr="009C0A42" w:rsidRDefault="00047933" w:rsidP="00047933">
            <w:pPr>
              <w:suppressAutoHyphens w:val="0"/>
              <w:rPr>
                <w:rFonts w:ascii="Times New Roman" w:hAnsi="Times New Roman" w:cs="Times New Roman"/>
                <w:noProof/>
                <w:color w:val="000000"/>
              </w:rPr>
            </w:pPr>
            <w:r w:rsidRPr="00047933">
              <w:rPr>
                <w:rFonts w:ascii="Times New Roman" w:hAnsi="Times New Roman" w:cs="Times New Roman"/>
                <w:noProof/>
                <w:color w:val="000000"/>
              </w:rPr>
              <w:t>63.9</w:t>
            </w:r>
          </w:p>
        </w:tc>
        <w:tc>
          <w:tcPr>
            <w:tcW w:w="657" w:type="dxa"/>
            <w:vAlign w:val="center"/>
          </w:tcPr>
          <w:p w14:paraId="7D612DBA" w14:textId="28E0873A" w:rsidR="00047933" w:rsidRPr="00047933" w:rsidRDefault="00047933" w:rsidP="00047933">
            <w:pPr>
              <w:suppressAutoHyphens w:val="0"/>
              <w:rPr>
                <w:rFonts w:ascii="Times New Roman" w:hAnsi="Times New Roman" w:cs="Times New Roman"/>
                <w:b/>
                <w:bCs/>
                <w:noProof/>
                <w:color w:val="000000"/>
              </w:rPr>
            </w:pPr>
            <w:r w:rsidRPr="00047933">
              <w:rPr>
                <w:rFonts w:ascii="Times New Roman" w:hAnsi="Times New Roman" w:cs="Times New Roman"/>
                <w:b/>
                <w:bCs/>
                <w:noProof/>
                <w:color w:val="000000"/>
              </w:rPr>
              <w:t>22.0</w:t>
            </w:r>
          </w:p>
        </w:tc>
      </w:tr>
    </w:tbl>
    <w:p w14:paraId="12D5BC7D" w14:textId="77777777" w:rsidR="00456E32" w:rsidRPr="00486446" w:rsidRDefault="00456E32" w:rsidP="006E0577">
      <w:pPr>
        <w:pStyle w:val="Paragraph"/>
        <w:spacing w:after="0" w:line="250" w:lineRule="auto"/>
        <w:rPr>
          <w:noProof/>
          <w:sz w:val="20"/>
          <w:szCs w:val="20"/>
          <w:lang w:val="en-IE"/>
        </w:rPr>
      </w:pPr>
    </w:p>
    <w:p w14:paraId="6C02C8F3" w14:textId="19E58631" w:rsidR="00C1173C" w:rsidRPr="00486446" w:rsidRDefault="00F50AF8">
      <w:pPr>
        <w:pStyle w:val="Paragraph"/>
        <w:rPr>
          <w:noProof/>
          <w:lang w:val="en-IE"/>
        </w:rPr>
      </w:pPr>
      <w:r w:rsidRPr="00486446">
        <w:rPr>
          <w:noProof/>
          <w:lang w:val="en-IE"/>
        </w:rPr>
        <w:t xml:space="preserve">National data, </w:t>
      </w:r>
      <w:r w:rsidRPr="0065549F">
        <w:rPr>
          <w:noProof/>
          <w:lang w:val="en-IE"/>
        </w:rPr>
        <w:t xml:space="preserve">intra-EU </w:t>
      </w:r>
      <w:r w:rsidR="00C9302A" w:rsidRPr="0065549F">
        <w:rPr>
          <w:noProof/>
          <w:u w:val="single"/>
          <w:lang w:val="en-IE"/>
        </w:rPr>
        <w:t>s</w:t>
      </w:r>
      <w:r w:rsidRPr="0065549F">
        <w:rPr>
          <w:noProof/>
          <w:u w:val="single"/>
          <w:lang w:val="en-IE"/>
        </w:rPr>
        <w:t>ervices</w:t>
      </w:r>
      <w:r w:rsidRPr="0065549F">
        <w:rPr>
          <w:noProof/>
          <w:lang w:val="en-IE"/>
        </w:rPr>
        <w:t xml:space="preserve"> </w:t>
      </w:r>
      <w:r w:rsidR="00CD41B6" w:rsidRPr="0065549F">
        <w:rPr>
          <w:noProof/>
          <w:lang w:val="en-IE"/>
        </w:rPr>
        <w:t>(excluding financial services and transport</w:t>
      </w:r>
      <w:r w:rsidR="0025013D">
        <w:rPr>
          <w:noProof/>
          <w:lang w:val="en-IE"/>
        </w:rPr>
        <w:t xml:space="preserve"> for national data</w:t>
      </w:r>
      <w:r w:rsidR="00CD41B6" w:rsidRPr="0065549F">
        <w:rPr>
          <w:noProof/>
          <w:lang w:val="en-IE"/>
        </w:rPr>
        <w:t xml:space="preserve">), </w:t>
      </w:r>
      <w:r w:rsidRPr="0065549F">
        <w:rPr>
          <w:noProof/>
          <w:lang w:val="en-IE"/>
        </w:rPr>
        <w:t>% of GDP (202</w:t>
      </w:r>
      <w:r w:rsidR="001E6118" w:rsidRPr="0065549F">
        <w:rPr>
          <w:noProof/>
          <w:lang w:val="en-IE"/>
        </w:rPr>
        <w:t>4</w:t>
      </w:r>
      <w:r w:rsidRPr="0065549F">
        <w:rPr>
          <w:noProof/>
          <w:lang w:val="en-IE"/>
        </w:rPr>
        <w:t>)</w:t>
      </w:r>
    </w:p>
    <w:tbl>
      <w:tblPr>
        <w:tblStyle w:val="TableGrid"/>
        <w:tblW w:w="0" w:type="auto"/>
        <w:jc w:val="center"/>
        <w:tblLook w:val="04A0" w:firstRow="1" w:lastRow="0" w:firstColumn="1" w:lastColumn="0" w:noHBand="0" w:noVBand="1"/>
      </w:tblPr>
      <w:tblGrid>
        <w:gridCol w:w="631"/>
        <w:gridCol w:w="641"/>
        <w:gridCol w:w="657"/>
        <w:gridCol w:w="657"/>
        <w:gridCol w:w="640"/>
        <w:gridCol w:w="649"/>
        <w:gridCol w:w="665"/>
        <w:gridCol w:w="632"/>
        <w:gridCol w:w="632"/>
        <w:gridCol w:w="632"/>
        <w:gridCol w:w="657"/>
        <w:gridCol w:w="665"/>
        <w:gridCol w:w="601"/>
        <w:gridCol w:w="657"/>
      </w:tblGrid>
      <w:tr w:rsidR="00A14AC3" w:rsidRPr="001C633D" w14:paraId="5150D06A" w14:textId="77777777" w:rsidTr="00221417">
        <w:trPr>
          <w:trHeight w:val="300"/>
          <w:jc w:val="center"/>
        </w:trPr>
        <w:tc>
          <w:tcPr>
            <w:tcW w:w="631" w:type="dxa"/>
            <w:shd w:val="clear" w:color="auto" w:fill="D9E2F3" w:themeFill="accent1" w:themeFillTint="33"/>
            <w:vAlign w:val="center"/>
            <w:hideMark/>
          </w:tcPr>
          <w:p w14:paraId="25C0C5F5" w14:textId="77777777" w:rsidR="00047933" w:rsidRPr="001C633D" w:rsidRDefault="00047933" w:rsidP="00221417">
            <w:pPr>
              <w:pStyle w:val="Paragraph"/>
              <w:spacing w:after="0" w:line="240" w:lineRule="auto"/>
              <w:jc w:val="center"/>
              <w:rPr>
                <w:noProof/>
                <w:sz w:val="22"/>
                <w:szCs w:val="22"/>
                <w:lang w:val="en-IE"/>
              </w:rPr>
            </w:pPr>
            <w:bookmarkStart w:id="21" w:name="_Toc183515523"/>
            <w:bookmarkStart w:id="22" w:name="_Toc185237873"/>
            <w:bookmarkStart w:id="23" w:name="_Toc185239876"/>
            <w:bookmarkStart w:id="24" w:name="_Toc185264642"/>
            <w:bookmarkStart w:id="25" w:name="_Toc185525735"/>
            <w:bookmarkStart w:id="26" w:name="_Toc185591275"/>
            <w:r w:rsidRPr="001C633D">
              <w:rPr>
                <w:noProof/>
                <w:sz w:val="22"/>
                <w:szCs w:val="22"/>
                <w:lang w:val="en-IE"/>
              </w:rPr>
              <w:t xml:space="preserve">AT </w:t>
            </w:r>
          </w:p>
        </w:tc>
        <w:tc>
          <w:tcPr>
            <w:tcW w:w="641" w:type="dxa"/>
            <w:shd w:val="clear" w:color="auto" w:fill="D9E2F3" w:themeFill="accent1" w:themeFillTint="33"/>
            <w:vAlign w:val="center"/>
            <w:hideMark/>
          </w:tcPr>
          <w:p w14:paraId="6F771D32"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BE</w:t>
            </w:r>
          </w:p>
        </w:tc>
        <w:tc>
          <w:tcPr>
            <w:tcW w:w="657" w:type="dxa"/>
            <w:shd w:val="clear" w:color="auto" w:fill="D9E2F3" w:themeFill="accent1" w:themeFillTint="33"/>
            <w:vAlign w:val="center"/>
            <w:hideMark/>
          </w:tcPr>
          <w:p w14:paraId="47A7F529"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BG</w:t>
            </w:r>
          </w:p>
        </w:tc>
        <w:tc>
          <w:tcPr>
            <w:tcW w:w="657" w:type="dxa"/>
            <w:shd w:val="clear" w:color="auto" w:fill="D9E2F3" w:themeFill="accent1" w:themeFillTint="33"/>
            <w:vAlign w:val="center"/>
            <w:hideMark/>
          </w:tcPr>
          <w:p w14:paraId="1174F240"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CY</w:t>
            </w:r>
          </w:p>
        </w:tc>
        <w:tc>
          <w:tcPr>
            <w:tcW w:w="640" w:type="dxa"/>
            <w:shd w:val="clear" w:color="auto" w:fill="D9E2F3" w:themeFill="accent1" w:themeFillTint="33"/>
            <w:vAlign w:val="center"/>
            <w:hideMark/>
          </w:tcPr>
          <w:p w14:paraId="4E7E383F"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CZ</w:t>
            </w:r>
          </w:p>
        </w:tc>
        <w:tc>
          <w:tcPr>
            <w:tcW w:w="649" w:type="dxa"/>
            <w:shd w:val="clear" w:color="auto" w:fill="D9E2F3" w:themeFill="accent1" w:themeFillTint="33"/>
            <w:vAlign w:val="center"/>
            <w:hideMark/>
          </w:tcPr>
          <w:p w14:paraId="5B40AF2A"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DE</w:t>
            </w:r>
          </w:p>
        </w:tc>
        <w:tc>
          <w:tcPr>
            <w:tcW w:w="665" w:type="dxa"/>
            <w:shd w:val="clear" w:color="auto" w:fill="D9E2F3" w:themeFill="accent1" w:themeFillTint="33"/>
            <w:vAlign w:val="center"/>
            <w:hideMark/>
          </w:tcPr>
          <w:p w14:paraId="5B8CB5C6"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DK</w:t>
            </w:r>
          </w:p>
        </w:tc>
        <w:tc>
          <w:tcPr>
            <w:tcW w:w="632" w:type="dxa"/>
            <w:shd w:val="clear" w:color="auto" w:fill="D9E2F3" w:themeFill="accent1" w:themeFillTint="33"/>
            <w:vAlign w:val="center"/>
            <w:hideMark/>
          </w:tcPr>
          <w:p w14:paraId="40264CC3"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EE</w:t>
            </w:r>
          </w:p>
        </w:tc>
        <w:tc>
          <w:tcPr>
            <w:tcW w:w="632" w:type="dxa"/>
            <w:shd w:val="clear" w:color="auto" w:fill="D9E2F3" w:themeFill="accent1" w:themeFillTint="33"/>
            <w:vAlign w:val="center"/>
            <w:hideMark/>
          </w:tcPr>
          <w:p w14:paraId="185BBAE5"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EL</w:t>
            </w:r>
          </w:p>
        </w:tc>
        <w:tc>
          <w:tcPr>
            <w:tcW w:w="632" w:type="dxa"/>
            <w:shd w:val="clear" w:color="auto" w:fill="D9E2F3" w:themeFill="accent1" w:themeFillTint="33"/>
            <w:vAlign w:val="center"/>
            <w:hideMark/>
          </w:tcPr>
          <w:p w14:paraId="121DA5CE"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ES</w:t>
            </w:r>
          </w:p>
        </w:tc>
        <w:tc>
          <w:tcPr>
            <w:tcW w:w="657" w:type="dxa"/>
            <w:shd w:val="clear" w:color="auto" w:fill="D9E2F3" w:themeFill="accent1" w:themeFillTint="33"/>
            <w:vAlign w:val="center"/>
          </w:tcPr>
          <w:p w14:paraId="166E95AC"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FI</w:t>
            </w:r>
          </w:p>
        </w:tc>
        <w:tc>
          <w:tcPr>
            <w:tcW w:w="665" w:type="dxa"/>
            <w:shd w:val="clear" w:color="auto" w:fill="D9E2F3" w:themeFill="accent1" w:themeFillTint="33"/>
            <w:vAlign w:val="center"/>
          </w:tcPr>
          <w:p w14:paraId="2B70A60D"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FR</w:t>
            </w:r>
          </w:p>
        </w:tc>
        <w:tc>
          <w:tcPr>
            <w:tcW w:w="601" w:type="dxa"/>
            <w:shd w:val="clear" w:color="auto" w:fill="D9E2F3" w:themeFill="accent1" w:themeFillTint="33"/>
            <w:vAlign w:val="center"/>
          </w:tcPr>
          <w:p w14:paraId="1B9F0DE7"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HR</w:t>
            </w:r>
          </w:p>
        </w:tc>
        <w:tc>
          <w:tcPr>
            <w:tcW w:w="657" w:type="dxa"/>
            <w:shd w:val="clear" w:color="auto" w:fill="D9E2F3" w:themeFill="accent1" w:themeFillTint="33"/>
            <w:vAlign w:val="center"/>
          </w:tcPr>
          <w:p w14:paraId="3FE50DD7"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HU</w:t>
            </w:r>
          </w:p>
        </w:tc>
      </w:tr>
      <w:tr w:rsidR="00A14AC3" w:rsidRPr="001C633D" w14:paraId="2D47B425" w14:textId="77777777" w:rsidTr="00221417">
        <w:trPr>
          <w:trHeight w:val="315"/>
          <w:jc w:val="center"/>
        </w:trPr>
        <w:tc>
          <w:tcPr>
            <w:tcW w:w="631" w:type="dxa"/>
            <w:vAlign w:val="center"/>
          </w:tcPr>
          <w:p w14:paraId="6ABAC0E6" w14:textId="3774DF9C"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9.3</w:t>
            </w:r>
          </w:p>
        </w:tc>
        <w:tc>
          <w:tcPr>
            <w:tcW w:w="641" w:type="dxa"/>
            <w:vAlign w:val="center"/>
          </w:tcPr>
          <w:p w14:paraId="700EC634" w14:textId="19B33FE9"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10.8</w:t>
            </w:r>
          </w:p>
        </w:tc>
        <w:tc>
          <w:tcPr>
            <w:tcW w:w="657" w:type="dxa"/>
            <w:vAlign w:val="center"/>
          </w:tcPr>
          <w:p w14:paraId="2240453B" w14:textId="0CA79820"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4.8</w:t>
            </w:r>
          </w:p>
        </w:tc>
        <w:tc>
          <w:tcPr>
            <w:tcW w:w="657" w:type="dxa"/>
            <w:vAlign w:val="center"/>
          </w:tcPr>
          <w:p w14:paraId="79FC9EC0" w14:textId="1483CC3C"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16.2</w:t>
            </w:r>
          </w:p>
        </w:tc>
        <w:tc>
          <w:tcPr>
            <w:tcW w:w="640" w:type="dxa"/>
            <w:vAlign w:val="center"/>
          </w:tcPr>
          <w:p w14:paraId="57D0736B" w14:textId="1F3ECDA6"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5.6</w:t>
            </w:r>
          </w:p>
        </w:tc>
        <w:tc>
          <w:tcPr>
            <w:tcW w:w="649" w:type="dxa"/>
            <w:vAlign w:val="center"/>
          </w:tcPr>
          <w:p w14:paraId="660AD706" w14:textId="47642774"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4.0</w:t>
            </w:r>
          </w:p>
        </w:tc>
        <w:tc>
          <w:tcPr>
            <w:tcW w:w="665" w:type="dxa"/>
            <w:vAlign w:val="center"/>
          </w:tcPr>
          <w:p w14:paraId="0561F71C" w14:textId="684A7849"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7.5</w:t>
            </w:r>
          </w:p>
        </w:tc>
        <w:tc>
          <w:tcPr>
            <w:tcW w:w="632" w:type="dxa"/>
            <w:vAlign w:val="center"/>
          </w:tcPr>
          <w:p w14:paraId="4653AB95" w14:textId="30863D3A"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13.9</w:t>
            </w:r>
          </w:p>
        </w:tc>
        <w:tc>
          <w:tcPr>
            <w:tcW w:w="632" w:type="dxa"/>
            <w:vAlign w:val="center"/>
          </w:tcPr>
          <w:p w14:paraId="431306B2" w14:textId="63E84523"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4.8</w:t>
            </w:r>
          </w:p>
        </w:tc>
        <w:tc>
          <w:tcPr>
            <w:tcW w:w="632" w:type="dxa"/>
            <w:vAlign w:val="center"/>
          </w:tcPr>
          <w:p w14:paraId="04A3D737" w14:textId="5D17015F"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4.5</w:t>
            </w:r>
          </w:p>
        </w:tc>
        <w:tc>
          <w:tcPr>
            <w:tcW w:w="657" w:type="dxa"/>
            <w:vAlign w:val="center"/>
          </w:tcPr>
          <w:p w14:paraId="0E15D640" w14:textId="5575CED9"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6.8</w:t>
            </w:r>
          </w:p>
        </w:tc>
        <w:tc>
          <w:tcPr>
            <w:tcW w:w="665" w:type="dxa"/>
            <w:vAlign w:val="center"/>
          </w:tcPr>
          <w:p w14:paraId="1CFE2F9A" w14:textId="293B0A88"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4.4</w:t>
            </w:r>
          </w:p>
        </w:tc>
        <w:tc>
          <w:tcPr>
            <w:tcW w:w="601" w:type="dxa"/>
            <w:vAlign w:val="center"/>
          </w:tcPr>
          <w:p w14:paraId="46369886" w14:textId="2037BB99"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10.9</w:t>
            </w:r>
          </w:p>
        </w:tc>
        <w:tc>
          <w:tcPr>
            <w:tcW w:w="657" w:type="dxa"/>
            <w:vAlign w:val="center"/>
          </w:tcPr>
          <w:p w14:paraId="30EDC913" w14:textId="267684B3" w:rsidR="00047933" w:rsidRPr="0065549F" w:rsidRDefault="00C06712" w:rsidP="0065549F">
            <w:pPr>
              <w:suppressAutoHyphens w:val="0"/>
              <w:jc w:val="center"/>
              <w:rPr>
                <w:noProof/>
                <w:color w:val="000000"/>
              </w:rPr>
            </w:pPr>
            <w:r w:rsidRPr="0065549F">
              <w:rPr>
                <w:rFonts w:ascii="Times New Roman" w:hAnsi="Times New Roman" w:cs="Times New Roman"/>
                <w:noProof/>
                <w:color w:val="000000"/>
              </w:rPr>
              <w:t>7.0</w:t>
            </w:r>
          </w:p>
        </w:tc>
      </w:tr>
      <w:tr w:rsidR="00A14AC3" w:rsidRPr="001C633D" w14:paraId="7F50629C" w14:textId="77777777" w:rsidTr="00221417">
        <w:trPr>
          <w:trHeight w:val="300"/>
          <w:jc w:val="center"/>
        </w:trPr>
        <w:tc>
          <w:tcPr>
            <w:tcW w:w="631" w:type="dxa"/>
            <w:shd w:val="clear" w:color="auto" w:fill="D9E2F3" w:themeFill="accent1" w:themeFillTint="33"/>
            <w:vAlign w:val="center"/>
          </w:tcPr>
          <w:p w14:paraId="32D6CBE7"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IE</w:t>
            </w:r>
          </w:p>
        </w:tc>
        <w:tc>
          <w:tcPr>
            <w:tcW w:w="641" w:type="dxa"/>
            <w:shd w:val="clear" w:color="auto" w:fill="D9E2F3" w:themeFill="accent1" w:themeFillTint="33"/>
            <w:vAlign w:val="center"/>
          </w:tcPr>
          <w:p w14:paraId="75593C4C"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IT</w:t>
            </w:r>
          </w:p>
        </w:tc>
        <w:tc>
          <w:tcPr>
            <w:tcW w:w="657" w:type="dxa"/>
            <w:shd w:val="clear" w:color="auto" w:fill="D9E2F3" w:themeFill="accent1" w:themeFillTint="33"/>
            <w:vAlign w:val="center"/>
          </w:tcPr>
          <w:p w14:paraId="7B6B3893"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LT</w:t>
            </w:r>
          </w:p>
        </w:tc>
        <w:tc>
          <w:tcPr>
            <w:tcW w:w="657" w:type="dxa"/>
            <w:shd w:val="clear" w:color="auto" w:fill="D9E2F3" w:themeFill="accent1" w:themeFillTint="33"/>
            <w:vAlign w:val="center"/>
          </w:tcPr>
          <w:p w14:paraId="5B66611A"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LU</w:t>
            </w:r>
          </w:p>
        </w:tc>
        <w:tc>
          <w:tcPr>
            <w:tcW w:w="640" w:type="dxa"/>
            <w:shd w:val="clear" w:color="auto" w:fill="D9E2F3" w:themeFill="accent1" w:themeFillTint="33"/>
            <w:vAlign w:val="center"/>
          </w:tcPr>
          <w:p w14:paraId="01A80C79"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LV</w:t>
            </w:r>
          </w:p>
        </w:tc>
        <w:tc>
          <w:tcPr>
            <w:tcW w:w="649" w:type="dxa"/>
            <w:shd w:val="clear" w:color="auto" w:fill="D9E2F3" w:themeFill="accent1" w:themeFillTint="33"/>
            <w:vAlign w:val="center"/>
          </w:tcPr>
          <w:p w14:paraId="26F33242"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MT</w:t>
            </w:r>
          </w:p>
        </w:tc>
        <w:tc>
          <w:tcPr>
            <w:tcW w:w="665" w:type="dxa"/>
            <w:shd w:val="clear" w:color="auto" w:fill="D9E2F3" w:themeFill="accent1" w:themeFillTint="33"/>
            <w:vAlign w:val="center"/>
          </w:tcPr>
          <w:p w14:paraId="5ADBDF93"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NL</w:t>
            </w:r>
          </w:p>
        </w:tc>
        <w:tc>
          <w:tcPr>
            <w:tcW w:w="632" w:type="dxa"/>
            <w:shd w:val="clear" w:color="auto" w:fill="D9E2F3" w:themeFill="accent1" w:themeFillTint="33"/>
            <w:vAlign w:val="center"/>
          </w:tcPr>
          <w:p w14:paraId="401CE853"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PL</w:t>
            </w:r>
          </w:p>
        </w:tc>
        <w:tc>
          <w:tcPr>
            <w:tcW w:w="632" w:type="dxa"/>
            <w:shd w:val="clear" w:color="auto" w:fill="D9E2F3" w:themeFill="accent1" w:themeFillTint="33"/>
            <w:vAlign w:val="center"/>
          </w:tcPr>
          <w:p w14:paraId="3009991C"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PT</w:t>
            </w:r>
          </w:p>
        </w:tc>
        <w:tc>
          <w:tcPr>
            <w:tcW w:w="632" w:type="dxa"/>
            <w:shd w:val="clear" w:color="auto" w:fill="D9E2F3" w:themeFill="accent1" w:themeFillTint="33"/>
            <w:vAlign w:val="center"/>
          </w:tcPr>
          <w:p w14:paraId="7B43A2A8"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RO</w:t>
            </w:r>
          </w:p>
        </w:tc>
        <w:tc>
          <w:tcPr>
            <w:tcW w:w="657" w:type="dxa"/>
            <w:shd w:val="clear" w:color="auto" w:fill="D9E2F3" w:themeFill="accent1" w:themeFillTint="33"/>
            <w:vAlign w:val="center"/>
          </w:tcPr>
          <w:p w14:paraId="6CC3FEEA"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SE</w:t>
            </w:r>
          </w:p>
        </w:tc>
        <w:tc>
          <w:tcPr>
            <w:tcW w:w="665" w:type="dxa"/>
            <w:shd w:val="clear" w:color="auto" w:fill="D9E2F3" w:themeFill="accent1" w:themeFillTint="33"/>
            <w:vAlign w:val="center"/>
            <w:hideMark/>
          </w:tcPr>
          <w:p w14:paraId="361748D3"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SI</w:t>
            </w:r>
          </w:p>
        </w:tc>
        <w:tc>
          <w:tcPr>
            <w:tcW w:w="601" w:type="dxa"/>
            <w:shd w:val="clear" w:color="auto" w:fill="D9E2F3" w:themeFill="accent1" w:themeFillTint="33"/>
            <w:vAlign w:val="center"/>
            <w:hideMark/>
          </w:tcPr>
          <w:p w14:paraId="36519D32"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SK</w:t>
            </w:r>
          </w:p>
        </w:tc>
        <w:tc>
          <w:tcPr>
            <w:tcW w:w="657" w:type="dxa"/>
            <w:shd w:val="clear" w:color="auto" w:fill="D9E2F3" w:themeFill="accent1" w:themeFillTint="33"/>
            <w:vAlign w:val="center"/>
            <w:hideMark/>
          </w:tcPr>
          <w:p w14:paraId="74085922" w14:textId="77777777" w:rsidR="00047933" w:rsidRPr="001C633D" w:rsidRDefault="00047933" w:rsidP="00221417">
            <w:pPr>
              <w:pStyle w:val="Paragraph"/>
              <w:spacing w:after="0" w:line="240" w:lineRule="auto"/>
              <w:jc w:val="center"/>
              <w:rPr>
                <w:b/>
                <w:noProof/>
                <w:sz w:val="22"/>
                <w:szCs w:val="22"/>
                <w:lang w:val="en-IE"/>
              </w:rPr>
            </w:pPr>
            <w:r w:rsidRPr="001C633D">
              <w:rPr>
                <w:b/>
                <w:noProof/>
                <w:sz w:val="22"/>
                <w:szCs w:val="22"/>
                <w:lang w:val="en-IE"/>
              </w:rPr>
              <w:t>EU</w:t>
            </w:r>
          </w:p>
        </w:tc>
      </w:tr>
      <w:tr w:rsidR="00A14AC3" w:rsidRPr="00047933" w14:paraId="321E9639" w14:textId="77777777" w:rsidTr="00221417">
        <w:trPr>
          <w:trHeight w:val="315"/>
          <w:jc w:val="center"/>
        </w:trPr>
        <w:tc>
          <w:tcPr>
            <w:tcW w:w="631" w:type="dxa"/>
            <w:vAlign w:val="center"/>
          </w:tcPr>
          <w:p w14:paraId="4BA8E346" w14:textId="03CDB005" w:rsidR="00047933" w:rsidRPr="0065549F" w:rsidRDefault="00C06712"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17.4</w:t>
            </w:r>
          </w:p>
        </w:tc>
        <w:tc>
          <w:tcPr>
            <w:tcW w:w="641" w:type="dxa"/>
            <w:vAlign w:val="center"/>
          </w:tcPr>
          <w:p w14:paraId="5FA9C7D9" w14:textId="78AB7822" w:rsidR="00047933" w:rsidRPr="0065549F" w:rsidRDefault="00C06712"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2.9</w:t>
            </w:r>
          </w:p>
        </w:tc>
        <w:tc>
          <w:tcPr>
            <w:tcW w:w="657" w:type="dxa"/>
            <w:vAlign w:val="center"/>
          </w:tcPr>
          <w:p w14:paraId="23A89ED7" w14:textId="48B7BECA" w:rsidR="00047933" w:rsidRPr="0065549F" w:rsidRDefault="00A14AC3"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7.5</w:t>
            </w:r>
          </w:p>
        </w:tc>
        <w:tc>
          <w:tcPr>
            <w:tcW w:w="657" w:type="dxa"/>
            <w:vAlign w:val="center"/>
          </w:tcPr>
          <w:p w14:paraId="0596D954" w14:textId="159EC30A" w:rsidR="00047933" w:rsidRPr="00E81367" w:rsidRDefault="00A14AC3" w:rsidP="0065549F">
            <w:pPr>
              <w:suppressAutoHyphens w:val="0"/>
              <w:jc w:val="center"/>
              <w:rPr>
                <w:noProof/>
                <w:color w:val="000000"/>
              </w:rPr>
            </w:pPr>
            <w:r w:rsidRPr="0065549F">
              <w:rPr>
                <w:rFonts w:ascii="Times New Roman" w:hAnsi="Times New Roman" w:cs="Times New Roman"/>
                <w:noProof/>
                <w:color w:val="000000"/>
              </w:rPr>
              <w:t>38.4</w:t>
            </w:r>
          </w:p>
        </w:tc>
        <w:tc>
          <w:tcPr>
            <w:tcW w:w="640" w:type="dxa"/>
            <w:vAlign w:val="center"/>
          </w:tcPr>
          <w:p w14:paraId="5BDDF374" w14:textId="2B1550BE" w:rsidR="00047933" w:rsidRPr="0065549F" w:rsidRDefault="00A14AC3"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7.4</w:t>
            </w:r>
          </w:p>
        </w:tc>
        <w:tc>
          <w:tcPr>
            <w:tcW w:w="649" w:type="dxa"/>
            <w:vAlign w:val="center"/>
          </w:tcPr>
          <w:p w14:paraId="3FC26484" w14:textId="3B708E12" w:rsidR="00047933" w:rsidRPr="0065549F" w:rsidRDefault="00A14AC3"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36.8</w:t>
            </w:r>
          </w:p>
        </w:tc>
        <w:tc>
          <w:tcPr>
            <w:tcW w:w="665" w:type="dxa"/>
            <w:vAlign w:val="center"/>
          </w:tcPr>
          <w:p w14:paraId="7C40CB59" w14:textId="74ABA20A" w:rsidR="00047933" w:rsidRPr="0065549F" w:rsidRDefault="00A14AC3"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9.1</w:t>
            </w:r>
          </w:p>
        </w:tc>
        <w:tc>
          <w:tcPr>
            <w:tcW w:w="632" w:type="dxa"/>
            <w:vAlign w:val="center"/>
          </w:tcPr>
          <w:p w14:paraId="34A84C5D" w14:textId="01A9E25B" w:rsidR="00047933" w:rsidRPr="0065549F" w:rsidRDefault="00A14AC3"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4.8</w:t>
            </w:r>
          </w:p>
        </w:tc>
        <w:tc>
          <w:tcPr>
            <w:tcW w:w="632" w:type="dxa"/>
            <w:vAlign w:val="center"/>
          </w:tcPr>
          <w:p w14:paraId="39ECDD2F" w14:textId="03B0B27D" w:rsidR="00047933" w:rsidRPr="0065549F" w:rsidRDefault="00A14AC3"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6.7</w:t>
            </w:r>
          </w:p>
        </w:tc>
        <w:tc>
          <w:tcPr>
            <w:tcW w:w="632" w:type="dxa"/>
            <w:vAlign w:val="center"/>
          </w:tcPr>
          <w:p w14:paraId="242D471E" w14:textId="217B309B" w:rsidR="00047933" w:rsidRPr="0065549F" w:rsidRDefault="00A14AC3"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5.2</w:t>
            </w:r>
          </w:p>
        </w:tc>
        <w:tc>
          <w:tcPr>
            <w:tcW w:w="657" w:type="dxa"/>
            <w:vAlign w:val="center"/>
          </w:tcPr>
          <w:p w14:paraId="50F6C169" w14:textId="0F9A776C" w:rsidR="00047933" w:rsidRPr="0065549F" w:rsidRDefault="00A14AC3"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7.9</w:t>
            </w:r>
          </w:p>
        </w:tc>
        <w:tc>
          <w:tcPr>
            <w:tcW w:w="665" w:type="dxa"/>
            <w:vAlign w:val="center"/>
          </w:tcPr>
          <w:p w14:paraId="7026BCA1" w14:textId="5C98FEEF" w:rsidR="00047933" w:rsidRPr="0065549F" w:rsidRDefault="00A14AC3"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8.5</w:t>
            </w:r>
          </w:p>
        </w:tc>
        <w:tc>
          <w:tcPr>
            <w:tcW w:w="601" w:type="dxa"/>
            <w:vAlign w:val="center"/>
          </w:tcPr>
          <w:p w14:paraId="64ADDEA6" w14:textId="6D3B8681" w:rsidR="00047933" w:rsidRPr="00E81367" w:rsidRDefault="00A14AC3"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4.8</w:t>
            </w:r>
          </w:p>
        </w:tc>
        <w:tc>
          <w:tcPr>
            <w:tcW w:w="657" w:type="dxa"/>
            <w:vAlign w:val="center"/>
          </w:tcPr>
          <w:p w14:paraId="226C5C53" w14:textId="3D3AFFC3" w:rsidR="00047933" w:rsidRPr="0065549F" w:rsidRDefault="00E81367" w:rsidP="0065549F">
            <w:pPr>
              <w:suppressAutoHyphens w:val="0"/>
              <w:jc w:val="center"/>
              <w:rPr>
                <w:rFonts w:ascii="Times New Roman" w:hAnsi="Times New Roman" w:cs="Times New Roman"/>
                <w:noProof/>
                <w:color w:val="000000"/>
              </w:rPr>
            </w:pPr>
            <w:r w:rsidRPr="0065549F">
              <w:rPr>
                <w:rFonts w:ascii="Times New Roman" w:hAnsi="Times New Roman" w:cs="Times New Roman"/>
                <w:noProof/>
                <w:color w:val="000000"/>
              </w:rPr>
              <w:t>7.9</w:t>
            </w:r>
          </w:p>
        </w:tc>
      </w:tr>
    </w:tbl>
    <w:p w14:paraId="31713318" w14:textId="77777777" w:rsidR="003628B5" w:rsidRDefault="003628B5">
      <w:pPr>
        <w:suppressAutoHyphens w:val="0"/>
        <w:rPr>
          <w:rFonts w:ascii="Times New Roman" w:eastAsia="MS Gothic" w:hAnsi="Times New Roman" w:cs="Times New Roman"/>
          <w:b/>
          <w:bCs/>
          <w:noProof/>
          <w:sz w:val="24"/>
          <w:szCs w:val="24"/>
        </w:rPr>
      </w:pPr>
      <w:r>
        <w:rPr>
          <w:rFonts w:ascii="Times New Roman" w:hAnsi="Times New Roman"/>
          <w:b/>
          <w:bCs/>
          <w:noProof/>
        </w:rPr>
        <w:br w:type="page"/>
      </w:r>
    </w:p>
    <w:p w14:paraId="51C384C4" w14:textId="16F89014" w:rsidR="009B38D3" w:rsidRPr="00AC092F" w:rsidRDefault="009B38D3" w:rsidP="0065549F">
      <w:pPr>
        <w:pStyle w:val="Heading3"/>
        <w:spacing w:before="0" w:after="160" w:line="250" w:lineRule="auto"/>
        <w:rPr>
          <w:rFonts w:ascii="Times New Roman" w:hAnsi="Times New Roman"/>
          <w:b/>
          <w:bCs/>
          <w:noProof/>
          <w:color w:val="auto"/>
        </w:rPr>
      </w:pPr>
      <w:bookmarkStart w:id="27" w:name="_Toc220103437"/>
      <w:r w:rsidRPr="00AC092F">
        <w:rPr>
          <w:rFonts w:ascii="Times New Roman" w:hAnsi="Times New Roman"/>
          <w:b/>
          <w:bCs/>
          <w:noProof/>
          <w:color w:val="auto"/>
        </w:rPr>
        <w:t xml:space="preserve">KPI 3: </w:t>
      </w:r>
      <w:r w:rsidR="008D20CB" w:rsidRPr="00AC092F">
        <w:rPr>
          <w:rFonts w:ascii="Times New Roman" w:hAnsi="Times New Roman"/>
          <w:b/>
          <w:bCs/>
          <w:noProof/>
          <w:color w:val="auto"/>
        </w:rPr>
        <w:t>Simplification of EU rules</w:t>
      </w:r>
      <w:bookmarkEnd w:id="27"/>
      <w:r w:rsidRPr="00AC092F">
        <w:rPr>
          <w:rFonts w:ascii="Times New Roman" w:hAnsi="Times New Roman"/>
          <w:b/>
          <w:bCs/>
          <w:noProof/>
          <w:color w:val="auto"/>
        </w:rPr>
        <w:t xml:space="preserve"> </w:t>
      </w:r>
    </w:p>
    <w:p w14:paraId="0CE96C17" w14:textId="4441A6E0" w:rsidR="00207B69" w:rsidRDefault="00143AEC" w:rsidP="009B38D3">
      <w:pPr>
        <w:pStyle w:val="Paragraph"/>
        <w:rPr>
          <w:noProof/>
          <w:lang w:val="en-IE"/>
        </w:rPr>
      </w:pPr>
      <w:r w:rsidRPr="00486446">
        <w:rPr>
          <w:noProof/>
          <w:lang w:val="en-IE"/>
        </w:rPr>
        <w:t>KPI</w:t>
      </w:r>
      <w:r w:rsidR="009B38D3" w:rsidRPr="00486446">
        <w:rPr>
          <w:noProof/>
          <w:lang w:val="en-IE"/>
        </w:rPr>
        <w:t xml:space="preserve"> 3 </w:t>
      </w:r>
      <w:r w:rsidR="000250FA" w:rsidRPr="00486446">
        <w:rPr>
          <w:noProof/>
          <w:lang w:val="en-IE"/>
        </w:rPr>
        <w:t xml:space="preserve">measures the </w:t>
      </w:r>
      <w:r w:rsidR="00982BD6">
        <w:rPr>
          <w:noProof/>
          <w:lang w:val="en-IE"/>
        </w:rPr>
        <w:t xml:space="preserve">projected </w:t>
      </w:r>
      <w:r w:rsidR="000C2E52" w:rsidRPr="00486446">
        <w:rPr>
          <w:noProof/>
          <w:lang w:val="en-IE"/>
        </w:rPr>
        <w:t xml:space="preserve">annually recurring </w:t>
      </w:r>
      <w:r w:rsidR="00BD13E8">
        <w:rPr>
          <w:noProof/>
          <w:lang w:val="en-IE"/>
        </w:rPr>
        <w:t xml:space="preserve">administrative </w:t>
      </w:r>
      <w:r w:rsidR="000C2E52" w:rsidRPr="00486446">
        <w:rPr>
          <w:noProof/>
          <w:lang w:val="en-IE"/>
        </w:rPr>
        <w:t>savings expected from</w:t>
      </w:r>
      <w:r w:rsidR="000250FA" w:rsidRPr="00486446">
        <w:rPr>
          <w:noProof/>
          <w:lang w:val="en-IE"/>
        </w:rPr>
        <w:t xml:space="preserve"> </w:t>
      </w:r>
      <w:r w:rsidR="00B42284" w:rsidRPr="00486446">
        <w:rPr>
          <w:noProof/>
          <w:lang w:val="en-IE"/>
        </w:rPr>
        <w:t>the</w:t>
      </w:r>
      <w:r w:rsidR="000250FA" w:rsidRPr="00486446">
        <w:rPr>
          <w:noProof/>
          <w:lang w:val="en-IE"/>
        </w:rPr>
        <w:t xml:space="preserve"> </w:t>
      </w:r>
      <w:r w:rsidR="00916E44">
        <w:rPr>
          <w:noProof/>
          <w:lang w:val="en-IE"/>
        </w:rPr>
        <w:t>Omnibus simplification proposals and other initiatives</w:t>
      </w:r>
      <w:r w:rsidR="00872ADA" w:rsidRPr="00E61CAA">
        <w:rPr>
          <w:rStyle w:val="FootnoteReference"/>
          <w:noProof/>
          <w:lang w:eastAsia="en-IE"/>
        </w:rPr>
        <w:footnoteReference w:id="11"/>
      </w:r>
      <w:r w:rsidR="00347133">
        <w:rPr>
          <w:noProof/>
          <w:lang w:val="en-IE"/>
        </w:rPr>
        <w:t>,</w:t>
      </w:r>
      <w:r w:rsidR="00916E44">
        <w:rPr>
          <w:noProof/>
          <w:lang w:val="en-IE"/>
        </w:rPr>
        <w:t xml:space="preserve"> at the time of their adoption by the </w:t>
      </w:r>
      <w:r w:rsidR="000250FA" w:rsidRPr="00486446">
        <w:rPr>
          <w:noProof/>
          <w:lang w:val="en-IE"/>
        </w:rPr>
        <w:t>Commission.</w:t>
      </w:r>
      <w:r w:rsidR="009B38D3" w:rsidRPr="00486446">
        <w:rPr>
          <w:noProof/>
          <w:lang w:val="en-IE"/>
        </w:rPr>
        <w:t xml:space="preserve"> </w:t>
      </w:r>
      <w:r w:rsidR="00357980">
        <w:rPr>
          <w:noProof/>
          <w:lang w:val="en-IE"/>
        </w:rPr>
        <w:t xml:space="preserve">It </w:t>
      </w:r>
      <w:r w:rsidR="00907F35">
        <w:rPr>
          <w:noProof/>
          <w:lang w:val="en-IE"/>
        </w:rPr>
        <w:t>shows the accumulated expected savings of</w:t>
      </w:r>
      <w:r w:rsidR="001A6C98">
        <w:rPr>
          <w:noProof/>
          <w:lang w:val="en-IE"/>
        </w:rPr>
        <w:t xml:space="preserve"> </w:t>
      </w:r>
      <w:r w:rsidR="00897223">
        <w:rPr>
          <w:noProof/>
          <w:lang w:val="en-IE"/>
        </w:rPr>
        <w:t xml:space="preserve">these </w:t>
      </w:r>
      <w:r w:rsidR="00357980">
        <w:rPr>
          <w:noProof/>
          <w:lang w:val="en-IE"/>
        </w:rPr>
        <w:t xml:space="preserve">proposals put forward up until </w:t>
      </w:r>
      <w:r w:rsidR="002D7ED7">
        <w:rPr>
          <w:noProof/>
          <w:lang w:val="en-IE"/>
        </w:rPr>
        <w:t xml:space="preserve">the </w:t>
      </w:r>
      <w:r w:rsidR="006A0806">
        <w:rPr>
          <w:noProof/>
          <w:lang w:val="en-IE"/>
        </w:rPr>
        <w:t>end of December 2025.</w:t>
      </w:r>
    </w:p>
    <w:p w14:paraId="7C154E72" w14:textId="7834A9E2" w:rsidR="00D45442" w:rsidRDefault="002040F7" w:rsidP="009B38D3">
      <w:pPr>
        <w:pStyle w:val="Paragraph"/>
        <w:rPr>
          <w:noProof/>
          <w:lang w:val="en-IE"/>
        </w:rPr>
      </w:pPr>
      <w:r w:rsidRPr="002040F7">
        <w:rPr>
          <w:noProof/>
          <w:lang w:val="en-IE"/>
        </w:rPr>
        <w:t xml:space="preserve">In 2025, the Commission has proposed ten </w:t>
      </w:r>
      <w:r w:rsidR="007A1102">
        <w:rPr>
          <w:noProof/>
          <w:lang w:val="en-IE"/>
        </w:rPr>
        <w:t>O</w:t>
      </w:r>
      <w:r w:rsidRPr="002040F7">
        <w:rPr>
          <w:noProof/>
          <w:lang w:val="en-IE"/>
        </w:rPr>
        <w:t>mnibus proposals.</w:t>
      </w:r>
      <w:r w:rsidR="004202C3">
        <w:rPr>
          <w:noProof/>
          <w:color w:val="000000" w:themeColor="text1"/>
          <w:lang w:val="en-IE"/>
        </w:rPr>
        <w:t xml:space="preserve">and </w:t>
      </w:r>
      <w:r w:rsidR="004202C3" w:rsidRPr="00AC7ECC">
        <w:rPr>
          <w:noProof/>
          <w:color w:val="000000" w:themeColor="text1"/>
          <w:lang w:val="en-IE"/>
        </w:rPr>
        <w:t xml:space="preserve">other initiatives which are </w:t>
      </w:r>
      <w:r w:rsidR="00710D4C">
        <w:rPr>
          <w:noProof/>
          <w:color w:val="000000" w:themeColor="text1"/>
          <w:lang w:val="en-IE"/>
        </w:rPr>
        <w:t>projected</w:t>
      </w:r>
      <w:r w:rsidR="004202C3" w:rsidRPr="00AC7ECC">
        <w:rPr>
          <w:noProof/>
          <w:color w:val="000000" w:themeColor="text1"/>
          <w:lang w:val="en-IE"/>
        </w:rPr>
        <w:t xml:space="preserve"> to reduce the recurrent administrative annual costs </w:t>
      </w:r>
      <w:r w:rsidR="004202C3" w:rsidRPr="004E3D42">
        <w:rPr>
          <w:noProof/>
          <w:color w:val="000000" w:themeColor="text1"/>
          <w:lang w:val="en-IE"/>
        </w:rPr>
        <w:t xml:space="preserve">by </w:t>
      </w:r>
      <w:r w:rsidR="004202C3" w:rsidRPr="00B57511">
        <w:rPr>
          <w:noProof/>
          <w:color w:val="000000" w:themeColor="text1"/>
          <w:lang w:val="en-IE"/>
        </w:rPr>
        <w:t xml:space="preserve">EUR </w:t>
      </w:r>
      <w:r w:rsidR="003360DC" w:rsidRPr="00B57511">
        <w:rPr>
          <w:noProof/>
          <w:color w:val="000000" w:themeColor="text1"/>
          <w:lang w:val="en-IE"/>
        </w:rPr>
        <w:t>15</w:t>
      </w:r>
      <w:r w:rsidR="004202C3" w:rsidRPr="00B57511">
        <w:rPr>
          <w:noProof/>
          <w:color w:val="000000" w:themeColor="text1"/>
          <w:lang w:val="en-IE"/>
        </w:rPr>
        <w:t xml:space="preserve"> bn,</w:t>
      </w:r>
      <w:r w:rsidR="004202C3" w:rsidRPr="00AC7ECC">
        <w:rPr>
          <w:noProof/>
          <w:color w:val="000000" w:themeColor="text1"/>
          <w:lang w:val="en-IE"/>
        </w:rPr>
        <w:t xml:space="preserve"> of which EUR 11.9 bn from omnibus proposals</w:t>
      </w:r>
      <w:r w:rsidR="007B18A3">
        <w:rPr>
          <w:rStyle w:val="FootnoteReference"/>
          <w:noProof/>
          <w:lang w:val="en-IE"/>
        </w:rPr>
        <w:footnoteReference w:id="12"/>
      </w:r>
      <w:r w:rsidR="004202C3" w:rsidRPr="00AC7ECC">
        <w:rPr>
          <w:noProof/>
          <w:color w:val="000000" w:themeColor="text1"/>
          <w:lang w:val="en-IE"/>
        </w:rPr>
        <w:t xml:space="preserve"> </w:t>
      </w:r>
      <w:r w:rsidR="004202C3" w:rsidRPr="004E3D42">
        <w:rPr>
          <w:noProof/>
          <w:color w:val="000000" w:themeColor="text1"/>
          <w:lang w:val="en-IE"/>
        </w:rPr>
        <w:t xml:space="preserve">and </w:t>
      </w:r>
      <w:r w:rsidR="004202C3" w:rsidRPr="00B57511">
        <w:rPr>
          <w:noProof/>
          <w:color w:val="000000" w:themeColor="text1"/>
          <w:lang w:val="en-IE"/>
        </w:rPr>
        <w:t xml:space="preserve">EUR </w:t>
      </w:r>
      <w:r w:rsidR="003360DC" w:rsidRPr="00B57511">
        <w:rPr>
          <w:noProof/>
          <w:color w:val="000000" w:themeColor="text1"/>
          <w:lang w:val="en-IE"/>
        </w:rPr>
        <w:t>3.1</w:t>
      </w:r>
      <w:r w:rsidR="004202C3" w:rsidRPr="00B57511">
        <w:rPr>
          <w:noProof/>
          <w:color w:val="000000" w:themeColor="text1"/>
          <w:lang w:val="en-IE"/>
        </w:rPr>
        <w:t xml:space="preserve"> bn</w:t>
      </w:r>
      <w:r w:rsidR="004202C3" w:rsidRPr="004E3D42">
        <w:rPr>
          <w:noProof/>
          <w:color w:val="000000" w:themeColor="text1"/>
          <w:lang w:val="en-IE"/>
        </w:rPr>
        <w:t xml:space="preserve"> </w:t>
      </w:r>
      <w:r w:rsidR="00142268" w:rsidRPr="004E3D42">
        <w:rPr>
          <w:noProof/>
          <w:color w:val="000000" w:themeColor="text1"/>
          <w:lang w:val="en-IE"/>
        </w:rPr>
        <w:t>from</w:t>
      </w:r>
      <w:r w:rsidR="004202C3" w:rsidRPr="00AC7ECC">
        <w:rPr>
          <w:noProof/>
          <w:color w:val="000000" w:themeColor="text1"/>
          <w:lang w:val="en-IE"/>
        </w:rPr>
        <w:t xml:space="preserve"> other initiatives</w:t>
      </w:r>
      <w:r w:rsidR="007B18A3">
        <w:rPr>
          <w:noProof/>
          <w:color w:val="000000" w:themeColor="text1"/>
          <w:lang w:val="en-IE"/>
        </w:rPr>
        <w:t>.</w:t>
      </w:r>
      <w:r w:rsidR="00A70205">
        <w:rPr>
          <w:noProof/>
          <w:color w:val="000000" w:themeColor="text1"/>
          <w:lang w:val="en-IE"/>
        </w:rPr>
        <w:t xml:space="preserve"> </w:t>
      </w:r>
      <w:r w:rsidR="00B572FD">
        <w:rPr>
          <w:noProof/>
          <w:color w:val="000000" w:themeColor="text1"/>
          <w:lang w:val="en-IE"/>
        </w:rPr>
        <w:t xml:space="preserve">Moreover, new initiatives, such as European Business Wallet Regulation has a potential to contribute significantly to the overall administrative cost reduction for businesses and public administrations, with minimum EUR 13.5 bn. </w:t>
      </w:r>
      <w:r w:rsidR="00A70205" w:rsidRPr="00A70205">
        <w:rPr>
          <w:noProof/>
          <w:color w:val="000000" w:themeColor="text1"/>
          <w:lang w:val="en-IE"/>
        </w:rPr>
        <w:t>These savings were estimated using the EU standard cost model</w:t>
      </w:r>
      <w:r w:rsidR="00A70205">
        <w:rPr>
          <w:noProof/>
          <w:color w:val="000000" w:themeColor="text1"/>
          <w:lang w:val="en-IE"/>
        </w:rPr>
        <w:t>.</w:t>
      </w:r>
    </w:p>
    <w:p w14:paraId="1A8A134C" w14:textId="0BA96C22" w:rsidR="00921913" w:rsidRPr="00486446" w:rsidRDefault="009608AA" w:rsidP="009B38D3">
      <w:pPr>
        <w:pStyle w:val="Paragraph"/>
        <w:rPr>
          <w:noProof/>
          <w:lang w:val="en-IE"/>
        </w:rPr>
      </w:pPr>
      <w:r w:rsidRPr="00486446">
        <w:rPr>
          <w:noProof/>
          <w:lang w:val="en-IE"/>
        </w:rPr>
        <w:t xml:space="preserve">Administrative burdens have been estimated </w:t>
      </w:r>
      <w:r w:rsidR="007C1C14">
        <w:rPr>
          <w:noProof/>
          <w:lang w:val="en-IE"/>
        </w:rPr>
        <w:t>at</w:t>
      </w:r>
      <w:r w:rsidR="007C1C14" w:rsidRPr="00486446">
        <w:rPr>
          <w:noProof/>
          <w:lang w:val="en-IE"/>
        </w:rPr>
        <w:t xml:space="preserve"> </w:t>
      </w:r>
      <w:r w:rsidRPr="00486446">
        <w:rPr>
          <w:noProof/>
          <w:lang w:val="en-IE"/>
        </w:rPr>
        <w:t xml:space="preserve">EUR 150 bn </w:t>
      </w:r>
      <w:r w:rsidR="000133DB">
        <w:rPr>
          <w:noProof/>
          <w:lang w:val="en-IE"/>
        </w:rPr>
        <w:t>per</w:t>
      </w:r>
      <w:r w:rsidR="000133DB" w:rsidRPr="00486446">
        <w:rPr>
          <w:noProof/>
          <w:lang w:val="en-IE"/>
        </w:rPr>
        <w:t xml:space="preserve"> </w:t>
      </w:r>
      <w:r w:rsidRPr="00486446">
        <w:rPr>
          <w:noProof/>
          <w:lang w:val="en-IE"/>
        </w:rPr>
        <w:t xml:space="preserve">year. The Commission targets to reduce these by </w:t>
      </w:r>
      <w:r w:rsidR="004030AD">
        <w:rPr>
          <w:noProof/>
          <w:lang w:val="en-IE"/>
        </w:rPr>
        <w:t xml:space="preserve">at least </w:t>
      </w:r>
      <w:r w:rsidRPr="00486446">
        <w:rPr>
          <w:noProof/>
          <w:lang w:val="en-IE"/>
        </w:rPr>
        <w:t>25% (</w:t>
      </w:r>
      <w:r w:rsidR="00A449B1">
        <w:rPr>
          <w:noProof/>
          <w:lang w:val="en-IE"/>
        </w:rPr>
        <w:t xml:space="preserve">amounting to </w:t>
      </w:r>
      <w:r w:rsidRPr="00486446">
        <w:rPr>
          <w:noProof/>
          <w:lang w:val="en-IE"/>
        </w:rPr>
        <w:t xml:space="preserve">EUR 37.5 bn) </w:t>
      </w:r>
      <w:r w:rsidR="00C667BF">
        <w:rPr>
          <w:noProof/>
          <w:lang w:val="en-IE"/>
        </w:rPr>
        <w:t>for all businesses</w:t>
      </w:r>
      <w:r w:rsidRPr="00486446">
        <w:rPr>
          <w:noProof/>
          <w:lang w:val="en-IE"/>
        </w:rPr>
        <w:t xml:space="preserve"> and by </w:t>
      </w:r>
      <w:r w:rsidR="004030AD">
        <w:rPr>
          <w:noProof/>
          <w:lang w:val="en-IE"/>
        </w:rPr>
        <w:t xml:space="preserve">at least </w:t>
      </w:r>
      <w:r w:rsidRPr="00486446">
        <w:rPr>
          <w:noProof/>
          <w:lang w:val="en-IE"/>
        </w:rPr>
        <w:t>35% for SMEs.</w:t>
      </w:r>
    </w:p>
    <w:p w14:paraId="1E278369" w14:textId="494D97CA" w:rsidR="00B55CE1" w:rsidRDefault="00143AEC" w:rsidP="000F3EAD">
      <w:pPr>
        <w:pStyle w:val="Paragraph"/>
        <w:rPr>
          <w:noProof/>
        </w:rPr>
      </w:pPr>
      <w:r w:rsidRPr="00486446">
        <w:rPr>
          <w:noProof/>
        </w:rPr>
        <w:t xml:space="preserve">This KPI tracks progress </w:t>
      </w:r>
      <w:r w:rsidR="00BA2213" w:rsidRPr="1692C273">
        <w:rPr>
          <w:noProof/>
        </w:rPr>
        <w:t xml:space="preserve">related to </w:t>
      </w:r>
      <w:r w:rsidRPr="00486446">
        <w:rPr>
          <w:noProof/>
        </w:rPr>
        <w:t xml:space="preserve">the objective of </w:t>
      </w:r>
      <w:r w:rsidR="00F14005" w:rsidRPr="00486446">
        <w:rPr>
          <w:noProof/>
        </w:rPr>
        <w:t>addressing overly complex EU rules</w:t>
      </w:r>
      <w:r w:rsidR="009608AA" w:rsidRPr="00486446">
        <w:rPr>
          <w:noProof/>
        </w:rPr>
        <w:t xml:space="preserve"> –</w:t>
      </w:r>
      <w:r w:rsidR="00F14005" w:rsidRPr="00486446">
        <w:rPr>
          <w:noProof/>
        </w:rPr>
        <w:t xml:space="preserve"> one of the</w:t>
      </w:r>
      <w:r w:rsidRPr="00486446">
        <w:rPr>
          <w:noProof/>
        </w:rPr>
        <w:t xml:space="preserve"> </w:t>
      </w:r>
      <w:r w:rsidR="00F14005" w:rsidRPr="00486446">
        <w:rPr>
          <w:noProof/>
        </w:rPr>
        <w:t xml:space="preserve">“Terrible Ten” </w:t>
      </w:r>
      <w:r w:rsidR="00C013D7">
        <w:rPr>
          <w:noProof/>
        </w:rPr>
        <w:t xml:space="preserve">barriers </w:t>
      </w:r>
      <w:r w:rsidR="00816B52" w:rsidRPr="00486446">
        <w:rPr>
          <w:noProof/>
        </w:rPr>
        <w:t xml:space="preserve">identified </w:t>
      </w:r>
      <w:r w:rsidRPr="00486446">
        <w:rPr>
          <w:noProof/>
        </w:rPr>
        <w:t xml:space="preserve">in the </w:t>
      </w:r>
      <w:r w:rsidR="00B42284" w:rsidRPr="00486446">
        <w:rPr>
          <w:noProof/>
        </w:rPr>
        <w:t>Single Market Strategy.</w:t>
      </w:r>
    </w:p>
    <w:p w14:paraId="18480537" w14:textId="77777777" w:rsidR="000C0B93" w:rsidRPr="00486446" w:rsidRDefault="000C0B93" w:rsidP="000F3EAD">
      <w:pPr>
        <w:pStyle w:val="Paragraph"/>
        <w:rPr>
          <w:noProof/>
        </w:rPr>
      </w:pPr>
    </w:p>
    <w:p w14:paraId="79006677" w14:textId="07CC4868" w:rsidR="00877B79" w:rsidRDefault="009B38D3" w:rsidP="000F3EAD">
      <w:pPr>
        <w:pStyle w:val="Paragraph"/>
        <w:rPr>
          <w:noProof/>
          <w:lang w:val="en-IE"/>
        </w:rPr>
      </w:pPr>
      <w:r w:rsidRPr="004E3D42">
        <w:rPr>
          <w:b/>
          <w:noProof/>
          <w:lang w:val="en-IE"/>
        </w:rPr>
        <w:t>Figure 3</w:t>
      </w:r>
      <w:r w:rsidRPr="004E3D42">
        <w:rPr>
          <w:noProof/>
          <w:lang w:val="en-IE"/>
        </w:rPr>
        <w:t xml:space="preserve">: </w:t>
      </w:r>
      <w:r w:rsidR="00C1651E" w:rsidRPr="004E3D42">
        <w:rPr>
          <w:noProof/>
          <w:lang w:val="en-IE"/>
        </w:rPr>
        <w:t>S</w:t>
      </w:r>
      <w:r w:rsidR="00271D6A" w:rsidRPr="004E3D42">
        <w:rPr>
          <w:noProof/>
          <w:lang w:val="en-IE"/>
        </w:rPr>
        <w:t>avings expected from Commission’s Omnibus simplification packages</w:t>
      </w:r>
      <w:r w:rsidR="00CE1F02" w:rsidRPr="00B57511">
        <w:rPr>
          <w:noProof/>
          <w:lang w:val="en-IE"/>
        </w:rPr>
        <w:t xml:space="preserve"> and other initiatives</w:t>
      </w:r>
      <w:r w:rsidR="00A75B94" w:rsidRPr="004E3D42">
        <w:rPr>
          <w:noProof/>
          <w:lang w:val="en-IE"/>
        </w:rPr>
        <w:t xml:space="preserve">: towards </w:t>
      </w:r>
      <w:r w:rsidR="008B7AEC" w:rsidRPr="004E3D42">
        <w:rPr>
          <w:noProof/>
          <w:lang w:val="en-IE"/>
        </w:rPr>
        <w:t xml:space="preserve">a </w:t>
      </w:r>
      <w:r w:rsidR="00A75B94" w:rsidRPr="004E3D42">
        <w:rPr>
          <w:noProof/>
          <w:lang w:val="en-IE"/>
        </w:rPr>
        <w:t xml:space="preserve">25% </w:t>
      </w:r>
      <w:r w:rsidR="008B7AEC" w:rsidRPr="004E3D42">
        <w:rPr>
          <w:noProof/>
          <w:lang w:val="en-IE"/>
        </w:rPr>
        <w:t xml:space="preserve">reduction </w:t>
      </w:r>
      <w:r w:rsidR="002468D7" w:rsidRPr="004E3D42">
        <w:rPr>
          <w:noProof/>
          <w:lang w:val="en-IE"/>
        </w:rPr>
        <w:t>in</w:t>
      </w:r>
      <w:r w:rsidR="008B7AEC" w:rsidRPr="004E3D42">
        <w:rPr>
          <w:noProof/>
          <w:lang w:val="en-IE"/>
        </w:rPr>
        <w:t xml:space="preserve"> </w:t>
      </w:r>
      <w:r w:rsidR="00E96F24" w:rsidRPr="004E3D42">
        <w:rPr>
          <w:noProof/>
          <w:lang w:val="en-IE"/>
        </w:rPr>
        <w:t xml:space="preserve">recurrent </w:t>
      </w:r>
      <w:r w:rsidR="00A75B94" w:rsidRPr="004E3D42">
        <w:rPr>
          <w:noProof/>
          <w:lang w:val="en-IE"/>
        </w:rPr>
        <w:t>administrative burden</w:t>
      </w:r>
      <w:r w:rsidR="00271D6A" w:rsidRPr="004E3D42">
        <w:rPr>
          <w:noProof/>
          <w:lang w:val="en-IE"/>
        </w:rPr>
        <w:t>.</w:t>
      </w:r>
      <w:r w:rsidR="002F112A" w:rsidRPr="00461871">
        <w:rPr>
          <w:noProof/>
          <w:lang w:val="en-IE"/>
        </w:rPr>
        <w:t xml:space="preserve"> </w:t>
      </w:r>
    </w:p>
    <w:p w14:paraId="2C170CF6" w14:textId="40C4FDE5" w:rsidR="000B1D1C" w:rsidRPr="00EC17DB" w:rsidRDefault="00887B9E" w:rsidP="00317839">
      <w:pPr>
        <w:pStyle w:val="Paragraph"/>
        <w:jc w:val="center"/>
        <w:rPr>
          <w:noProof/>
          <w:lang w:val="fr-BE"/>
        </w:rPr>
      </w:pPr>
      <w:r>
        <w:rPr>
          <w:noProof/>
          <w:lang w:eastAsia="en-GB"/>
        </w:rPr>
        <w:drawing>
          <wp:inline distT="0" distB="0" distL="0" distR="0" wp14:anchorId="7B0ED23D" wp14:editId="34DE51BA">
            <wp:extent cx="3176715" cy="2849880"/>
            <wp:effectExtent l="0" t="0" r="5080" b="7620"/>
            <wp:docPr id="168029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199131" cy="2869990"/>
                    </a:xfrm>
                    <a:prstGeom prst="rect">
                      <a:avLst/>
                    </a:prstGeom>
                    <a:noFill/>
                  </pic:spPr>
                </pic:pic>
              </a:graphicData>
            </a:graphic>
          </wp:inline>
        </w:drawing>
      </w:r>
    </w:p>
    <w:p w14:paraId="60499F5F" w14:textId="5931BD22" w:rsidR="008D20CB" w:rsidRPr="007C0EA4" w:rsidRDefault="009B38D3" w:rsidP="001167DC">
      <w:pPr>
        <w:pStyle w:val="Source"/>
        <w:jc w:val="left"/>
        <w:rPr>
          <w:rStyle w:val="Hyperlink"/>
          <w:noProof/>
          <w:lang w:val="en-IE"/>
        </w:rPr>
      </w:pPr>
      <w:r w:rsidRPr="007C0EA4">
        <w:rPr>
          <w:rStyle w:val="normaltextrun"/>
          <w:noProof/>
          <w:color w:val="auto"/>
          <w:lang w:val="en-IE"/>
        </w:rPr>
        <w:t xml:space="preserve">Source: </w:t>
      </w:r>
      <w:r w:rsidR="00C027D1" w:rsidRPr="007C0EA4">
        <w:rPr>
          <w:noProof/>
          <w:color w:val="auto"/>
          <w:lang w:val="en-IE"/>
        </w:rPr>
        <w:t>European Commission</w:t>
      </w:r>
      <w:r w:rsidR="008D7FC6" w:rsidRPr="007C0EA4">
        <w:rPr>
          <w:noProof/>
          <w:color w:val="auto"/>
          <w:lang w:val="en-IE"/>
        </w:rPr>
        <w:t xml:space="preserve"> services, </w:t>
      </w:r>
      <w:hyperlink r:id="rId40" w:history="1">
        <w:r w:rsidR="008D7FC6" w:rsidRPr="007C0EA4">
          <w:rPr>
            <w:rStyle w:val="Hyperlink"/>
            <w:noProof/>
            <w:lang w:val="en-IE"/>
          </w:rPr>
          <w:t>Simplification - European Commission</w:t>
        </w:r>
      </w:hyperlink>
    </w:p>
    <w:p w14:paraId="4299F441" w14:textId="77777777" w:rsidR="00FD0882" w:rsidRPr="007C0EA4" w:rsidRDefault="00FD0882">
      <w:pPr>
        <w:suppressAutoHyphens w:val="0"/>
        <w:rPr>
          <w:rFonts w:ascii="Times New Roman" w:eastAsia="MS Gothic" w:hAnsi="Times New Roman" w:cs="Times New Roman"/>
          <w:b/>
          <w:noProof/>
          <w:sz w:val="24"/>
          <w:szCs w:val="24"/>
          <w:lang w:val="en-IE"/>
        </w:rPr>
      </w:pPr>
      <w:r w:rsidRPr="007C0EA4">
        <w:rPr>
          <w:rFonts w:ascii="Times New Roman" w:hAnsi="Times New Roman"/>
          <w:b/>
          <w:noProof/>
          <w:lang w:val="en-IE"/>
        </w:rPr>
        <w:br w:type="page"/>
      </w:r>
    </w:p>
    <w:p w14:paraId="78575F4D" w14:textId="3EEA6E65" w:rsidR="008D20CB" w:rsidRPr="00807062" w:rsidRDefault="008D20CB" w:rsidP="0065549F">
      <w:pPr>
        <w:pStyle w:val="Heading3"/>
        <w:spacing w:before="0" w:after="160" w:line="250" w:lineRule="auto"/>
        <w:rPr>
          <w:rFonts w:ascii="Times New Roman" w:hAnsi="Times New Roman"/>
          <w:b/>
          <w:bCs/>
          <w:noProof/>
          <w:color w:val="auto"/>
        </w:rPr>
      </w:pPr>
      <w:bookmarkStart w:id="30" w:name="_Toc220103438"/>
      <w:r w:rsidRPr="00807062">
        <w:rPr>
          <w:rFonts w:ascii="Times New Roman" w:hAnsi="Times New Roman"/>
          <w:b/>
          <w:bCs/>
          <w:noProof/>
          <w:color w:val="auto"/>
        </w:rPr>
        <w:t>KPI 4: Conformity deficit</w:t>
      </w:r>
      <w:bookmarkEnd w:id="30"/>
      <w:r w:rsidRPr="00807062">
        <w:rPr>
          <w:rFonts w:ascii="Times New Roman" w:hAnsi="Times New Roman"/>
          <w:b/>
          <w:bCs/>
          <w:noProof/>
          <w:color w:val="auto"/>
        </w:rPr>
        <w:t xml:space="preserve"> </w:t>
      </w:r>
    </w:p>
    <w:p w14:paraId="5EBEF9F9" w14:textId="4AEBC1DA" w:rsidR="00921913" w:rsidRPr="00486446" w:rsidRDefault="000C7489" w:rsidP="000250FA">
      <w:pPr>
        <w:pStyle w:val="Paragraph"/>
        <w:rPr>
          <w:noProof/>
          <w:lang w:val="en-IE"/>
        </w:rPr>
      </w:pPr>
      <w:r w:rsidRPr="00486446">
        <w:rPr>
          <w:noProof/>
        </w:rPr>
        <w:t>KPI 4</w:t>
      </w:r>
      <w:r w:rsidR="000250FA" w:rsidRPr="00486446">
        <w:rPr>
          <w:noProof/>
          <w:lang w:val="en-IE"/>
        </w:rPr>
        <w:t xml:space="preserve"> measures the </w:t>
      </w:r>
      <w:r w:rsidR="00BF36D6">
        <w:rPr>
          <w:noProof/>
          <w:lang w:val="en-IE"/>
        </w:rPr>
        <w:t>share</w:t>
      </w:r>
      <w:r w:rsidR="00BF36D6" w:rsidRPr="00486446">
        <w:rPr>
          <w:noProof/>
          <w:lang w:val="en-IE"/>
        </w:rPr>
        <w:t xml:space="preserve"> </w:t>
      </w:r>
      <w:r w:rsidR="000250FA" w:rsidRPr="00486446">
        <w:rPr>
          <w:noProof/>
          <w:lang w:val="en-IE"/>
        </w:rPr>
        <w:t xml:space="preserve">of transposed Single Market directives for which the Commission has launched infringement proceedings </w:t>
      </w:r>
      <w:r w:rsidR="0047444E">
        <w:rPr>
          <w:noProof/>
          <w:lang w:val="en-IE"/>
        </w:rPr>
        <w:t>due to</w:t>
      </w:r>
      <w:r w:rsidR="0047444E" w:rsidRPr="00486446">
        <w:rPr>
          <w:noProof/>
          <w:lang w:val="en-IE"/>
        </w:rPr>
        <w:t xml:space="preserve"> </w:t>
      </w:r>
      <w:r w:rsidR="000250FA" w:rsidRPr="00486446">
        <w:rPr>
          <w:noProof/>
          <w:lang w:val="en-IE"/>
        </w:rPr>
        <w:t xml:space="preserve">incorrect transposition. It is expressed as percentage of the number of Single Market directives notified to the Commission as </w:t>
      </w:r>
      <w:r w:rsidR="000250FA" w:rsidRPr="00486446">
        <w:rPr>
          <w:noProof/>
        </w:rPr>
        <w:t>‘</w:t>
      </w:r>
      <w:r w:rsidR="000250FA" w:rsidRPr="00486446">
        <w:rPr>
          <w:noProof/>
          <w:lang w:val="en-IE"/>
        </w:rPr>
        <w:t xml:space="preserve">transposed’ or </w:t>
      </w:r>
      <w:r w:rsidR="000250FA" w:rsidRPr="00486446">
        <w:rPr>
          <w:noProof/>
        </w:rPr>
        <w:t>‘</w:t>
      </w:r>
      <w:r w:rsidR="000250FA" w:rsidRPr="00486446">
        <w:rPr>
          <w:noProof/>
          <w:lang w:val="en-IE"/>
        </w:rPr>
        <w:t>not requiring any further implementation measures’.</w:t>
      </w:r>
      <w:r w:rsidR="00D82C63" w:rsidRPr="00486446">
        <w:rPr>
          <w:noProof/>
          <w:lang w:val="en-IE"/>
        </w:rPr>
        <w:t xml:space="preserve"> </w:t>
      </w:r>
    </w:p>
    <w:p w14:paraId="124B0004" w14:textId="1D6B53BE" w:rsidR="00660B0D" w:rsidRPr="00486446" w:rsidRDefault="00D82C63" w:rsidP="000C7489">
      <w:pPr>
        <w:pStyle w:val="Paragraph"/>
        <w:rPr>
          <w:noProof/>
        </w:rPr>
      </w:pPr>
      <w:r w:rsidRPr="00486446">
        <w:rPr>
          <w:noProof/>
        </w:rPr>
        <w:t xml:space="preserve">This KPI tracks progress </w:t>
      </w:r>
      <w:r w:rsidR="003F29DF" w:rsidRPr="1692C273">
        <w:rPr>
          <w:noProof/>
        </w:rPr>
        <w:t xml:space="preserve">related to </w:t>
      </w:r>
      <w:r w:rsidRPr="00486446">
        <w:rPr>
          <w:noProof/>
        </w:rPr>
        <w:t xml:space="preserve">the objective of addressing the lack </w:t>
      </w:r>
      <w:r w:rsidR="007B6535" w:rsidRPr="00486446">
        <w:rPr>
          <w:noProof/>
        </w:rPr>
        <w:t>of Single Market ownership by Member States</w:t>
      </w:r>
      <w:r w:rsidR="00D90B8D">
        <w:rPr>
          <w:noProof/>
        </w:rPr>
        <w:t xml:space="preserve"> </w:t>
      </w:r>
      <w:r w:rsidR="00D90B8D" w:rsidRPr="00486446">
        <w:rPr>
          <w:noProof/>
          <w:lang w:val="en-IE"/>
        </w:rPr>
        <w:t>–</w:t>
      </w:r>
      <w:r w:rsidRPr="00486446">
        <w:rPr>
          <w:noProof/>
        </w:rPr>
        <w:t xml:space="preserve"> one of the “Terrible Ten” </w:t>
      </w:r>
      <w:r w:rsidR="00736EEE">
        <w:rPr>
          <w:noProof/>
        </w:rPr>
        <w:t>barriers</w:t>
      </w:r>
      <w:r w:rsidRPr="00486446">
        <w:rPr>
          <w:noProof/>
        </w:rPr>
        <w:t xml:space="preserve"> </w:t>
      </w:r>
      <w:r w:rsidR="00C6332A" w:rsidRPr="00486446">
        <w:rPr>
          <w:noProof/>
        </w:rPr>
        <w:t xml:space="preserve">identified </w:t>
      </w:r>
      <w:r w:rsidRPr="00486446">
        <w:rPr>
          <w:noProof/>
        </w:rPr>
        <w:t>in the Single Market Strategy.</w:t>
      </w:r>
    </w:p>
    <w:p w14:paraId="024AC277" w14:textId="76EB6B20" w:rsidR="000C0B93" w:rsidRPr="00486446" w:rsidRDefault="00325AAB" w:rsidP="000C7489">
      <w:pPr>
        <w:pStyle w:val="Paragraph"/>
        <w:rPr>
          <w:noProof/>
        </w:rPr>
      </w:pPr>
      <w:r>
        <w:rPr>
          <w:noProof/>
        </w:rPr>
        <w:t>T</w:t>
      </w:r>
      <w:r w:rsidR="0033048D">
        <w:rPr>
          <w:noProof/>
        </w:rPr>
        <w:t xml:space="preserve">he </w:t>
      </w:r>
      <w:r w:rsidR="0026089D">
        <w:rPr>
          <w:noProof/>
        </w:rPr>
        <w:t xml:space="preserve">conformity deficit </w:t>
      </w:r>
      <w:r>
        <w:rPr>
          <w:noProof/>
        </w:rPr>
        <w:t xml:space="preserve">increased </w:t>
      </w:r>
      <w:r w:rsidR="0026089D">
        <w:rPr>
          <w:noProof/>
        </w:rPr>
        <w:t xml:space="preserve">to </w:t>
      </w:r>
      <w:r w:rsidR="00FE61A0">
        <w:rPr>
          <w:noProof/>
        </w:rPr>
        <w:t>1.1</w:t>
      </w:r>
      <w:r w:rsidR="0026089D">
        <w:rPr>
          <w:noProof/>
        </w:rPr>
        <w:t>% in 202</w:t>
      </w:r>
      <w:r w:rsidR="00B2291C">
        <w:rPr>
          <w:noProof/>
        </w:rPr>
        <w:t>5</w:t>
      </w:r>
      <w:r w:rsidR="0026089D">
        <w:rPr>
          <w:noProof/>
        </w:rPr>
        <w:t>, remain</w:t>
      </w:r>
      <w:r w:rsidR="00FE61A0">
        <w:rPr>
          <w:noProof/>
        </w:rPr>
        <w:t>ing</w:t>
      </w:r>
      <w:r w:rsidR="0026089D">
        <w:rPr>
          <w:noProof/>
        </w:rPr>
        <w:t xml:space="preserve"> much above the target of 0.5%</w:t>
      </w:r>
      <w:r w:rsidR="00FE61A0">
        <w:rPr>
          <w:noProof/>
        </w:rPr>
        <w:t>,</w:t>
      </w:r>
      <w:r w:rsidR="0026089D">
        <w:rPr>
          <w:noProof/>
        </w:rPr>
        <w:t xml:space="preserve"> with </w:t>
      </w:r>
      <w:r w:rsidR="00B2291C">
        <w:rPr>
          <w:noProof/>
        </w:rPr>
        <w:t>wide variation</w:t>
      </w:r>
      <w:r w:rsidR="0026089D">
        <w:rPr>
          <w:noProof/>
        </w:rPr>
        <w:t xml:space="preserve"> among Member States.</w:t>
      </w:r>
    </w:p>
    <w:p w14:paraId="1F1BD03F" w14:textId="458796B0" w:rsidR="005B67A6" w:rsidRDefault="005B67A6" w:rsidP="005B67A6">
      <w:pPr>
        <w:pStyle w:val="Figurecaption"/>
        <w:jc w:val="both"/>
        <w:rPr>
          <w:rFonts w:eastAsia="Times New Roman" w:cs="Times New Roman"/>
          <w:iCs w:val="0"/>
          <w:noProof/>
          <w:szCs w:val="24"/>
          <w:lang w:val="en-IE"/>
        </w:rPr>
      </w:pPr>
      <w:r w:rsidRPr="00486446">
        <w:rPr>
          <w:rFonts w:cs="Times New Roman"/>
          <w:b/>
          <w:bCs/>
          <w:noProof/>
          <w:lang w:val="en-IE"/>
        </w:rPr>
        <w:t>Figure 4a</w:t>
      </w:r>
      <w:r w:rsidRPr="00486446">
        <w:rPr>
          <w:rFonts w:cs="Times New Roman"/>
          <w:noProof/>
          <w:lang w:val="en-IE"/>
        </w:rPr>
        <w:t xml:space="preserve">: </w:t>
      </w:r>
      <w:r w:rsidRPr="00486446">
        <w:rPr>
          <w:rFonts w:eastAsia="Times New Roman" w:cs="Times New Roman"/>
          <w:iCs w:val="0"/>
          <w:noProof/>
          <w:szCs w:val="24"/>
          <w:lang w:val="en-IE"/>
        </w:rPr>
        <w:t xml:space="preserve">Conformity deficit: </w:t>
      </w:r>
      <w:r w:rsidR="00F64A2A">
        <w:rPr>
          <w:rFonts w:eastAsia="Times New Roman" w:cs="Times New Roman"/>
          <w:iCs w:val="0"/>
          <w:noProof/>
          <w:szCs w:val="24"/>
          <w:lang w:val="en-IE"/>
        </w:rPr>
        <w:t xml:space="preserve">share of </w:t>
      </w:r>
      <w:r w:rsidRPr="00486446">
        <w:rPr>
          <w:rFonts w:eastAsia="Times New Roman" w:cs="Times New Roman"/>
          <w:iCs w:val="0"/>
          <w:noProof/>
          <w:szCs w:val="24"/>
          <w:lang w:val="en-IE"/>
        </w:rPr>
        <w:t>incorrectly transposed Single Market Directives.</w:t>
      </w:r>
    </w:p>
    <w:p w14:paraId="3C393712" w14:textId="23773A71" w:rsidR="00AD27ED" w:rsidRPr="00486446" w:rsidRDefault="00463344" w:rsidP="00C22C6D">
      <w:pPr>
        <w:pStyle w:val="Figurecaption"/>
        <w:jc w:val="both"/>
        <w:rPr>
          <w:rFonts w:cs="Times New Roman"/>
          <w:b/>
          <w:bCs/>
          <w:noProof/>
          <w:lang w:val="en-IE"/>
        </w:rPr>
      </w:pPr>
      <w:r>
        <w:rPr>
          <w:noProof/>
          <w:lang w:eastAsia="en-GB"/>
        </w:rPr>
        <w:drawing>
          <wp:inline distT="0" distB="0" distL="0" distR="0" wp14:anchorId="3009BE32" wp14:editId="0CDAA356">
            <wp:extent cx="5731510" cy="2926715"/>
            <wp:effectExtent l="0" t="0" r="2540" b="6985"/>
            <wp:docPr id="100254910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49108"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5731510" cy="2926715"/>
                    </a:xfrm>
                    <a:prstGeom prst="rect">
                      <a:avLst/>
                    </a:prstGeom>
                  </pic:spPr>
                </pic:pic>
              </a:graphicData>
            </a:graphic>
          </wp:inline>
        </w:drawing>
      </w:r>
    </w:p>
    <w:p w14:paraId="36AC50E4" w14:textId="694755E4" w:rsidR="00A054E9" w:rsidRPr="00486446" w:rsidRDefault="00BE6C5B" w:rsidP="00662A04">
      <w:pPr>
        <w:jc w:val="both"/>
        <w:rPr>
          <w:rFonts w:ascii="Times New Roman" w:hAnsi="Times New Roman" w:cs="Times New Roman"/>
          <w:iCs/>
          <w:noProof/>
          <w:sz w:val="24"/>
          <w:szCs w:val="18"/>
          <w:lang w:val="en-IE"/>
        </w:rPr>
      </w:pPr>
      <w:bookmarkStart w:id="31" w:name="_Toc183515524"/>
      <w:bookmarkStart w:id="32" w:name="_Toc185237874"/>
      <w:bookmarkStart w:id="33" w:name="_Toc185239877"/>
      <w:bookmarkStart w:id="34" w:name="_Toc185264643"/>
      <w:bookmarkStart w:id="35" w:name="_Toc185525736"/>
      <w:bookmarkStart w:id="36" w:name="_Toc185591276"/>
      <w:bookmarkEnd w:id="21"/>
      <w:bookmarkEnd w:id="22"/>
      <w:bookmarkEnd w:id="23"/>
      <w:bookmarkEnd w:id="24"/>
      <w:bookmarkEnd w:id="25"/>
      <w:bookmarkEnd w:id="26"/>
      <w:r w:rsidRPr="00486446">
        <w:rPr>
          <w:rFonts w:ascii="Times New Roman" w:hAnsi="Times New Roman" w:cs="Times New Roman"/>
          <w:b/>
          <w:bCs/>
          <w:iCs/>
          <w:noProof/>
          <w:sz w:val="24"/>
          <w:szCs w:val="18"/>
          <w:lang w:val="en-IE"/>
        </w:rPr>
        <w:t>Figure 4</w:t>
      </w:r>
      <w:r w:rsidR="00945A14" w:rsidRPr="00486446">
        <w:rPr>
          <w:rFonts w:ascii="Times New Roman" w:hAnsi="Times New Roman" w:cs="Times New Roman"/>
          <w:b/>
          <w:bCs/>
          <w:iCs/>
          <w:noProof/>
          <w:sz w:val="24"/>
          <w:szCs w:val="18"/>
          <w:lang w:val="en-IE"/>
        </w:rPr>
        <w:t>b</w:t>
      </w:r>
      <w:r w:rsidRPr="00486446">
        <w:rPr>
          <w:rFonts w:ascii="Times New Roman" w:hAnsi="Times New Roman" w:cs="Times New Roman"/>
          <w:iCs/>
          <w:noProof/>
          <w:sz w:val="24"/>
          <w:szCs w:val="18"/>
          <w:lang w:val="en-IE"/>
        </w:rPr>
        <w:t>:</w:t>
      </w:r>
      <w:r w:rsidR="002437A5" w:rsidRPr="00486446">
        <w:rPr>
          <w:rFonts w:ascii="Times New Roman" w:hAnsi="Times New Roman" w:cs="Times New Roman"/>
          <w:iCs/>
          <w:noProof/>
          <w:sz w:val="24"/>
          <w:szCs w:val="18"/>
          <w:lang w:val="en-IE"/>
        </w:rPr>
        <w:t xml:space="preserve"> </w:t>
      </w:r>
      <w:r w:rsidR="00135371">
        <w:rPr>
          <w:rFonts w:ascii="Times New Roman" w:hAnsi="Times New Roman" w:cs="Times New Roman"/>
          <w:iCs/>
          <w:noProof/>
          <w:sz w:val="24"/>
          <w:szCs w:val="18"/>
          <w:lang w:val="en-IE"/>
        </w:rPr>
        <w:t xml:space="preserve">Evolution of the </w:t>
      </w:r>
      <w:r w:rsidR="002437A5" w:rsidRPr="00486446">
        <w:rPr>
          <w:rFonts w:ascii="Times New Roman" w:hAnsi="Times New Roman" w:cs="Times New Roman"/>
          <w:iCs/>
          <w:noProof/>
          <w:sz w:val="24"/>
          <w:szCs w:val="18"/>
          <w:lang w:val="en-IE"/>
        </w:rPr>
        <w:t>EU average conformity deficit.</w:t>
      </w:r>
      <w:r w:rsidRPr="00486446">
        <w:rPr>
          <w:rFonts w:ascii="Times New Roman" w:hAnsi="Times New Roman" w:cs="Times New Roman"/>
          <w:iCs/>
          <w:noProof/>
          <w:sz w:val="24"/>
          <w:szCs w:val="18"/>
          <w:lang w:val="en-IE"/>
        </w:rPr>
        <w:t xml:space="preserve"> </w:t>
      </w:r>
    </w:p>
    <w:p w14:paraId="47B27260" w14:textId="387A2B15" w:rsidR="00691E40" w:rsidRPr="00C80077" w:rsidRDefault="00EB794E" w:rsidP="005B67A6">
      <w:pPr>
        <w:jc w:val="center"/>
        <w:rPr>
          <w:noProof/>
        </w:rPr>
      </w:pPr>
      <w:r>
        <w:rPr>
          <w:noProof/>
          <w:lang w:eastAsia="en-GB"/>
        </w:rPr>
        <w:drawing>
          <wp:inline distT="0" distB="0" distL="0" distR="0" wp14:anchorId="2E929616" wp14:editId="7258AC6D">
            <wp:extent cx="4595854" cy="2592742"/>
            <wp:effectExtent l="0" t="0" r="0" b="0"/>
            <wp:docPr id="6016650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65036"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4601923" cy="2596166"/>
                    </a:xfrm>
                    <a:prstGeom prst="rect">
                      <a:avLst/>
                    </a:prstGeom>
                  </pic:spPr>
                </pic:pic>
              </a:graphicData>
            </a:graphic>
          </wp:inline>
        </w:drawing>
      </w:r>
      <w:r w:rsidR="00C80077">
        <w:rPr>
          <w:noProof/>
        </w:rPr>
        <w:t xml:space="preserve"> </w:t>
      </w:r>
    </w:p>
    <w:p w14:paraId="4C8DE524" w14:textId="70B6FFAA" w:rsidR="00FD0882" w:rsidRDefault="00691E40" w:rsidP="00FD0882">
      <w:pPr>
        <w:rPr>
          <w:rFonts w:ascii="Times New Roman" w:eastAsia="MS Gothic" w:hAnsi="Times New Roman" w:cs="Times New Roman"/>
          <w:b/>
          <w:bCs/>
          <w:noProof/>
          <w:sz w:val="24"/>
          <w:szCs w:val="24"/>
        </w:rPr>
      </w:pPr>
      <w:r w:rsidRPr="00486446">
        <w:rPr>
          <w:rFonts w:ascii="Times New Roman" w:hAnsi="Times New Roman" w:cs="Times New Roman"/>
          <w:noProof/>
          <w:sz w:val="20"/>
          <w:szCs w:val="20"/>
          <w:lang w:val="en-IE"/>
        </w:rPr>
        <w:t xml:space="preserve">Source: European Commission </w:t>
      </w:r>
      <w:r w:rsidR="003831C9">
        <w:rPr>
          <w:rFonts w:ascii="Times New Roman" w:hAnsi="Times New Roman" w:cs="Times New Roman"/>
          <w:noProof/>
          <w:sz w:val="20"/>
          <w:szCs w:val="20"/>
          <w:lang w:val="en-IE"/>
        </w:rPr>
        <w:t>services</w:t>
      </w:r>
      <w:r w:rsidR="00FD0882">
        <w:rPr>
          <w:rFonts w:ascii="Times New Roman" w:hAnsi="Times New Roman"/>
          <w:b/>
          <w:bCs/>
          <w:noProof/>
        </w:rPr>
        <w:br w:type="page"/>
      </w:r>
    </w:p>
    <w:p w14:paraId="628920BD" w14:textId="273C3A1B" w:rsidR="00C1173C" w:rsidRPr="00807062" w:rsidRDefault="00F50AF8" w:rsidP="0065549F">
      <w:pPr>
        <w:pStyle w:val="Heading3"/>
        <w:spacing w:before="0" w:after="160" w:line="250" w:lineRule="auto"/>
        <w:rPr>
          <w:rFonts w:ascii="Times New Roman" w:hAnsi="Times New Roman"/>
          <w:b/>
          <w:bCs/>
          <w:noProof/>
          <w:color w:val="auto"/>
        </w:rPr>
      </w:pPr>
      <w:bookmarkStart w:id="37" w:name="_Toc220103439"/>
      <w:r w:rsidRPr="00807062">
        <w:rPr>
          <w:rFonts w:ascii="Times New Roman" w:hAnsi="Times New Roman"/>
          <w:b/>
          <w:bCs/>
          <w:noProof/>
          <w:color w:val="auto"/>
        </w:rPr>
        <w:t xml:space="preserve">KPI </w:t>
      </w:r>
      <w:r w:rsidR="000250FA" w:rsidRPr="00807062">
        <w:rPr>
          <w:rFonts w:ascii="Times New Roman" w:hAnsi="Times New Roman"/>
          <w:b/>
          <w:bCs/>
          <w:noProof/>
          <w:color w:val="auto"/>
        </w:rPr>
        <w:t>5</w:t>
      </w:r>
      <w:r w:rsidRPr="00807062">
        <w:rPr>
          <w:rFonts w:ascii="Times New Roman" w:hAnsi="Times New Roman"/>
          <w:b/>
          <w:bCs/>
          <w:noProof/>
          <w:color w:val="auto"/>
        </w:rPr>
        <w:t>: Ease of regulatory compliance</w:t>
      </w:r>
      <w:bookmarkEnd w:id="31"/>
      <w:bookmarkEnd w:id="32"/>
      <w:bookmarkEnd w:id="33"/>
      <w:bookmarkEnd w:id="34"/>
      <w:bookmarkEnd w:id="35"/>
      <w:bookmarkEnd w:id="36"/>
      <w:bookmarkEnd w:id="37"/>
    </w:p>
    <w:p w14:paraId="6F8AFE62" w14:textId="6E7C88C5" w:rsidR="00AE212D" w:rsidRPr="00486446" w:rsidRDefault="007A3463" w:rsidP="001D2CC2">
      <w:pPr>
        <w:pStyle w:val="Paragraph"/>
        <w:rPr>
          <w:noProof/>
          <w:lang w:val="en-IE"/>
        </w:rPr>
      </w:pPr>
      <w:r w:rsidRPr="00486446">
        <w:rPr>
          <w:noProof/>
          <w:lang w:val="en-IE"/>
        </w:rPr>
        <w:t xml:space="preserve">KPI 5 measures companies’ perceived ease of regulatory compliance by </w:t>
      </w:r>
      <w:r w:rsidR="00F50AF8" w:rsidRPr="00486446">
        <w:rPr>
          <w:noProof/>
          <w:lang w:val="en-IE"/>
        </w:rPr>
        <w:t xml:space="preserve">tracking </w:t>
      </w:r>
      <w:r w:rsidR="009125F1" w:rsidRPr="00486446">
        <w:rPr>
          <w:noProof/>
          <w:lang w:val="en-IE"/>
        </w:rPr>
        <w:t xml:space="preserve">the results of </w:t>
      </w:r>
      <w:r w:rsidR="00F50AF8" w:rsidRPr="00486446">
        <w:rPr>
          <w:noProof/>
          <w:lang w:val="en-IE"/>
        </w:rPr>
        <w:t xml:space="preserve">replies to the </w:t>
      </w:r>
      <w:r w:rsidR="00371CB3" w:rsidRPr="00486446">
        <w:rPr>
          <w:noProof/>
          <w:lang w:val="en-IE"/>
        </w:rPr>
        <w:t>following</w:t>
      </w:r>
      <w:r w:rsidR="00F50AF8" w:rsidRPr="00486446">
        <w:rPr>
          <w:noProof/>
          <w:lang w:val="en-IE"/>
        </w:rPr>
        <w:t xml:space="preserve"> survey question: </w:t>
      </w:r>
      <w:r w:rsidR="00CF0120" w:rsidRPr="00486446">
        <w:rPr>
          <w:noProof/>
        </w:rPr>
        <w:t>‘</w:t>
      </w:r>
      <w:r w:rsidR="00F50AF8" w:rsidRPr="00486446">
        <w:rPr>
          <w:noProof/>
          <w:lang w:val="en-IE"/>
        </w:rPr>
        <w:t>In your country, how easy is it for companies to comply with government regulat</w:t>
      </w:r>
      <w:r w:rsidR="0098122A">
        <w:rPr>
          <w:noProof/>
          <w:lang w:val="en-IE"/>
        </w:rPr>
        <w:t>ory</w:t>
      </w:r>
      <w:r w:rsidR="00F50AF8" w:rsidRPr="00486446">
        <w:rPr>
          <w:noProof/>
          <w:lang w:val="en-IE"/>
        </w:rPr>
        <w:t xml:space="preserve"> and administrative requirements (e.g. permits, reporting, legislation) (1 = Overly complex; 7 = Extremely easy)</w:t>
      </w:r>
      <w:r w:rsidR="00CF0120" w:rsidRPr="00486446">
        <w:rPr>
          <w:noProof/>
          <w:lang w:val="en-IE"/>
        </w:rPr>
        <w:t>?’</w:t>
      </w:r>
      <w:r w:rsidR="00F50AF8" w:rsidRPr="00486446">
        <w:rPr>
          <w:noProof/>
          <w:lang w:val="en-IE"/>
        </w:rPr>
        <w:t xml:space="preserve"> Higher values indicate a better performance, </w:t>
      </w:r>
      <w:r w:rsidR="00F75DBB" w:rsidRPr="00486446">
        <w:rPr>
          <w:noProof/>
          <w:lang w:val="en-IE"/>
        </w:rPr>
        <w:t xml:space="preserve">i.e. </w:t>
      </w:r>
      <w:r w:rsidR="00F50AF8" w:rsidRPr="00486446">
        <w:rPr>
          <w:noProof/>
          <w:lang w:val="en-IE"/>
        </w:rPr>
        <w:t>less burdensome regulation.</w:t>
      </w:r>
      <w:r w:rsidR="00723709" w:rsidRPr="00486446">
        <w:rPr>
          <w:noProof/>
          <w:lang w:val="en-IE"/>
        </w:rPr>
        <w:t xml:space="preserve"> </w:t>
      </w:r>
    </w:p>
    <w:p w14:paraId="198FF063" w14:textId="11CA08D2" w:rsidR="00921913" w:rsidRPr="00486446" w:rsidRDefault="00AE212D" w:rsidP="001D2CC2">
      <w:pPr>
        <w:pStyle w:val="Paragraph"/>
        <w:rPr>
          <w:noProof/>
        </w:rPr>
      </w:pPr>
      <w:r w:rsidRPr="00486446">
        <w:rPr>
          <w:noProof/>
        </w:rPr>
        <w:t xml:space="preserve">This KPI tracks progress </w:t>
      </w:r>
      <w:r w:rsidR="00E90461" w:rsidRPr="1692C273">
        <w:rPr>
          <w:noProof/>
        </w:rPr>
        <w:t xml:space="preserve">related to </w:t>
      </w:r>
      <w:r w:rsidRPr="00486446">
        <w:rPr>
          <w:noProof/>
        </w:rPr>
        <w:t xml:space="preserve">the objective of easing business operations, since complicated business establishment and operations due to regulation is one of the “Terrible Ten” </w:t>
      </w:r>
      <w:r w:rsidR="00736EEE">
        <w:rPr>
          <w:noProof/>
        </w:rPr>
        <w:t xml:space="preserve">barriers </w:t>
      </w:r>
      <w:r w:rsidR="00816B52" w:rsidRPr="00486446">
        <w:rPr>
          <w:noProof/>
        </w:rPr>
        <w:t xml:space="preserve">identified </w:t>
      </w:r>
      <w:r w:rsidRPr="00486446">
        <w:rPr>
          <w:noProof/>
        </w:rPr>
        <w:t>in the Single Market Strategy.</w:t>
      </w:r>
    </w:p>
    <w:p w14:paraId="11BD8C0E" w14:textId="4E9BD373" w:rsidR="000C0B93" w:rsidRPr="00C80077" w:rsidRDefault="009B394C" w:rsidP="001D2CC2">
      <w:pPr>
        <w:pStyle w:val="Paragraph"/>
        <w:rPr>
          <w:noProof/>
          <w:color w:val="000000" w:themeColor="text1"/>
          <w:lang w:val="en-IE"/>
        </w:rPr>
      </w:pPr>
      <w:r>
        <w:rPr>
          <w:noProof/>
          <w:color w:val="000000" w:themeColor="text1"/>
          <w:lang w:val="en-IE"/>
        </w:rPr>
        <w:t xml:space="preserve">According to the World Economic Forum the ease of regulatory compliance in the EU has been broadly stable over </w:t>
      </w:r>
      <w:r w:rsidR="002944F1">
        <w:rPr>
          <w:noProof/>
          <w:color w:val="000000" w:themeColor="text1"/>
          <w:lang w:val="en-IE"/>
        </w:rPr>
        <w:t xml:space="preserve">the </w:t>
      </w:r>
      <w:r>
        <w:rPr>
          <w:noProof/>
          <w:color w:val="000000" w:themeColor="text1"/>
          <w:lang w:val="en-IE"/>
        </w:rPr>
        <w:t xml:space="preserve">past years. </w:t>
      </w:r>
    </w:p>
    <w:p w14:paraId="5F784C5E" w14:textId="6D45FF85" w:rsidR="00C1173C" w:rsidRDefault="00F50AF8" w:rsidP="006811B4">
      <w:pPr>
        <w:pStyle w:val="Figurecaption"/>
        <w:jc w:val="both"/>
        <w:rPr>
          <w:rFonts w:eastAsia="Times New Roman" w:cs="Times New Roman"/>
          <w:iCs w:val="0"/>
          <w:noProof/>
          <w:szCs w:val="24"/>
          <w:lang w:val="en-IE"/>
        </w:rPr>
      </w:pPr>
      <w:r w:rsidRPr="00486446">
        <w:rPr>
          <w:rFonts w:cs="Times New Roman"/>
          <w:b/>
          <w:bCs/>
          <w:noProof/>
          <w:lang w:val="en-IE"/>
        </w:rPr>
        <w:t xml:space="preserve">Figure </w:t>
      </w:r>
      <w:r w:rsidR="00D907DE" w:rsidRPr="00486446">
        <w:rPr>
          <w:rFonts w:cs="Times New Roman"/>
          <w:b/>
          <w:bCs/>
          <w:noProof/>
          <w:lang w:val="en-IE"/>
        </w:rPr>
        <w:t>5</w:t>
      </w:r>
      <w:r w:rsidRPr="00486446">
        <w:rPr>
          <w:rFonts w:cs="Times New Roman"/>
          <w:noProof/>
          <w:lang w:val="en-IE"/>
        </w:rPr>
        <w:t xml:space="preserve">: </w:t>
      </w:r>
      <w:r w:rsidRPr="00486446">
        <w:rPr>
          <w:rFonts w:eastAsia="Times New Roman" w:cs="Times New Roman"/>
          <w:iCs w:val="0"/>
          <w:noProof/>
          <w:szCs w:val="24"/>
          <w:lang w:val="en-IE"/>
        </w:rPr>
        <w:t>Ease of regulatory compliance</w:t>
      </w:r>
      <w:r w:rsidR="00501CCF" w:rsidRPr="00486446">
        <w:rPr>
          <w:rFonts w:eastAsia="Times New Roman" w:cs="Times New Roman"/>
          <w:iCs w:val="0"/>
          <w:noProof/>
          <w:szCs w:val="24"/>
          <w:lang w:val="en-IE"/>
        </w:rPr>
        <w:t>: Companies’ perception of the ease of doing business.</w:t>
      </w:r>
    </w:p>
    <w:p w14:paraId="3CDD4B64" w14:textId="77456625" w:rsidR="0077771E" w:rsidRPr="00486446" w:rsidRDefault="00655D40" w:rsidP="00C80077">
      <w:pPr>
        <w:pStyle w:val="Figurecaption"/>
        <w:jc w:val="center"/>
        <w:rPr>
          <w:rFonts w:eastAsia="Times New Roman" w:cs="Times New Roman"/>
          <w:iCs w:val="0"/>
          <w:noProof/>
          <w:szCs w:val="24"/>
          <w:lang w:val="en-IE"/>
        </w:rPr>
      </w:pPr>
      <w:r>
        <w:rPr>
          <w:noProof/>
          <w:lang w:eastAsia="en-GB"/>
        </w:rPr>
        <w:drawing>
          <wp:inline distT="0" distB="0" distL="0" distR="0" wp14:anchorId="3C6C9380" wp14:editId="2C636B4B">
            <wp:extent cx="4791075" cy="3181350"/>
            <wp:effectExtent l="0" t="0" r="9525" b="0"/>
            <wp:docPr id="14686844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684425"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4791075" cy="3181350"/>
                    </a:xfrm>
                    <a:prstGeom prst="rect">
                      <a:avLst/>
                    </a:prstGeom>
                  </pic:spPr>
                </pic:pic>
              </a:graphicData>
            </a:graphic>
          </wp:inline>
        </w:drawing>
      </w:r>
    </w:p>
    <w:p w14:paraId="7243E368" w14:textId="512D737C" w:rsidR="00D907DE" w:rsidRPr="00486446" w:rsidRDefault="00D907DE" w:rsidP="00646274">
      <w:pPr>
        <w:pStyle w:val="Source"/>
        <w:jc w:val="center"/>
        <w:rPr>
          <w:noProof/>
          <w:color w:val="auto"/>
          <w:lang w:val="en-IE"/>
        </w:rPr>
      </w:pPr>
    </w:p>
    <w:p w14:paraId="6D7B1547" w14:textId="63C76A23" w:rsidR="00C1173C" w:rsidRPr="00486446" w:rsidRDefault="00F50AF8">
      <w:pPr>
        <w:pStyle w:val="Source"/>
        <w:rPr>
          <w:noProof/>
          <w:color w:val="auto"/>
          <w:lang w:val="en-IE"/>
        </w:rPr>
      </w:pPr>
      <w:r w:rsidRPr="00486446">
        <w:rPr>
          <w:noProof/>
          <w:color w:val="auto"/>
          <w:lang w:val="en-IE"/>
        </w:rPr>
        <w:t>Source:</w:t>
      </w:r>
      <w:r w:rsidR="0017552F" w:rsidRPr="00486446">
        <w:rPr>
          <w:noProof/>
          <w:color w:val="auto"/>
          <w:lang w:val="en-IE"/>
        </w:rPr>
        <w:t xml:space="preserve"> World Economic Forum</w:t>
      </w:r>
      <w:r w:rsidR="003C3039">
        <w:rPr>
          <w:noProof/>
          <w:color w:val="auto"/>
          <w:lang w:val="en-IE"/>
        </w:rPr>
        <w:t xml:space="preserve">, </w:t>
      </w:r>
      <w:r w:rsidR="003C3039" w:rsidRPr="003C3039">
        <w:rPr>
          <w:noProof/>
          <w:color w:val="auto"/>
          <w:lang w:val="en-IE"/>
        </w:rPr>
        <w:t>Executive Opinion Survey</w:t>
      </w:r>
      <w:r w:rsidR="0017552F" w:rsidRPr="00486446">
        <w:rPr>
          <w:noProof/>
          <w:color w:val="auto"/>
          <w:lang w:val="en-IE"/>
        </w:rPr>
        <w:t xml:space="preserve"> (2025)</w:t>
      </w:r>
    </w:p>
    <w:p w14:paraId="105AA2CF" w14:textId="3CBB9AE7" w:rsidR="000225A5" w:rsidRPr="00486446" w:rsidRDefault="000225A5" w:rsidP="000225A5">
      <w:pPr>
        <w:pStyle w:val="Paragraph"/>
        <w:spacing w:line="250" w:lineRule="auto"/>
        <w:rPr>
          <w:noProof/>
          <w:kern w:val="0"/>
          <w:lang w:val="en-IE" w:eastAsia="en-IE"/>
        </w:rPr>
      </w:pPr>
      <w:r w:rsidRPr="000225A5">
        <w:rPr>
          <w:noProof/>
          <w:kern w:val="0"/>
          <w:lang w:val="en-IE" w:eastAsia="en-IE"/>
        </w:rPr>
        <w:t>National data (</w:t>
      </w:r>
      <w:r w:rsidRPr="0065549F">
        <w:rPr>
          <w:noProof/>
          <w:kern w:val="0"/>
          <w:lang w:val="en-IE" w:eastAsia="en-IE"/>
        </w:rPr>
        <w:t>2025)</w:t>
      </w:r>
    </w:p>
    <w:tbl>
      <w:tblPr>
        <w:tblStyle w:val="TableGrid"/>
        <w:tblW w:w="0" w:type="auto"/>
        <w:jc w:val="center"/>
        <w:tblLook w:val="04A0" w:firstRow="1" w:lastRow="0" w:firstColumn="1" w:lastColumn="0" w:noHBand="0" w:noVBand="1"/>
      </w:tblPr>
      <w:tblGrid>
        <w:gridCol w:w="643"/>
        <w:gridCol w:w="644"/>
        <w:gridCol w:w="643"/>
        <w:gridCol w:w="643"/>
        <w:gridCol w:w="643"/>
        <w:gridCol w:w="643"/>
        <w:gridCol w:w="643"/>
        <w:gridCol w:w="643"/>
        <w:gridCol w:w="643"/>
        <w:gridCol w:w="643"/>
        <w:gridCol w:w="643"/>
        <w:gridCol w:w="643"/>
        <w:gridCol w:w="643"/>
        <w:gridCol w:w="656"/>
      </w:tblGrid>
      <w:tr w:rsidR="000225A5" w:rsidRPr="001C633D" w14:paraId="7573195B" w14:textId="77777777" w:rsidTr="000225A5">
        <w:trPr>
          <w:trHeight w:val="300"/>
          <w:jc w:val="center"/>
        </w:trPr>
        <w:tc>
          <w:tcPr>
            <w:tcW w:w="643" w:type="dxa"/>
            <w:shd w:val="clear" w:color="auto" w:fill="D9E2F3" w:themeFill="accent1" w:themeFillTint="33"/>
            <w:vAlign w:val="center"/>
            <w:hideMark/>
          </w:tcPr>
          <w:p w14:paraId="00248B30" w14:textId="77777777" w:rsidR="000225A5" w:rsidRPr="00305135" w:rsidRDefault="000225A5">
            <w:pPr>
              <w:pStyle w:val="Paragraph"/>
              <w:spacing w:after="0" w:line="240" w:lineRule="auto"/>
              <w:jc w:val="center"/>
              <w:rPr>
                <w:noProof/>
                <w:lang w:val="en-IE"/>
              </w:rPr>
            </w:pPr>
            <w:r w:rsidRPr="00305135">
              <w:rPr>
                <w:noProof/>
                <w:lang w:val="en-IE"/>
              </w:rPr>
              <w:t xml:space="preserve">AT </w:t>
            </w:r>
          </w:p>
        </w:tc>
        <w:tc>
          <w:tcPr>
            <w:tcW w:w="644" w:type="dxa"/>
            <w:shd w:val="clear" w:color="auto" w:fill="D9E2F3" w:themeFill="accent1" w:themeFillTint="33"/>
            <w:vAlign w:val="center"/>
            <w:hideMark/>
          </w:tcPr>
          <w:p w14:paraId="14FC5574" w14:textId="77777777" w:rsidR="000225A5" w:rsidRPr="00305135" w:rsidRDefault="000225A5">
            <w:pPr>
              <w:pStyle w:val="Paragraph"/>
              <w:spacing w:after="0" w:line="240" w:lineRule="auto"/>
              <w:jc w:val="center"/>
              <w:rPr>
                <w:noProof/>
                <w:lang w:val="en-IE"/>
              </w:rPr>
            </w:pPr>
            <w:r w:rsidRPr="00305135">
              <w:rPr>
                <w:noProof/>
                <w:lang w:val="en-IE"/>
              </w:rPr>
              <w:t>BE</w:t>
            </w:r>
          </w:p>
        </w:tc>
        <w:tc>
          <w:tcPr>
            <w:tcW w:w="643" w:type="dxa"/>
            <w:shd w:val="clear" w:color="auto" w:fill="D9E2F3" w:themeFill="accent1" w:themeFillTint="33"/>
            <w:vAlign w:val="center"/>
            <w:hideMark/>
          </w:tcPr>
          <w:p w14:paraId="2F6712A4" w14:textId="77777777" w:rsidR="000225A5" w:rsidRPr="00305135" w:rsidRDefault="000225A5">
            <w:pPr>
              <w:pStyle w:val="Paragraph"/>
              <w:spacing w:after="0" w:line="240" w:lineRule="auto"/>
              <w:jc w:val="center"/>
              <w:rPr>
                <w:noProof/>
                <w:lang w:val="en-IE"/>
              </w:rPr>
            </w:pPr>
            <w:r w:rsidRPr="00305135">
              <w:rPr>
                <w:noProof/>
                <w:lang w:val="en-IE"/>
              </w:rPr>
              <w:t>BG</w:t>
            </w:r>
          </w:p>
        </w:tc>
        <w:tc>
          <w:tcPr>
            <w:tcW w:w="643" w:type="dxa"/>
            <w:shd w:val="clear" w:color="auto" w:fill="D9E2F3" w:themeFill="accent1" w:themeFillTint="33"/>
            <w:vAlign w:val="center"/>
            <w:hideMark/>
          </w:tcPr>
          <w:p w14:paraId="2042FB12" w14:textId="77777777" w:rsidR="000225A5" w:rsidRPr="00305135" w:rsidRDefault="000225A5">
            <w:pPr>
              <w:pStyle w:val="Paragraph"/>
              <w:spacing w:after="0" w:line="240" w:lineRule="auto"/>
              <w:jc w:val="center"/>
              <w:rPr>
                <w:noProof/>
                <w:lang w:val="en-IE"/>
              </w:rPr>
            </w:pPr>
            <w:r w:rsidRPr="00305135">
              <w:rPr>
                <w:noProof/>
                <w:lang w:val="en-IE"/>
              </w:rPr>
              <w:t>CY</w:t>
            </w:r>
          </w:p>
        </w:tc>
        <w:tc>
          <w:tcPr>
            <w:tcW w:w="643" w:type="dxa"/>
            <w:shd w:val="clear" w:color="auto" w:fill="D9E2F3" w:themeFill="accent1" w:themeFillTint="33"/>
            <w:vAlign w:val="center"/>
            <w:hideMark/>
          </w:tcPr>
          <w:p w14:paraId="44A6B742" w14:textId="77777777" w:rsidR="000225A5" w:rsidRPr="00305135" w:rsidRDefault="000225A5">
            <w:pPr>
              <w:pStyle w:val="Paragraph"/>
              <w:spacing w:after="0" w:line="240" w:lineRule="auto"/>
              <w:jc w:val="center"/>
              <w:rPr>
                <w:noProof/>
                <w:lang w:val="en-IE"/>
              </w:rPr>
            </w:pPr>
            <w:r w:rsidRPr="00305135">
              <w:rPr>
                <w:noProof/>
                <w:lang w:val="en-IE"/>
              </w:rPr>
              <w:t>CZ</w:t>
            </w:r>
          </w:p>
        </w:tc>
        <w:tc>
          <w:tcPr>
            <w:tcW w:w="643" w:type="dxa"/>
            <w:shd w:val="clear" w:color="auto" w:fill="D9E2F3" w:themeFill="accent1" w:themeFillTint="33"/>
            <w:vAlign w:val="center"/>
            <w:hideMark/>
          </w:tcPr>
          <w:p w14:paraId="4AD13106" w14:textId="77777777" w:rsidR="000225A5" w:rsidRPr="00305135" w:rsidRDefault="000225A5">
            <w:pPr>
              <w:pStyle w:val="Paragraph"/>
              <w:spacing w:after="0" w:line="240" w:lineRule="auto"/>
              <w:jc w:val="center"/>
              <w:rPr>
                <w:noProof/>
                <w:lang w:val="en-IE"/>
              </w:rPr>
            </w:pPr>
            <w:r w:rsidRPr="00305135">
              <w:rPr>
                <w:noProof/>
                <w:lang w:val="en-IE"/>
              </w:rPr>
              <w:t>DE</w:t>
            </w:r>
          </w:p>
        </w:tc>
        <w:tc>
          <w:tcPr>
            <w:tcW w:w="643" w:type="dxa"/>
            <w:shd w:val="clear" w:color="auto" w:fill="D9E2F3" w:themeFill="accent1" w:themeFillTint="33"/>
            <w:vAlign w:val="center"/>
            <w:hideMark/>
          </w:tcPr>
          <w:p w14:paraId="5652890C" w14:textId="77777777" w:rsidR="000225A5" w:rsidRPr="00305135" w:rsidRDefault="000225A5">
            <w:pPr>
              <w:pStyle w:val="Paragraph"/>
              <w:spacing w:after="0" w:line="240" w:lineRule="auto"/>
              <w:jc w:val="center"/>
              <w:rPr>
                <w:noProof/>
                <w:lang w:val="en-IE"/>
              </w:rPr>
            </w:pPr>
            <w:r w:rsidRPr="00305135">
              <w:rPr>
                <w:noProof/>
                <w:lang w:val="en-IE"/>
              </w:rPr>
              <w:t>DK</w:t>
            </w:r>
          </w:p>
        </w:tc>
        <w:tc>
          <w:tcPr>
            <w:tcW w:w="643" w:type="dxa"/>
            <w:shd w:val="clear" w:color="auto" w:fill="D9E2F3" w:themeFill="accent1" w:themeFillTint="33"/>
            <w:vAlign w:val="center"/>
            <w:hideMark/>
          </w:tcPr>
          <w:p w14:paraId="37607158" w14:textId="77777777" w:rsidR="000225A5" w:rsidRPr="00305135" w:rsidRDefault="000225A5">
            <w:pPr>
              <w:pStyle w:val="Paragraph"/>
              <w:spacing w:after="0" w:line="240" w:lineRule="auto"/>
              <w:jc w:val="center"/>
              <w:rPr>
                <w:noProof/>
                <w:lang w:val="en-IE"/>
              </w:rPr>
            </w:pPr>
            <w:r w:rsidRPr="00305135">
              <w:rPr>
                <w:noProof/>
                <w:lang w:val="en-IE"/>
              </w:rPr>
              <w:t>EE</w:t>
            </w:r>
          </w:p>
        </w:tc>
        <w:tc>
          <w:tcPr>
            <w:tcW w:w="643" w:type="dxa"/>
            <w:shd w:val="clear" w:color="auto" w:fill="D9E2F3" w:themeFill="accent1" w:themeFillTint="33"/>
            <w:vAlign w:val="center"/>
            <w:hideMark/>
          </w:tcPr>
          <w:p w14:paraId="09E90A99" w14:textId="77777777" w:rsidR="000225A5" w:rsidRPr="00305135" w:rsidRDefault="000225A5">
            <w:pPr>
              <w:pStyle w:val="Paragraph"/>
              <w:spacing w:after="0" w:line="240" w:lineRule="auto"/>
              <w:jc w:val="center"/>
              <w:rPr>
                <w:noProof/>
                <w:lang w:val="en-IE"/>
              </w:rPr>
            </w:pPr>
            <w:r w:rsidRPr="00305135">
              <w:rPr>
                <w:noProof/>
                <w:lang w:val="en-IE"/>
              </w:rPr>
              <w:t>EL</w:t>
            </w:r>
          </w:p>
        </w:tc>
        <w:tc>
          <w:tcPr>
            <w:tcW w:w="643" w:type="dxa"/>
            <w:shd w:val="clear" w:color="auto" w:fill="D9E2F3" w:themeFill="accent1" w:themeFillTint="33"/>
            <w:vAlign w:val="center"/>
            <w:hideMark/>
          </w:tcPr>
          <w:p w14:paraId="4C4849F3" w14:textId="77777777" w:rsidR="000225A5" w:rsidRPr="00305135" w:rsidRDefault="000225A5">
            <w:pPr>
              <w:pStyle w:val="Paragraph"/>
              <w:spacing w:after="0" w:line="240" w:lineRule="auto"/>
              <w:jc w:val="center"/>
              <w:rPr>
                <w:noProof/>
                <w:lang w:val="en-IE"/>
              </w:rPr>
            </w:pPr>
            <w:r w:rsidRPr="00305135">
              <w:rPr>
                <w:noProof/>
                <w:lang w:val="en-IE"/>
              </w:rPr>
              <w:t>ES</w:t>
            </w:r>
          </w:p>
        </w:tc>
        <w:tc>
          <w:tcPr>
            <w:tcW w:w="643" w:type="dxa"/>
            <w:shd w:val="clear" w:color="auto" w:fill="D9E2F3" w:themeFill="accent1" w:themeFillTint="33"/>
            <w:vAlign w:val="center"/>
          </w:tcPr>
          <w:p w14:paraId="0C49DC3A" w14:textId="77777777" w:rsidR="000225A5" w:rsidRPr="00305135" w:rsidRDefault="000225A5">
            <w:pPr>
              <w:pStyle w:val="Paragraph"/>
              <w:spacing w:after="0" w:line="240" w:lineRule="auto"/>
              <w:jc w:val="center"/>
              <w:rPr>
                <w:noProof/>
                <w:lang w:val="en-IE"/>
              </w:rPr>
            </w:pPr>
            <w:r w:rsidRPr="00305135">
              <w:rPr>
                <w:noProof/>
                <w:lang w:val="en-IE"/>
              </w:rPr>
              <w:t>FI</w:t>
            </w:r>
          </w:p>
        </w:tc>
        <w:tc>
          <w:tcPr>
            <w:tcW w:w="643" w:type="dxa"/>
            <w:shd w:val="clear" w:color="auto" w:fill="D9E2F3" w:themeFill="accent1" w:themeFillTint="33"/>
            <w:vAlign w:val="center"/>
          </w:tcPr>
          <w:p w14:paraId="08925499" w14:textId="77777777" w:rsidR="000225A5" w:rsidRPr="00305135" w:rsidRDefault="000225A5">
            <w:pPr>
              <w:pStyle w:val="Paragraph"/>
              <w:spacing w:after="0" w:line="240" w:lineRule="auto"/>
              <w:jc w:val="center"/>
              <w:rPr>
                <w:noProof/>
                <w:lang w:val="en-IE"/>
              </w:rPr>
            </w:pPr>
            <w:r w:rsidRPr="00305135">
              <w:rPr>
                <w:noProof/>
                <w:lang w:val="en-IE"/>
              </w:rPr>
              <w:t>FR</w:t>
            </w:r>
          </w:p>
        </w:tc>
        <w:tc>
          <w:tcPr>
            <w:tcW w:w="643" w:type="dxa"/>
            <w:shd w:val="clear" w:color="auto" w:fill="D9E2F3" w:themeFill="accent1" w:themeFillTint="33"/>
            <w:vAlign w:val="center"/>
          </w:tcPr>
          <w:p w14:paraId="70C4158C" w14:textId="77777777" w:rsidR="000225A5" w:rsidRPr="00305135" w:rsidRDefault="000225A5">
            <w:pPr>
              <w:pStyle w:val="Paragraph"/>
              <w:spacing w:after="0" w:line="240" w:lineRule="auto"/>
              <w:jc w:val="center"/>
              <w:rPr>
                <w:noProof/>
                <w:lang w:val="en-IE"/>
              </w:rPr>
            </w:pPr>
            <w:r w:rsidRPr="00305135">
              <w:rPr>
                <w:noProof/>
                <w:lang w:val="en-IE"/>
              </w:rPr>
              <w:t>HR</w:t>
            </w:r>
          </w:p>
        </w:tc>
        <w:tc>
          <w:tcPr>
            <w:tcW w:w="656" w:type="dxa"/>
            <w:shd w:val="clear" w:color="auto" w:fill="D9E2F3" w:themeFill="accent1" w:themeFillTint="33"/>
            <w:vAlign w:val="center"/>
          </w:tcPr>
          <w:p w14:paraId="2D7B7CE5" w14:textId="77777777" w:rsidR="000225A5" w:rsidRPr="00305135" w:rsidRDefault="000225A5">
            <w:pPr>
              <w:pStyle w:val="Paragraph"/>
              <w:spacing w:after="0" w:line="240" w:lineRule="auto"/>
              <w:jc w:val="center"/>
              <w:rPr>
                <w:noProof/>
                <w:lang w:val="en-IE"/>
              </w:rPr>
            </w:pPr>
            <w:r w:rsidRPr="00305135">
              <w:rPr>
                <w:noProof/>
                <w:lang w:val="en-IE"/>
              </w:rPr>
              <w:t>HU</w:t>
            </w:r>
          </w:p>
        </w:tc>
      </w:tr>
      <w:tr w:rsidR="000225A5" w:rsidRPr="001C633D" w14:paraId="69B5B15B" w14:textId="77777777" w:rsidTr="0065549F">
        <w:trPr>
          <w:trHeight w:val="300"/>
          <w:jc w:val="center"/>
        </w:trPr>
        <w:tc>
          <w:tcPr>
            <w:tcW w:w="643" w:type="dxa"/>
            <w:shd w:val="clear" w:color="auto" w:fill="FFFFFF" w:themeFill="background1"/>
            <w:vAlign w:val="center"/>
          </w:tcPr>
          <w:p w14:paraId="4BC7C0C1" w14:textId="108FE2AD" w:rsidR="000225A5" w:rsidRPr="00305135" w:rsidRDefault="00F455E1">
            <w:pPr>
              <w:pStyle w:val="Paragraph"/>
              <w:spacing w:after="0" w:line="240" w:lineRule="auto"/>
              <w:jc w:val="center"/>
              <w:rPr>
                <w:noProof/>
                <w:lang w:val="en-IE"/>
              </w:rPr>
            </w:pPr>
            <w:r w:rsidRPr="00F455E1">
              <w:rPr>
                <w:noProof/>
              </w:rPr>
              <w:t>3.05</w:t>
            </w:r>
          </w:p>
        </w:tc>
        <w:tc>
          <w:tcPr>
            <w:tcW w:w="644" w:type="dxa"/>
            <w:shd w:val="clear" w:color="auto" w:fill="FFFFFF" w:themeFill="background1"/>
            <w:vAlign w:val="center"/>
          </w:tcPr>
          <w:p w14:paraId="493A7A43" w14:textId="09E388E9" w:rsidR="000225A5" w:rsidRPr="00305135" w:rsidRDefault="002D1EE8">
            <w:pPr>
              <w:pStyle w:val="Paragraph"/>
              <w:spacing w:after="0" w:line="240" w:lineRule="auto"/>
              <w:jc w:val="center"/>
              <w:rPr>
                <w:noProof/>
                <w:lang w:val="en-IE"/>
              </w:rPr>
            </w:pPr>
            <w:r w:rsidRPr="002D1EE8">
              <w:rPr>
                <w:noProof/>
              </w:rPr>
              <w:t>4.51</w:t>
            </w:r>
          </w:p>
        </w:tc>
        <w:tc>
          <w:tcPr>
            <w:tcW w:w="643" w:type="dxa"/>
            <w:shd w:val="clear" w:color="auto" w:fill="FFFFFF" w:themeFill="background1"/>
            <w:vAlign w:val="center"/>
          </w:tcPr>
          <w:p w14:paraId="6371477C" w14:textId="600E2107" w:rsidR="000225A5" w:rsidRPr="00305135" w:rsidRDefault="00F455E1">
            <w:pPr>
              <w:pStyle w:val="Paragraph"/>
              <w:spacing w:after="0" w:line="240" w:lineRule="auto"/>
              <w:jc w:val="center"/>
              <w:rPr>
                <w:noProof/>
                <w:lang w:val="en-IE"/>
              </w:rPr>
            </w:pPr>
            <w:r w:rsidRPr="00F455E1">
              <w:rPr>
                <w:noProof/>
              </w:rPr>
              <w:t>4.04</w:t>
            </w:r>
          </w:p>
        </w:tc>
        <w:tc>
          <w:tcPr>
            <w:tcW w:w="643" w:type="dxa"/>
            <w:shd w:val="clear" w:color="auto" w:fill="FFFFFF" w:themeFill="background1"/>
            <w:vAlign w:val="center"/>
          </w:tcPr>
          <w:p w14:paraId="0BD05683" w14:textId="66EFEB2B" w:rsidR="000225A5" w:rsidRPr="00305135" w:rsidRDefault="00F455E1">
            <w:pPr>
              <w:pStyle w:val="Paragraph"/>
              <w:spacing w:after="0" w:line="240" w:lineRule="auto"/>
              <w:jc w:val="center"/>
              <w:rPr>
                <w:noProof/>
                <w:lang w:val="en-IE"/>
              </w:rPr>
            </w:pPr>
            <w:r w:rsidRPr="00F455E1">
              <w:rPr>
                <w:noProof/>
              </w:rPr>
              <w:t>4.33</w:t>
            </w:r>
          </w:p>
        </w:tc>
        <w:tc>
          <w:tcPr>
            <w:tcW w:w="643" w:type="dxa"/>
            <w:shd w:val="clear" w:color="auto" w:fill="FFFFFF" w:themeFill="background1"/>
            <w:vAlign w:val="center"/>
          </w:tcPr>
          <w:p w14:paraId="529399BC" w14:textId="5F84D22F" w:rsidR="000225A5" w:rsidRPr="00305135" w:rsidRDefault="00E46B51">
            <w:pPr>
              <w:pStyle w:val="Paragraph"/>
              <w:spacing w:after="0" w:line="240" w:lineRule="auto"/>
              <w:jc w:val="center"/>
              <w:rPr>
                <w:noProof/>
                <w:lang w:val="en-IE"/>
              </w:rPr>
            </w:pPr>
            <w:r w:rsidRPr="00E46B51">
              <w:rPr>
                <w:noProof/>
              </w:rPr>
              <w:t>3.02</w:t>
            </w:r>
          </w:p>
        </w:tc>
        <w:tc>
          <w:tcPr>
            <w:tcW w:w="643" w:type="dxa"/>
            <w:shd w:val="clear" w:color="auto" w:fill="FFFFFF" w:themeFill="background1"/>
            <w:vAlign w:val="center"/>
          </w:tcPr>
          <w:p w14:paraId="037D9957" w14:textId="1D5C632C" w:rsidR="000225A5" w:rsidRPr="00305135" w:rsidRDefault="00F455E1">
            <w:pPr>
              <w:pStyle w:val="Paragraph"/>
              <w:spacing w:after="0" w:line="240" w:lineRule="auto"/>
              <w:jc w:val="center"/>
              <w:rPr>
                <w:noProof/>
                <w:lang w:val="en-IE"/>
              </w:rPr>
            </w:pPr>
            <w:r w:rsidRPr="00F455E1">
              <w:rPr>
                <w:noProof/>
              </w:rPr>
              <w:t>3.99</w:t>
            </w:r>
          </w:p>
        </w:tc>
        <w:tc>
          <w:tcPr>
            <w:tcW w:w="643" w:type="dxa"/>
            <w:shd w:val="clear" w:color="auto" w:fill="FFFFFF" w:themeFill="background1"/>
            <w:vAlign w:val="center"/>
          </w:tcPr>
          <w:p w14:paraId="0470627F" w14:textId="1AD5DB5B" w:rsidR="000225A5" w:rsidRPr="00305135" w:rsidRDefault="00F455E1">
            <w:pPr>
              <w:pStyle w:val="Paragraph"/>
              <w:spacing w:after="0" w:line="240" w:lineRule="auto"/>
              <w:jc w:val="center"/>
              <w:rPr>
                <w:noProof/>
                <w:lang w:val="en-IE"/>
              </w:rPr>
            </w:pPr>
            <w:r w:rsidRPr="00F455E1">
              <w:rPr>
                <w:noProof/>
              </w:rPr>
              <w:t>3.89</w:t>
            </w:r>
          </w:p>
        </w:tc>
        <w:tc>
          <w:tcPr>
            <w:tcW w:w="643" w:type="dxa"/>
            <w:shd w:val="clear" w:color="auto" w:fill="FFFFFF" w:themeFill="background1"/>
            <w:vAlign w:val="center"/>
          </w:tcPr>
          <w:p w14:paraId="667F44FA" w14:textId="106CADDB" w:rsidR="000225A5" w:rsidRPr="00305135" w:rsidRDefault="002D1EE8">
            <w:pPr>
              <w:pStyle w:val="Paragraph"/>
              <w:spacing w:after="0" w:line="240" w:lineRule="auto"/>
              <w:jc w:val="center"/>
              <w:rPr>
                <w:noProof/>
                <w:lang w:val="en-IE"/>
              </w:rPr>
            </w:pPr>
            <w:r w:rsidRPr="002D1EE8">
              <w:rPr>
                <w:noProof/>
              </w:rPr>
              <w:t>3.99</w:t>
            </w:r>
          </w:p>
        </w:tc>
        <w:tc>
          <w:tcPr>
            <w:tcW w:w="643" w:type="dxa"/>
            <w:shd w:val="clear" w:color="auto" w:fill="FFFFFF" w:themeFill="background1"/>
            <w:vAlign w:val="center"/>
          </w:tcPr>
          <w:p w14:paraId="3B86166B" w14:textId="16D9196B" w:rsidR="000225A5" w:rsidRPr="00305135" w:rsidRDefault="00E46B51">
            <w:pPr>
              <w:pStyle w:val="Paragraph"/>
              <w:spacing w:after="0" w:line="240" w:lineRule="auto"/>
              <w:jc w:val="center"/>
              <w:rPr>
                <w:noProof/>
                <w:lang w:val="en-IE"/>
              </w:rPr>
            </w:pPr>
            <w:r w:rsidRPr="00E46B51">
              <w:rPr>
                <w:noProof/>
              </w:rPr>
              <w:t>3.19</w:t>
            </w:r>
          </w:p>
        </w:tc>
        <w:tc>
          <w:tcPr>
            <w:tcW w:w="643" w:type="dxa"/>
            <w:shd w:val="clear" w:color="auto" w:fill="FFFFFF" w:themeFill="background1"/>
            <w:vAlign w:val="center"/>
          </w:tcPr>
          <w:p w14:paraId="2216DA6B" w14:textId="3203A26A" w:rsidR="000225A5" w:rsidRPr="00305135" w:rsidRDefault="00E46B51">
            <w:pPr>
              <w:pStyle w:val="Paragraph"/>
              <w:spacing w:after="0" w:line="240" w:lineRule="auto"/>
              <w:jc w:val="center"/>
              <w:rPr>
                <w:noProof/>
                <w:lang w:val="en-IE"/>
              </w:rPr>
            </w:pPr>
            <w:r w:rsidRPr="00E46B51">
              <w:rPr>
                <w:noProof/>
              </w:rPr>
              <w:t>2.74</w:t>
            </w:r>
          </w:p>
        </w:tc>
        <w:tc>
          <w:tcPr>
            <w:tcW w:w="643" w:type="dxa"/>
            <w:shd w:val="clear" w:color="auto" w:fill="FFFFFF" w:themeFill="background1"/>
            <w:vAlign w:val="center"/>
          </w:tcPr>
          <w:p w14:paraId="61C602A7" w14:textId="334BA5E2" w:rsidR="000225A5" w:rsidRPr="00305135" w:rsidRDefault="00705404">
            <w:pPr>
              <w:pStyle w:val="Paragraph"/>
              <w:spacing w:after="0" w:line="240" w:lineRule="auto"/>
              <w:jc w:val="center"/>
              <w:rPr>
                <w:noProof/>
                <w:lang w:val="en-IE"/>
              </w:rPr>
            </w:pPr>
            <w:r w:rsidRPr="00705404">
              <w:rPr>
                <w:noProof/>
              </w:rPr>
              <w:t>5.15</w:t>
            </w:r>
          </w:p>
        </w:tc>
        <w:tc>
          <w:tcPr>
            <w:tcW w:w="643" w:type="dxa"/>
            <w:shd w:val="clear" w:color="auto" w:fill="FFFFFF" w:themeFill="background1"/>
            <w:vAlign w:val="center"/>
          </w:tcPr>
          <w:p w14:paraId="04609AF6" w14:textId="00798F40" w:rsidR="000225A5" w:rsidRPr="00305135" w:rsidRDefault="003273C6">
            <w:pPr>
              <w:pStyle w:val="Paragraph"/>
              <w:spacing w:after="0" w:line="240" w:lineRule="auto"/>
              <w:jc w:val="center"/>
              <w:rPr>
                <w:noProof/>
                <w:lang w:val="en-IE"/>
              </w:rPr>
            </w:pPr>
            <w:r w:rsidRPr="003273C6">
              <w:rPr>
                <w:noProof/>
              </w:rPr>
              <w:t>4.18</w:t>
            </w:r>
          </w:p>
        </w:tc>
        <w:tc>
          <w:tcPr>
            <w:tcW w:w="643" w:type="dxa"/>
            <w:shd w:val="clear" w:color="auto" w:fill="FFFFFF" w:themeFill="background1"/>
            <w:vAlign w:val="center"/>
          </w:tcPr>
          <w:p w14:paraId="09257E20" w14:textId="5189247D" w:rsidR="000225A5" w:rsidRPr="00305135" w:rsidRDefault="003E054C">
            <w:pPr>
              <w:pStyle w:val="Paragraph"/>
              <w:spacing w:after="0" w:line="240" w:lineRule="auto"/>
              <w:jc w:val="center"/>
              <w:rPr>
                <w:noProof/>
                <w:lang w:val="en-IE"/>
              </w:rPr>
            </w:pPr>
            <w:r w:rsidRPr="003E054C">
              <w:rPr>
                <w:noProof/>
              </w:rPr>
              <w:t>2.82</w:t>
            </w:r>
          </w:p>
        </w:tc>
        <w:tc>
          <w:tcPr>
            <w:tcW w:w="656" w:type="dxa"/>
            <w:shd w:val="clear" w:color="auto" w:fill="FFFFFF" w:themeFill="background1"/>
            <w:vAlign w:val="center"/>
          </w:tcPr>
          <w:p w14:paraId="7E645249" w14:textId="02AD44E4" w:rsidR="000225A5" w:rsidRPr="00305135" w:rsidRDefault="003273C6">
            <w:pPr>
              <w:pStyle w:val="Paragraph"/>
              <w:spacing w:after="0" w:line="240" w:lineRule="auto"/>
              <w:jc w:val="center"/>
              <w:rPr>
                <w:noProof/>
                <w:lang w:val="en-IE"/>
              </w:rPr>
            </w:pPr>
            <w:r w:rsidRPr="003273C6">
              <w:rPr>
                <w:noProof/>
              </w:rPr>
              <w:t>2.99</w:t>
            </w:r>
          </w:p>
        </w:tc>
      </w:tr>
      <w:tr w:rsidR="000225A5" w:rsidRPr="001C633D" w14:paraId="516E5C52" w14:textId="77777777" w:rsidTr="000225A5">
        <w:trPr>
          <w:trHeight w:val="300"/>
          <w:jc w:val="center"/>
        </w:trPr>
        <w:tc>
          <w:tcPr>
            <w:tcW w:w="643" w:type="dxa"/>
            <w:shd w:val="clear" w:color="auto" w:fill="D9E2F3" w:themeFill="accent1" w:themeFillTint="33"/>
            <w:vAlign w:val="center"/>
          </w:tcPr>
          <w:p w14:paraId="66DE70F4" w14:textId="77777777" w:rsidR="000225A5" w:rsidRPr="00305135" w:rsidRDefault="000225A5">
            <w:pPr>
              <w:pStyle w:val="Paragraph"/>
              <w:spacing w:after="0" w:line="240" w:lineRule="auto"/>
              <w:jc w:val="center"/>
              <w:rPr>
                <w:noProof/>
                <w:lang w:val="en-IE"/>
              </w:rPr>
            </w:pPr>
            <w:r w:rsidRPr="00305135">
              <w:rPr>
                <w:noProof/>
                <w:lang w:val="en-IE"/>
              </w:rPr>
              <w:t>IE</w:t>
            </w:r>
          </w:p>
        </w:tc>
        <w:tc>
          <w:tcPr>
            <w:tcW w:w="644" w:type="dxa"/>
            <w:shd w:val="clear" w:color="auto" w:fill="D9E2F3" w:themeFill="accent1" w:themeFillTint="33"/>
            <w:vAlign w:val="center"/>
          </w:tcPr>
          <w:p w14:paraId="7EA037FF" w14:textId="77777777" w:rsidR="000225A5" w:rsidRPr="00305135" w:rsidRDefault="000225A5">
            <w:pPr>
              <w:pStyle w:val="Paragraph"/>
              <w:spacing w:after="0" w:line="240" w:lineRule="auto"/>
              <w:jc w:val="center"/>
              <w:rPr>
                <w:noProof/>
                <w:lang w:val="en-IE"/>
              </w:rPr>
            </w:pPr>
            <w:r w:rsidRPr="00305135">
              <w:rPr>
                <w:noProof/>
                <w:lang w:val="en-IE"/>
              </w:rPr>
              <w:t>IT</w:t>
            </w:r>
          </w:p>
        </w:tc>
        <w:tc>
          <w:tcPr>
            <w:tcW w:w="643" w:type="dxa"/>
            <w:shd w:val="clear" w:color="auto" w:fill="D9E2F3" w:themeFill="accent1" w:themeFillTint="33"/>
            <w:vAlign w:val="center"/>
          </w:tcPr>
          <w:p w14:paraId="63913F66" w14:textId="77777777" w:rsidR="000225A5" w:rsidRPr="00305135" w:rsidRDefault="000225A5">
            <w:pPr>
              <w:pStyle w:val="Paragraph"/>
              <w:spacing w:after="0" w:line="240" w:lineRule="auto"/>
              <w:jc w:val="center"/>
              <w:rPr>
                <w:noProof/>
                <w:lang w:val="en-IE"/>
              </w:rPr>
            </w:pPr>
            <w:r w:rsidRPr="00305135">
              <w:rPr>
                <w:noProof/>
                <w:lang w:val="en-IE"/>
              </w:rPr>
              <w:t>LT</w:t>
            </w:r>
          </w:p>
        </w:tc>
        <w:tc>
          <w:tcPr>
            <w:tcW w:w="643" w:type="dxa"/>
            <w:shd w:val="clear" w:color="auto" w:fill="D9E2F3" w:themeFill="accent1" w:themeFillTint="33"/>
            <w:vAlign w:val="center"/>
          </w:tcPr>
          <w:p w14:paraId="563A1F5E" w14:textId="77777777" w:rsidR="000225A5" w:rsidRPr="00305135" w:rsidRDefault="000225A5">
            <w:pPr>
              <w:pStyle w:val="Paragraph"/>
              <w:spacing w:after="0" w:line="240" w:lineRule="auto"/>
              <w:jc w:val="center"/>
              <w:rPr>
                <w:noProof/>
                <w:lang w:val="en-IE"/>
              </w:rPr>
            </w:pPr>
            <w:r w:rsidRPr="00305135">
              <w:rPr>
                <w:noProof/>
                <w:lang w:val="en-IE"/>
              </w:rPr>
              <w:t>LU</w:t>
            </w:r>
          </w:p>
        </w:tc>
        <w:tc>
          <w:tcPr>
            <w:tcW w:w="643" w:type="dxa"/>
            <w:shd w:val="clear" w:color="auto" w:fill="D9E2F3" w:themeFill="accent1" w:themeFillTint="33"/>
            <w:vAlign w:val="center"/>
          </w:tcPr>
          <w:p w14:paraId="0ED247E5" w14:textId="77777777" w:rsidR="000225A5" w:rsidRPr="00305135" w:rsidRDefault="000225A5">
            <w:pPr>
              <w:pStyle w:val="Paragraph"/>
              <w:spacing w:after="0" w:line="240" w:lineRule="auto"/>
              <w:jc w:val="center"/>
              <w:rPr>
                <w:noProof/>
                <w:lang w:val="en-IE"/>
              </w:rPr>
            </w:pPr>
            <w:r w:rsidRPr="00305135">
              <w:rPr>
                <w:noProof/>
                <w:lang w:val="en-IE"/>
              </w:rPr>
              <w:t>LV</w:t>
            </w:r>
          </w:p>
        </w:tc>
        <w:tc>
          <w:tcPr>
            <w:tcW w:w="643" w:type="dxa"/>
            <w:shd w:val="clear" w:color="auto" w:fill="D9E2F3" w:themeFill="accent1" w:themeFillTint="33"/>
            <w:vAlign w:val="center"/>
          </w:tcPr>
          <w:p w14:paraId="341CE180" w14:textId="77777777" w:rsidR="000225A5" w:rsidRPr="00305135" w:rsidRDefault="000225A5">
            <w:pPr>
              <w:pStyle w:val="Paragraph"/>
              <w:spacing w:after="0" w:line="240" w:lineRule="auto"/>
              <w:jc w:val="center"/>
              <w:rPr>
                <w:noProof/>
                <w:lang w:val="en-IE"/>
              </w:rPr>
            </w:pPr>
            <w:r w:rsidRPr="00305135">
              <w:rPr>
                <w:noProof/>
                <w:lang w:val="en-IE"/>
              </w:rPr>
              <w:t>MT</w:t>
            </w:r>
          </w:p>
        </w:tc>
        <w:tc>
          <w:tcPr>
            <w:tcW w:w="643" w:type="dxa"/>
            <w:shd w:val="clear" w:color="auto" w:fill="D9E2F3" w:themeFill="accent1" w:themeFillTint="33"/>
            <w:vAlign w:val="center"/>
          </w:tcPr>
          <w:p w14:paraId="5303C603" w14:textId="77777777" w:rsidR="000225A5" w:rsidRPr="00305135" w:rsidRDefault="000225A5">
            <w:pPr>
              <w:pStyle w:val="Paragraph"/>
              <w:spacing w:after="0" w:line="240" w:lineRule="auto"/>
              <w:jc w:val="center"/>
              <w:rPr>
                <w:noProof/>
                <w:lang w:val="en-IE"/>
              </w:rPr>
            </w:pPr>
            <w:r w:rsidRPr="00305135">
              <w:rPr>
                <w:noProof/>
                <w:lang w:val="en-IE"/>
              </w:rPr>
              <w:t>NL</w:t>
            </w:r>
          </w:p>
        </w:tc>
        <w:tc>
          <w:tcPr>
            <w:tcW w:w="643" w:type="dxa"/>
            <w:shd w:val="clear" w:color="auto" w:fill="D9E2F3" w:themeFill="accent1" w:themeFillTint="33"/>
            <w:vAlign w:val="center"/>
          </w:tcPr>
          <w:p w14:paraId="52D04B1D" w14:textId="77777777" w:rsidR="000225A5" w:rsidRPr="00305135" w:rsidRDefault="000225A5">
            <w:pPr>
              <w:pStyle w:val="Paragraph"/>
              <w:spacing w:after="0" w:line="240" w:lineRule="auto"/>
              <w:jc w:val="center"/>
              <w:rPr>
                <w:noProof/>
                <w:lang w:val="en-IE"/>
              </w:rPr>
            </w:pPr>
            <w:r w:rsidRPr="00305135">
              <w:rPr>
                <w:noProof/>
                <w:lang w:val="en-IE"/>
              </w:rPr>
              <w:t>PL</w:t>
            </w:r>
          </w:p>
        </w:tc>
        <w:tc>
          <w:tcPr>
            <w:tcW w:w="643" w:type="dxa"/>
            <w:shd w:val="clear" w:color="auto" w:fill="D9E2F3" w:themeFill="accent1" w:themeFillTint="33"/>
            <w:vAlign w:val="center"/>
          </w:tcPr>
          <w:p w14:paraId="1BDE7233" w14:textId="77777777" w:rsidR="000225A5" w:rsidRPr="00305135" w:rsidRDefault="000225A5">
            <w:pPr>
              <w:pStyle w:val="Paragraph"/>
              <w:spacing w:after="0" w:line="240" w:lineRule="auto"/>
              <w:jc w:val="center"/>
              <w:rPr>
                <w:noProof/>
                <w:lang w:val="en-IE"/>
              </w:rPr>
            </w:pPr>
            <w:r w:rsidRPr="00305135">
              <w:rPr>
                <w:noProof/>
                <w:lang w:val="en-IE"/>
              </w:rPr>
              <w:t>PT</w:t>
            </w:r>
          </w:p>
        </w:tc>
        <w:tc>
          <w:tcPr>
            <w:tcW w:w="643" w:type="dxa"/>
            <w:shd w:val="clear" w:color="auto" w:fill="D9E2F3" w:themeFill="accent1" w:themeFillTint="33"/>
            <w:vAlign w:val="center"/>
          </w:tcPr>
          <w:p w14:paraId="3FCFE020" w14:textId="77777777" w:rsidR="000225A5" w:rsidRPr="00305135" w:rsidRDefault="000225A5">
            <w:pPr>
              <w:pStyle w:val="Paragraph"/>
              <w:spacing w:after="0" w:line="240" w:lineRule="auto"/>
              <w:jc w:val="center"/>
              <w:rPr>
                <w:noProof/>
                <w:lang w:val="en-IE"/>
              </w:rPr>
            </w:pPr>
            <w:r w:rsidRPr="00305135">
              <w:rPr>
                <w:noProof/>
                <w:lang w:val="en-IE"/>
              </w:rPr>
              <w:t>RO</w:t>
            </w:r>
          </w:p>
        </w:tc>
        <w:tc>
          <w:tcPr>
            <w:tcW w:w="643" w:type="dxa"/>
            <w:shd w:val="clear" w:color="auto" w:fill="D9E2F3" w:themeFill="accent1" w:themeFillTint="33"/>
            <w:vAlign w:val="center"/>
          </w:tcPr>
          <w:p w14:paraId="24D5FE0C" w14:textId="77777777" w:rsidR="000225A5" w:rsidRPr="00305135" w:rsidRDefault="000225A5">
            <w:pPr>
              <w:pStyle w:val="Paragraph"/>
              <w:spacing w:after="0" w:line="240" w:lineRule="auto"/>
              <w:jc w:val="center"/>
              <w:rPr>
                <w:noProof/>
                <w:lang w:val="en-IE"/>
              </w:rPr>
            </w:pPr>
            <w:r w:rsidRPr="00305135">
              <w:rPr>
                <w:noProof/>
                <w:lang w:val="en-IE"/>
              </w:rPr>
              <w:t>SE</w:t>
            </w:r>
          </w:p>
        </w:tc>
        <w:tc>
          <w:tcPr>
            <w:tcW w:w="643" w:type="dxa"/>
            <w:shd w:val="clear" w:color="auto" w:fill="D9E2F3" w:themeFill="accent1" w:themeFillTint="33"/>
            <w:vAlign w:val="center"/>
            <w:hideMark/>
          </w:tcPr>
          <w:p w14:paraId="407FE4B5" w14:textId="77777777" w:rsidR="000225A5" w:rsidRPr="00305135" w:rsidRDefault="000225A5">
            <w:pPr>
              <w:pStyle w:val="Paragraph"/>
              <w:spacing w:after="0" w:line="240" w:lineRule="auto"/>
              <w:jc w:val="center"/>
              <w:rPr>
                <w:noProof/>
                <w:lang w:val="en-IE"/>
              </w:rPr>
            </w:pPr>
            <w:r w:rsidRPr="00305135">
              <w:rPr>
                <w:noProof/>
                <w:lang w:val="en-IE"/>
              </w:rPr>
              <w:t>SI</w:t>
            </w:r>
          </w:p>
        </w:tc>
        <w:tc>
          <w:tcPr>
            <w:tcW w:w="643" w:type="dxa"/>
            <w:shd w:val="clear" w:color="auto" w:fill="D9E2F3" w:themeFill="accent1" w:themeFillTint="33"/>
            <w:vAlign w:val="center"/>
            <w:hideMark/>
          </w:tcPr>
          <w:p w14:paraId="0575BF23" w14:textId="77777777" w:rsidR="000225A5" w:rsidRPr="00305135" w:rsidRDefault="000225A5">
            <w:pPr>
              <w:pStyle w:val="Paragraph"/>
              <w:spacing w:after="0" w:line="240" w:lineRule="auto"/>
              <w:jc w:val="center"/>
              <w:rPr>
                <w:noProof/>
                <w:lang w:val="en-IE"/>
              </w:rPr>
            </w:pPr>
            <w:r w:rsidRPr="00305135">
              <w:rPr>
                <w:noProof/>
                <w:lang w:val="en-IE"/>
              </w:rPr>
              <w:t>SK</w:t>
            </w:r>
          </w:p>
        </w:tc>
        <w:tc>
          <w:tcPr>
            <w:tcW w:w="656" w:type="dxa"/>
            <w:shd w:val="clear" w:color="auto" w:fill="D9E2F3" w:themeFill="accent1" w:themeFillTint="33"/>
            <w:vAlign w:val="center"/>
            <w:hideMark/>
          </w:tcPr>
          <w:p w14:paraId="11324ADB" w14:textId="77777777" w:rsidR="000225A5" w:rsidRPr="00305135" w:rsidRDefault="000225A5">
            <w:pPr>
              <w:pStyle w:val="Paragraph"/>
              <w:spacing w:after="0" w:line="240" w:lineRule="auto"/>
              <w:jc w:val="center"/>
              <w:rPr>
                <w:b/>
                <w:noProof/>
                <w:lang w:val="en-IE"/>
              </w:rPr>
            </w:pPr>
            <w:r w:rsidRPr="00305135">
              <w:rPr>
                <w:b/>
                <w:noProof/>
                <w:lang w:val="en-IE"/>
              </w:rPr>
              <w:t>EU</w:t>
            </w:r>
          </w:p>
        </w:tc>
      </w:tr>
      <w:tr w:rsidR="000225A5" w:rsidRPr="001C633D" w14:paraId="15B903A7" w14:textId="77777777" w:rsidTr="0065549F">
        <w:trPr>
          <w:trHeight w:val="300"/>
          <w:jc w:val="center"/>
        </w:trPr>
        <w:tc>
          <w:tcPr>
            <w:tcW w:w="643" w:type="dxa"/>
            <w:shd w:val="clear" w:color="auto" w:fill="FFFFFF" w:themeFill="background1"/>
            <w:vAlign w:val="center"/>
          </w:tcPr>
          <w:p w14:paraId="138825A2" w14:textId="3CDBE719" w:rsidR="000225A5" w:rsidRPr="00305135" w:rsidRDefault="00705404">
            <w:pPr>
              <w:pStyle w:val="Paragraph"/>
              <w:spacing w:after="0" w:line="240" w:lineRule="auto"/>
              <w:jc w:val="center"/>
              <w:rPr>
                <w:noProof/>
                <w:lang w:val="en-IE"/>
              </w:rPr>
            </w:pPr>
            <w:r w:rsidRPr="00705404">
              <w:rPr>
                <w:noProof/>
              </w:rPr>
              <w:t>4.59</w:t>
            </w:r>
          </w:p>
        </w:tc>
        <w:tc>
          <w:tcPr>
            <w:tcW w:w="644" w:type="dxa"/>
            <w:shd w:val="clear" w:color="auto" w:fill="FFFFFF" w:themeFill="background1"/>
            <w:vAlign w:val="center"/>
          </w:tcPr>
          <w:p w14:paraId="69186F4C" w14:textId="74B27242" w:rsidR="000225A5" w:rsidRPr="00305135" w:rsidRDefault="00F455E1">
            <w:pPr>
              <w:pStyle w:val="Paragraph"/>
              <w:spacing w:after="0" w:line="240" w:lineRule="auto"/>
              <w:jc w:val="center"/>
              <w:rPr>
                <w:noProof/>
                <w:lang w:val="en-IE"/>
              </w:rPr>
            </w:pPr>
            <w:r w:rsidRPr="00F455E1">
              <w:rPr>
                <w:noProof/>
              </w:rPr>
              <w:t>3.69</w:t>
            </w:r>
          </w:p>
        </w:tc>
        <w:tc>
          <w:tcPr>
            <w:tcW w:w="643" w:type="dxa"/>
            <w:shd w:val="clear" w:color="auto" w:fill="FFFFFF" w:themeFill="background1"/>
            <w:vAlign w:val="center"/>
          </w:tcPr>
          <w:p w14:paraId="6972A055" w14:textId="391E84D8" w:rsidR="000225A5" w:rsidRPr="00305135" w:rsidRDefault="002D1EE8">
            <w:pPr>
              <w:pStyle w:val="Paragraph"/>
              <w:spacing w:after="0" w:line="240" w:lineRule="auto"/>
              <w:jc w:val="center"/>
              <w:rPr>
                <w:noProof/>
                <w:lang w:val="en-IE"/>
              </w:rPr>
            </w:pPr>
            <w:r w:rsidRPr="002D1EE8">
              <w:rPr>
                <w:noProof/>
              </w:rPr>
              <w:t>5.05</w:t>
            </w:r>
          </w:p>
        </w:tc>
        <w:tc>
          <w:tcPr>
            <w:tcW w:w="643" w:type="dxa"/>
            <w:shd w:val="clear" w:color="auto" w:fill="FFFFFF" w:themeFill="background1"/>
            <w:vAlign w:val="center"/>
          </w:tcPr>
          <w:p w14:paraId="6D7DC208" w14:textId="638DD103" w:rsidR="000225A5" w:rsidRPr="00305135" w:rsidRDefault="00705404">
            <w:pPr>
              <w:pStyle w:val="Paragraph"/>
              <w:spacing w:after="0" w:line="240" w:lineRule="auto"/>
              <w:jc w:val="center"/>
              <w:rPr>
                <w:noProof/>
                <w:lang w:val="en-IE"/>
              </w:rPr>
            </w:pPr>
            <w:r w:rsidRPr="00705404">
              <w:rPr>
                <w:noProof/>
              </w:rPr>
              <w:t>4.85</w:t>
            </w:r>
          </w:p>
        </w:tc>
        <w:tc>
          <w:tcPr>
            <w:tcW w:w="643" w:type="dxa"/>
            <w:shd w:val="clear" w:color="auto" w:fill="FFFFFF" w:themeFill="background1"/>
            <w:vAlign w:val="center"/>
          </w:tcPr>
          <w:p w14:paraId="0C898EFE" w14:textId="6A5F68E2" w:rsidR="000225A5" w:rsidRPr="00305135" w:rsidRDefault="003273C6">
            <w:pPr>
              <w:pStyle w:val="Paragraph"/>
              <w:spacing w:after="0" w:line="240" w:lineRule="auto"/>
              <w:jc w:val="center"/>
              <w:rPr>
                <w:noProof/>
                <w:lang w:val="en-IE"/>
              </w:rPr>
            </w:pPr>
            <w:r w:rsidRPr="003273C6">
              <w:rPr>
                <w:noProof/>
              </w:rPr>
              <w:t>3</w:t>
            </w:r>
            <w:r>
              <w:rPr>
                <w:noProof/>
              </w:rPr>
              <w:t>.0</w:t>
            </w:r>
          </w:p>
        </w:tc>
        <w:tc>
          <w:tcPr>
            <w:tcW w:w="643" w:type="dxa"/>
            <w:shd w:val="clear" w:color="auto" w:fill="FFFFFF" w:themeFill="background1"/>
            <w:vAlign w:val="center"/>
          </w:tcPr>
          <w:p w14:paraId="143F50E9" w14:textId="1D7E257D" w:rsidR="000225A5" w:rsidRPr="00305135" w:rsidRDefault="003273C6">
            <w:pPr>
              <w:pStyle w:val="Paragraph"/>
              <w:spacing w:after="0" w:line="240" w:lineRule="auto"/>
              <w:jc w:val="center"/>
              <w:rPr>
                <w:noProof/>
                <w:lang w:val="en-IE"/>
              </w:rPr>
            </w:pPr>
            <w:r w:rsidRPr="003273C6">
              <w:rPr>
                <w:noProof/>
              </w:rPr>
              <w:t>4.07</w:t>
            </w:r>
          </w:p>
        </w:tc>
        <w:tc>
          <w:tcPr>
            <w:tcW w:w="643" w:type="dxa"/>
            <w:shd w:val="clear" w:color="auto" w:fill="FFFFFF" w:themeFill="background1"/>
            <w:vAlign w:val="center"/>
          </w:tcPr>
          <w:p w14:paraId="5C0FBBAE" w14:textId="13C57D8F" w:rsidR="000225A5" w:rsidRPr="00305135" w:rsidRDefault="00705404">
            <w:pPr>
              <w:pStyle w:val="Paragraph"/>
              <w:spacing w:after="0" w:line="240" w:lineRule="auto"/>
              <w:jc w:val="center"/>
              <w:rPr>
                <w:noProof/>
                <w:lang w:val="en-IE"/>
              </w:rPr>
            </w:pPr>
            <w:r w:rsidRPr="00705404">
              <w:rPr>
                <w:noProof/>
              </w:rPr>
              <w:t>3.94</w:t>
            </w:r>
          </w:p>
        </w:tc>
        <w:tc>
          <w:tcPr>
            <w:tcW w:w="643" w:type="dxa"/>
            <w:shd w:val="clear" w:color="auto" w:fill="FFFFFF" w:themeFill="background1"/>
            <w:vAlign w:val="center"/>
          </w:tcPr>
          <w:p w14:paraId="629FF586" w14:textId="0D355E7C" w:rsidR="000225A5" w:rsidRPr="00305135" w:rsidRDefault="00E46B51">
            <w:pPr>
              <w:pStyle w:val="Paragraph"/>
              <w:spacing w:after="0" w:line="240" w:lineRule="auto"/>
              <w:jc w:val="center"/>
              <w:rPr>
                <w:noProof/>
                <w:lang w:val="en-IE"/>
              </w:rPr>
            </w:pPr>
            <w:r w:rsidRPr="00E46B51">
              <w:rPr>
                <w:noProof/>
              </w:rPr>
              <w:t>3.18</w:t>
            </w:r>
          </w:p>
        </w:tc>
        <w:tc>
          <w:tcPr>
            <w:tcW w:w="643" w:type="dxa"/>
            <w:shd w:val="clear" w:color="auto" w:fill="FFFFFF" w:themeFill="background1"/>
            <w:vAlign w:val="center"/>
          </w:tcPr>
          <w:p w14:paraId="2D9B046D" w14:textId="17EFFE48" w:rsidR="000225A5" w:rsidRPr="0065549F" w:rsidRDefault="00E46B51" w:rsidP="0065549F">
            <w:pPr>
              <w:suppressAutoHyphens w:val="0"/>
              <w:jc w:val="center"/>
              <w:rPr>
                <w:noProof/>
                <w:color w:val="000000"/>
              </w:rPr>
            </w:pPr>
            <w:r w:rsidRPr="0065549F">
              <w:rPr>
                <w:rFonts w:ascii="Times New Roman" w:hAnsi="Times New Roman" w:cs="Times New Roman"/>
                <w:noProof/>
                <w:color w:val="000000"/>
                <w:sz w:val="24"/>
                <w:szCs w:val="24"/>
              </w:rPr>
              <w:t>3.21</w:t>
            </w:r>
          </w:p>
        </w:tc>
        <w:tc>
          <w:tcPr>
            <w:tcW w:w="643" w:type="dxa"/>
            <w:shd w:val="clear" w:color="auto" w:fill="FFFFFF" w:themeFill="background1"/>
            <w:vAlign w:val="center"/>
          </w:tcPr>
          <w:p w14:paraId="2F058EE8" w14:textId="6D2BE6CA" w:rsidR="000225A5" w:rsidRPr="00305135" w:rsidRDefault="00E46B51">
            <w:pPr>
              <w:pStyle w:val="Paragraph"/>
              <w:spacing w:after="0" w:line="240" w:lineRule="auto"/>
              <w:jc w:val="center"/>
              <w:rPr>
                <w:noProof/>
                <w:lang w:val="en-IE"/>
              </w:rPr>
            </w:pPr>
            <w:r w:rsidRPr="00E46B51">
              <w:rPr>
                <w:noProof/>
              </w:rPr>
              <w:t>3.16</w:t>
            </w:r>
          </w:p>
        </w:tc>
        <w:tc>
          <w:tcPr>
            <w:tcW w:w="643" w:type="dxa"/>
            <w:shd w:val="clear" w:color="auto" w:fill="FFFFFF" w:themeFill="background1"/>
            <w:vAlign w:val="center"/>
          </w:tcPr>
          <w:p w14:paraId="034834CC" w14:textId="79689204" w:rsidR="000225A5" w:rsidRPr="00305135" w:rsidRDefault="00705404">
            <w:pPr>
              <w:pStyle w:val="Paragraph"/>
              <w:spacing w:after="0" w:line="240" w:lineRule="auto"/>
              <w:jc w:val="center"/>
              <w:rPr>
                <w:noProof/>
                <w:lang w:val="en-IE"/>
              </w:rPr>
            </w:pPr>
            <w:r w:rsidRPr="00705404">
              <w:rPr>
                <w:noProof/>
              </w:rPr>
              <w:t>4.98</w:t>
            </w:r>
          </w:p>
        </w:tc>
        <w:tc>
          <w:tcPr>
            <w:tcW w:w="643" w:type="dxa"/>
            <w:shd w:val="clear" w:color="auto" w:fill="FFFFFF" w:themeFill="background1"/>
            <w:vAlign w:val="center"/>
          </w:tcPr>
          <w:p w14:paraId="041E39C6" w14:textId="7A2E1F3D" w:rsidR="000225A5" w:rsidRPr="00305135" w:rsidRDefault="00E46B51">
            <w:pPr>
              <w:pStyle w:val="Paragraph"/>
              <w:spacing w:after="0" w:line="240" w:lineRule="auto"/>
              <w:jc w:val="center"/>
              <w:rPr>
                <w:noProof/>
                <w:lang w:val="en-IE"/>
              </w:rPr>
            </w:pPr>
            <w:r w:rsidRPr="00E46B51">
              <w:rPr>
                <w:noProof/>
              </w:rPr>
              <w:t>2.57</w:t>
            </w:r>
          </w:p>
        </w:tc>
        <w:tc>
          <w:tcPr>
            <w:tcW w:w="643" w:type="dxa"/>
            <w:shd w:val="clear" w:color="auto" w:fill="FFFFFF" w:themeFill="background1"/>
            <w:vAlign w:val="center"/>
          </w:tcPr>
          <w:p w14:paraId="169B153C" w14:textId="2DC128FD" w:rsidR="000225A5" w:rsidRPr="00305135" w:rsidRDefault="00E46B51">
            <w:pPr>
              <w:pStyle w:val="Paragraph"/>
              <w:spacing w:after="0" w:line="240" w:lineRule="auto"/>
              <w:jc w:val="center"/>
              <w:rPr>
                <w:noProof/>
                <w:lang w:val="en-IE"/>
              </w:rPr>
            </w:pPr>
            <w:r w:rsidRPr="00E46B51">
              <w:rPr>
                <w:noProof/>
              </w:rPr>
              <w:t>2.67</w:t>
            </w:r>
          </w:p>
        </w:tc>
        <w:tc>
          <w:tcPr>
            <w:tcW w:w="656" w:type="dxa"/>
            <w:shd w:val="clear" w:color="auto" w:fill="FFFFFF" w:themeFill="background1"/>
            <w:vAlign w:val="center"/>
          </w:tcPr>
          <w:p w14:paraId="568A6106" w14:textId="0E67AFAE" w:rsidR="000225A5" w:rsidRPr="0065549F" w:rsidRDefault="006F6727" w:rsidP="0065549F">
            <w:pPr>
              <w:suppressAutoHyphens w:val="0"/>
              <w:jc w:val="center"/>
              <w:rPr>
                <w:b/>
                <w:noProof/>
                <w:color w:val="000000"/>
              </w:rPr>
            </w:pPr>
            <w:r w:rsidRPr="0065549F">
              <w:rPr>
                <w:rFonts w:ascii="Times New Roman" w:hAnsi="Times New Roman" w:cs="Times New Roman"/>
                <w:b/>
                <w:noProof/>
                <w:color w:val="000000"/>
                <w:sz w:val="24"/>
                <w:szCs w:val="24"/>
              </w:rPr>
              <w:t>3.89</w:t>
            </w:r>
          </w:p>
        </w:tc>
      </w:tr>
    </w:tbl>
    <w:p w14:paraId="5134AA16" w14:textId="77777777" w:rsidR="003529E2" w:rsidRDefault="003529E2" w:rsidP="00A8306C">
      <w:pPr>
        <w:rPr>
          <w:rFonts w:ascii="Times New Roman" w:hAnsi="Times New Roman" w:cs="Times New Roman"/>
          <w:noProof/>
          <w:lang w:val="en-IE"/>
        </w:rPr>
      </w:pPr>
    </w:p>
    <w:p w14:paraId="759D5FE8" w14:textId="77777777" w:rsidR="00FD0882" w:rsidRDefault="00FD0882">
      <w:pPr>
        <w:suppressAutoHyphens w:val="0"/>
        <w:rPr>
          <w:rFonts w:ascii="Times New Roman" w:eastAsia="MS Gothic" w:hAnsi="Times New Roman" w:cs="Times New Roman"/>
          <w:b/>
          <w:bCs/>
          <w:noProof/>
          <w:sz w:val="24"/>
          <w:szCs w:val="24"/>
        </w:rPr>
      </w:pPr>
      <w:r>
        <w:rPr>
          <w:rFonts w:ascii="Times New Roman" w:hAnsi="Times New Roman"/>
          <w:b/>
          <w:bCs/>
          <w:noProof/>
        </w:rPr>
        <w:br w:type="page"/>
      </w:r>
    </w:p>
    <w:p w14:paraId="5D002263" w14:textId="5E0B6137" w:rsidR="00D907DE" w:rsidRPr="00807062" w:rsidRDefault="00D907DE" w:rsidP="0065549F">
      <w:pPr>
        <w:pStyle w:val="Heading3"/>
        <w:spacing w:before="0" w:after="160" w:line="250" w:lineRule="auto"/>
        <w:rPr>
          <w:rFonts w:ascii="Times New Roman" w:hAnsi="Times New Roman"/>
          <w:b/>
          <w:bCs/>
          <w:noProof/>
          <w:color w:val="auto"/>
        </w:rPr>
      </w:pPr>
      <w:bookmarkStart w:id="38" w:name="_Toc220103440"/>
      <w:r w:rsidRPr="00807062">
        <w:rPr>
          <w:rFonts w:ascii="Times New Roman" w:hAnsi="Times New Roman"/>
          <w:b/>
          <w:bCs/>
          <w:noProof/>
          <w:color w:val="auto"/>
        </w:rPr>
        <w:t>KPI 6: Recognition of professional qualifications</w:t>
      </w:r>
      <w:bookmarkEnd w:id="38"/>
    </w:p>
    <w:p w14:paraId="2B155B83" w14:textId="50AAA9C6" w:rsidR="00921913" w:rsidRPr="00486446" w:rsidRDefault="007A3463">
      <w:pPr>
        <w:pStyle w:val="Source"/>
        <w:rPr>
          <w:noProof/>
          <w:color w:val="auto"/>
          <w:sz w:val="24"/>
          <w:szCs w:val="24"/>
          <w:lang w:val="en-IE"/>
        </w:rPr>
      </w:pPr>
      <w:r w:rsidRPr="00486446">
        <w:rPr>
          <w:noProof/>
          <w:color w:val="auto"/>
          <w:sz w:val="24"/>
          <w:szCs w:val="24"/>
          <w:lang w:val="en-IE"/>
        </w:rPr>
        <w:t>KPI</w:t>
      </w:r>
      <w:r w:rsidR="00D907DE" w:rsidRPr="00486446">
        <w:rPr>
          <w:noProof/>
          <w:color w:val="auto"/>
          <w:sz w:val="24"/>
          <w:szCs w:val="24"/>
          <w:lang w:val="en-IE"/>
        </w:rPr>
        <w:t xml:space="preserve"> 6 measures </w:t>
      </w:r>
      <w:r w:rsidR="00EF477B" w:rsidRPr="00486446">
        <w:rPr>
          <w:noProof/>
          <w:color w:val="auto"/>
          <w:sz w:val="24"/>
          <w:szCs w:val="24"/>
          <w:lang w:val="en-IE"/>
        </w:rPr>
        <w:t>response</w:t>
      </w:r>
      <w:r w:rsidR="00D907DE" w:rsidRPr="00486446">
        <w:rPr>
          <w:noProof/>
          <w:color w:val="auto"/>
          <w:sz w:val="24"/>
          <w:szCs w:val="24"/>
          <w:lang w:val="en-IE"/>
        </w:rPr>
        <w:t xml:space="preserve"> rates </w:t>
      </w:r>
      <w:r w:rsidR="00EF477B" w:rsidRPr="00486446">
        <w:rPr>
          <w:noProof/>
          <w:color w:val="auto"/>
          <w:sz w:val="24"/>
          <w:szCs w:val="24"/>
          <w:lang w:val="en-IE"/>
        </w:rPr>
        <w:t xml:space="preserve">(positive, pending and negative) </w:t>
      </w:r>
      <w:r w:rsidR="00D907DE" w:rsidRPr="00486446">
        <w:rPr>
          <w:noProof/>
          <w:color w:val="auto"/>
          <w:sz w:val="24"/>
          <w:szCs w:val="24"/>
          <w:lang w:val="en-IE"/>
        </w:rPr>
        <w:t xml:space="preserve">of all </w:t>
      </w:r>
      <w:r w:rsidR="00101A17">
        <w:rPr>
          <w:noProof/>
          <w:color w:val="auto"/>
          <w:sz w:val="24"/>
          <w:szCs w:val="24"/>
          <w:lang w:val="en-IE"/>
        </w:rPr>
        <w:t xml:space="preserve">the </w:t>
      </w:r>
      <w:r w:rsidR="00D907DE" w:rsidRPr="00486446">
        <w:rPr>
          <w:noProof/>
          <w:color w:val="auto"/>
          <w:sz w:val="24"/>
          <w:szCs w:val="24"/>
          <w:lang w:val="en-IE"/>
        </w:rPr>
        <w:t xml:space="preserve">requests </w:t>
      </w:r>
      <w:r w:rsidR="00101A17" w:rsidRPr="00486446">
        <w:rPr>
          <w:noProof/>
          <w:color w:val="auto"/>
          <w:sz w:val="24"/>
          <w:szCs w:val="24"/>
          <w:lang w:val="en-IE"/>
        </w:rPr>
        <w:t xml:space="preserve">received </w:t>
      </w:r>
      <w:r w:rsidR="00D907DE" w:rsidRPr="00486446">
        <w:rPr>
          <w:noProof/>
          <w:color w:val="auto"/>
          <w:sz w:val="24"/>
          <w:szCs w:val="24"/>
          <w:lang w:val="en-IE"/>
        </w:rPr>
        <w:t>for recognition of professional qualifications</w:t>
      </w:r>
      <w:r w:rsidR="00782651" w:rsidRPr="00486446">
        <w:rPr>
          <w:noProof/>
          <w:color w:val="auto"/>
          <w:sz w:val="24"/>
          <w:szCs w:val="24"/>
          <w:lang w:val="en-IE"/>
        </w:rPr>
        <w:t>. Such requests are made</w:t>
      </w:r>
      <w:r w:rsidR="007723F2" w:rsidRPr="00486446">
        <w:rPr>
          <w:noProof/>
          <w:color w:val="auto"/>
          <w:sz w:val="24"/>
          <w:szCs w:val="24"/>
          <w:lang w:val="en-IE"/>
        </w:rPr>
        <w:t xml:space="preserve"> when a </w:t>
      </w:r>
      <w:r w:rsidR="00E94CAE" w:rsidRPr="00486446">
        <w:rPr>
          <w:noProof/>
          <w:color w:val="auto"/>
          <w:sz w:val="24"/>
          <w:szCs w:val="24"/>
          <w:lang w:val="en-IE"/>
        </w:rPr>
        <w:t>person having a professional qualification</w:t>
      </w:r>
      <w:r w:rsidR="007723F2" w:rsidRPr="00486446">
        <w:rPr>
          <w:noProof/>
          <w:color w:val="auto"/>
          <w:sz w:val="24"/>
          <w:szCs w:val="24"/>
          <w:lang w:val="en-IE"/>
        </w:rPr>
        <w:t xml:space="preserve"> </w:t>
      </w:r>
      <w:r w:rsidR="00790283" w:rsidRPr="00486446">
        <w:rPr>
          <w:noProof/>
          <w:color w:val="auto"/>
          <w:sz w:val="24"/>
          <w:szCs w:val="24"/>
          <w:lang w:val="en-IE"/>
        </w:rPr>
        <w:t>certified</w:t>
      </w:r>
      <w:r w:rsidR="007723F2" w:rsidRPr="00486446">
        <w:rPr>
          <w:noProof/>
          <w:color w:val="auto"/>
          <w:sz w:val="24"/>
          <w:szCs w:val="24"/>
          <w:lang w:val="en-IE"/>
        </w:rPr>
        <w:t xml:space="preserve"> in </w:t>
      </w:r>
      <w:r w:rsidR="00534429">
        <w:rPr>
          <w:noProof/>
          <w:color w:val="auto"/>
          <w:sz w:val="24"/>
          <w:szCs w:val="24"/>
          <w:lang w:val="en-IE"/>
        </w:rPr>
        <w:t>their</w:t>
      </w:r>
      <w:r w:rsidR="00534429" w:rsidRPr="00486446">
        <w:rPr>
          <w:noProof/>
          <w:color w:val="auto"/>
          <w:sz w:val="24"/>
          <w:szCs w:val="24"/>
          <w:lang w:val="en-IE"/>
        </w:rPr>
        <w:t xml:space="preserve"> </w:t>
      </w:r>
      <w:r w:rsidR="00E94CAE" w:rsidRPr="00486446">
        <w:rPr>
          <w:noProof/>
          <w:color w:val="auto"/>
          <w:sz w:val="24"/>
          <w:szCs w:val="24"/>
          <w:lang w:val="en-IE"/>
        </w:rPr>
        <w:t>home</w:t>
      </w:r>
      <w:r w:rsidR="007723F2" w:rsidRPr="00486446">
        <w:rPr>
          <w:noProof/>
          <w:color w:val="auto"/>
          <w:sz w:val="24"/>
          <w:szCs w:val="24"/>
          <w:lang w:val="en-IE"/>
        </w:rPr>
        <w:t xml:space="preserve"> Member State seeks to get </w:t>
      </w:r>
      <w:r w:rsidR="00A24862">
        <w:rPr>
          <w:noProof/>
          <w:color w:val="auto"/>
          <w:sz w:val="24"/>
          <w:szCs w:val="24"/>
          <w:lang w:val="en-IE"/>
        </w:rPr>
        <w:t>their</w:t>
      </w:r>
      <w:r w:rsidR="00A24862" w:rsidRPr="00486446">
        <w:rPr>
          <w:noProof/>
          <w:color w:val="auto"/>
          <w:sz w:val="24"/>
          <w:szCs w:val="24"/>
          <w:lang w:val="en-IE"/>
        </w:rPr>
        <w:t xml:space="preserve"> </w:t>
      </w:r>
      <w:r w:rsidR="007723F2" w:rsidRPr="00486446">
        <w:rPr>
          <w:noProof/>
          <w:color w:val="auto"/>
          <w:sz w:val="24"/>
          <w:szCs w:val="24"/>
          <w:lang w:val="en-IE"/>
        </w:rPr>
        <w:t>qualifications recognised in another Member State</w:t>
      </w:r>
      <w:r w:rsidR="00E94CAE" w:rsidRPr="00486446">
        <w:rPr>
          <w:noProof/>
          <w:color w:val="auto"/>
          <w:sz w:val="24"/>
          <w:szCs w:val="24"/>
          <w:lang w:val="en-IE"/>
        </w:rPr>
        <w:t xml:space="preserve"> in order</w:t>
      </w:r>
      <w:r w:rsidR="007723F2" w:rsidRPr="00486446">
        <w:rPr>
          <w:noProof/>
          <w:color w:val="auto"/>
          <w:sz w:val="24"/>
          <w:szCs w:val="24"/>
          <w:lang w:val="en-IE"/>
        </w:rPr>
        <w:t xml:space="preserve"> to work ther</w:t>
      </w:r>
      <w:r w:rsidR="00790283" w:rsidRPr="00486446">
        <w:rPr>
          <w:noProof/>
          <w:color w:val="auto"/>
          <w:sz w:val="24"/>
          <w:szCs w:val="24"/>
          <w:lang w:val="en-IE"/>
        </w:rPr>
        <w:t>e</w:t>
      </w:r>
      <w:r w:rsidR="00D907DE" w:rsidRPr="00486446">
        <w:rPr>
          <w:noProof/>
          <w:color w:val="auto"/>
          <w:sz w:val="24"/>
          <w:szCs w:val="24"/>
          <w:lang w:val="en-IE"/>
        </w:rPr>
        <w:t>.</w:t>
      </w:r>
    </w:p>
    <w:p w14:paraId="25D5F964" w14:textId="3E3FF256" w:rsidR="00D907DE" w:rsidRPr="00486446" w:rsidRDefault="00723709">
      <w:pPr>
        <w:pStyle w:val="Source"/>
        <w:rPr>
          <w:noProof/>
          <w:color w:val="auto"/>
          <w:sz w:val="24"/>
          <w:szCs w:val="24"/>
          <w:lang w:val="en-IE"/>
        </w:rPr>
      </w:pPr>
      <w:r w:rsidRPr="00486446">
        <w:rPr>
          <w:noProof/>
          <w:color w:val="auto"/>
          <w:sz w:val="24"/>
          <w:szCs w:val="24"/>
          <w:lang w:val="en-IE"/>
        </w:rPr>
        <w:t xml:space="preserve">This KPI tracks progress </w:t>
      </w:r>
      <w:r w:rsidR="00E90461">
        <w:rPr>
          <w:noProof/>
          <w:color w:val="auto"/>
          <w:sz w:val="24"/>
          <w:szCs w:val="24"/>
          <w:lang w:val="en-IE"/>
        </w:rPr>
        <w:t>related to</w:t>
      </w:r>
      <w:r w:rsidRPr="00486446">
        <w:rPr>
          <w:noProof/>
          <w:color w:val="auto"/>
          <w:sz w:val="24"/>
          <w:szCs w:val="24"/>
          <w:lang w:val="en-IE"/>
        </w:rPr>
        <w:t xml:space="preserve"> the objective of </w:t>
      </w:r>
      <w:r w:rsidR="007A3463" w:rsidRPr="00486446">
        <w:rPr>
          <w:noProof/>
          <w:color w:val="auto"/>
          <w:sz w:val="24"/>
          <w:szCs w:val="24"/>
          <w:lang w:val="en-IE"/>
        </w:rPr>
        <w:t>simplifying recognition of professional qualifications</w:t>
      </w:r>
      <w:r w:rsidR="00790283" w:rsidRPr="00486446">
        <w:rPr>
          <w:noProof/>
          <w:color w:val="auto"/>
          <w:sz w:val="24"/>
          <w:szCs w:val="24"/>
          <w:lang w:val="en-IE"/>
        </w:rPr>
        <w:t xml:space="preserve"> – </w:t>
      </w:r>
      <w:r w:rsidRPr="00486446">
        <w:rPr>
          <w:noProof/>
          <w:color w:val="auto"/>
          <w:sz w:val="24"/>
          <w:szCs w:val="24"/>
          <w:lang w:val="en-IE"/>
        </w:rPr>
        <w:t xml:space="preserve">one of the “Terrible Ten” </w:t>
      </w:r>
      <w:r w:rsidR="002F7858">
        <w:rPr>
          <w:noProof/>
          <w:color w:val="auto"/>
          <w:sz w:val="24"/>
          <w:szCs w:val="24"/>
          <w:lang w:val="en-IE"/>
        </w:rPr>
        <w:t xml:space="preserve">barriers </w:t>
      </w:r>
      <w:r w:rsidR="00816B52" w:rsidRPr="00486446">
        <w:rPr>
          <w:noProof/>
          <w:color w:val="auto"/>
          <w:sz w:val="24"/>
          <w:szCs w:val="24"/>
          <w:lang w:val="en-IE"/>
        </w:rPr>
        <w:t xml:space="preserve">identified </w:t>
      </w:r>
      <w:r w:rsidRPr="00486446">
        <w:rPr>
          <w:noProof/>
          <w:color w:val="auto"/>
          <w:sz w:val="24"/>
          <w:szCs w:val="24"/>
          <w:lang w:val="en-IE"/>
        </w:rPr>
        <w:t>in the Single Market Strategy.</w:t>
      </w:r>
    </w:p>
    <w:p w14:paraId="76EF4716" w14:textId="6A1A1981" w:rsidR="00C80077" w:rsidRPr="000C0B93" w:rsidRDefault="00641AF6">
      <w:pPr>
        <w:pStyle w:val="Source"/>
        <w:rPr>
          <w:noProof/>
          <w:sz w:val="24"/>
          <w:szCs w:val="24"/>
        </w:rPr>
      </w:pPr>
      <w:r>
        <w:rPr>
          <w:noProof/>
          <w:sz w:val="24"/>
          <w:szCs w:val="24"/>
        </w:rPr>
        <w:t xml:space="preserve">Of </w:t>
      </w:r>
      <w:r w:rsidR="001971EB">
        <w:rPr>
          <w:noProof/>
          <w:sz w:val="24"/>
          <w:szCs w:val="24"/>
        </w:rPr>
        <w:t>the</w:t>
      </w:r>
      <w:r>
        <w:rPr>
          <w:noProof/>
          <w:sz w:val="24"/>
          <w:szCs w:val="24"/>
        </w:rPr>
        <w:t xml:space="preserve"> initiated recognition procedures, </w:t>
      </w:r>
      <w:r w:rsidR="00B20155">
        <w:rPr>
          <w:noProof/>
          <w:sz w:val="24"/>
          <w:szCs w:val="24"/>
        </w:rPr>
        <w:t>in 2023,</w:t>
      </w:r>
      <w:r>
        <w:rPr>
          <w:noProof/>
          <w:sz w:val="24"/>
          <w:szCs w:val="24"/>
        </w:rPr>
        <w:t xml:space="preserve"> </w:t>
      </w:r>
      <w:r w:rsidR="00920D8B">
        <w:rPr>
          <w:noProof/>
          <w:sz w:val="24"/>
          <w:szCs w:val="24"/>
        </w:rPr>
        <w:t>10</w:t>
      </w:r>
      <w:r>
        <w:rPr>
          <w:noProof/>
          <w:sz w:val="24"/>
          <w:szCs w:val="24"/>
        </w:rPr>
        <w:t xml:space="preserve">% </w:t>
      </w:r>
      <w:r w:rsidR="00071259">
        <w:rPr>
          <w:noProof/>
          <w:sz w:val="24"/>
          <w:szCs w:val="24"/>
        </w:rPr>
        <w:t>are</w:t>
      </w:r>
      <w:r>
        <w:rPr>
          <w:noProof/>
          <w:sz w:val="24"/>
          <w:szCs w:val="24"/>
        </w:rPr>
        <w:t xml:space="preserve"> pending a decision, while </w:t>
      </w:r>
      <w:r w:rsidR="00920D8B">
        <w:rPr>
          <w:noProof/>
          <w:sz w:val="24"/>
          <w:szCs w:val="24"/>
        </w:rPr>
        <w:t>8</w:t>
      </w:r>
      <w:r>
        <w:rPr>
          <w:noProof/>
          <w:sz w:val="24"/>
          <w:szCs w:val="24"/>
        </w:rPr>
        <w:t xml:space="preserve">% </w:t>
      </w:r>
      <w:r w:rsidR="00071259">
        <w:rPr>
          <w:noProof/>
          <w:sz w:val="24"/>
          <w:szCs w:val="24"/>
        </w:rPr>
        <w:t xml:space="preserve">have </w:t>
      </w:r>
      <w:r>
        <w:rPr>
          <w:noProof/>
          <w:sz w:val="24"/>
          <w:szCs w:val="24"/>
        </w:rPr>
        <w:t xml:space="preserve">resulted in a negative decision, with </w:t>
      </w:r>
      <w:r w:rsidR="001D09F4">
        <w:rPr>
          <w:noProof/>
          <w:sz w:val="24"/>
          <w:szCs w:val="24"/>
        </w:rPr>
        <w:t xml:space="preserve">considerable </w:t>
      </w:r>
      <w:r>
        <w:rPr>
          <w:noProof/>
          <w:sz w:val="24"/>
          <w:szCs w:val="24"/>
        </w:rPr>
        <w:t>di</w:t>
      </w:r>
      <w:r w:rsidR="00F625E1">
        <w:rPr>
          <w:noProof/>
          <w:sz w:val="24"/>
          <w:szCs w:val="24"/>
        </w:rPr>
        <w:t>fferences</w:t>
      </w:r>
      <w:r>
        <w:rPr>
          <w:noProof/>
          <w:sz w:val="24"/>
          <w:szCs w:val="24"/>
        </w:rPr>
        <w:t xml:space="preserve"> across Member States</w:t>
      </w:r>
      <w:r w:rsidR="004F3F7B">
        <w:rPr>
          <w:rStyle w:val="FootnoteReference"/>
          <w:noProof/>
          <w:sz w:val="24"/>
          <w:szCs w:val="24"/>
        </w:rPr>
        <w:footnoteReference w:id="13"/>
      </w:r>
      <w:r w:rsidR="00C80077">
        <w:rPr>
          <w:noProof/>
          <w:sz w:val="24"/>
          <w:szCs w:val="24"/>
        </w:rPr>
        <w:t xml:space="preserve">. </w:t>
      </w:r>
    </w:p>
    <w:p w14:paraId="77A57482" w14:textId="11AE7D8A" w:rsidR="002D7A91" w:rsidRPr="00486446" w:rsidRDefault="00D907DE" w:rsidP="006E0577">
      <w:pPr>
        <w:pStyle w:val="Figurecaption"/>
        <w:keepNext w:val="0"/>
        <w:widowControl w:val="0"/>
        <w:spacing w:after="120" w:line="250" w:lineRule="auto"/>
        <w:jc w:val="both"/>
        <w:rPr>
          <w:rFonts w:eastAsia="Times New Roman" w:cs="Times New Roman"/>
          <w:iCs w:val="0"/>
          <w:noProof/>
          <w:szCs w:val="24"/>
          <w:lang w:val="en-IE"/>
        </w:rPr>
      </w:pPr>
      <w:r w:rsidRPr="00486446">
        <w:rPr>
          <w:rFonts w:eastAsia="Times New Roman" w:cs="Times New Roman"/>
          <w:b/>
          <w:bCs/>
          <w:noProof/>
          <w:lang w:val="en-IE"/>
        </w:rPr>
        <w:t>Figure 6</w:t>
      </w:r>
      <w:r w:rsidR="00AE25A0" w:rsidRPr="00486446">
        <w:rPr>
          <w:rFonts w:eastAsia="Times New Roman" w:cs="Times New Roman"/>
          <w:b/>
          <w:bCs/>
          <w:noProof/>
          <w:lang w:val="en-IE"/>
        </w:rPr>
        <w:t>a</w:t>
      </w:r>
      <w:r w:rsidRPr="00486446">
        <w:rPr>
          <w:rFonts w:eastAsia="Times New Roman" w:cs="Times New Roman"/>
          <w:noProof/>
          <w:lang w:val="en-IE"/>
        </w:rPr>
        <w:t xml:space="preserve">: </w:t>
      </w:r>
      <w:r w:rsidR="00BC5712" w:rsidRPr="00486446">
        <w:rPr>
          <w:rFonts w:eastAsia="Times New Roman" w:cs="Times New Roman"/>
          <w:iCs w:val="0"/>
          <w:noProof/>
          <w:szCs w:val="24"/>
          <w:lang w:val="en-IE"/>
        </w:rPr>
        <w:t>Recognition of professional qualifications</w:t>
      </w:r>
      <w:r w:rsidR="00AE25A0" w:rsidRPr="00486446">
        <w:rPr>
          <w:rFonts w:eastAsia="Times New Roman" w:cs="Times New Roman"/>
          <w:iCs w:val="0"/>
          <w:noProof/>
          <w:szCs w:val="24"/>
          <w:lang w:val="en-IE"/>
        </w:rPr>
        <w:t xml:space="preserve"> per Member State</w:t>
      </w:r>
      <w:r w:rsidR="00551B88" w:rsidRPr="00486446">
        <w:rPr>
          <w:rFonts w:eastAsia="Times New Roman" w:cs="Times New Roman"/>
          <w:iCs w:val="0"/>
          <w:noProof/>
          <w:szCs w:val="24"/>
          <w:lang w:val="en-IE"/>
        </w:rPr>
        <w:t>.</w:t>
      </w:r>
    </w:p>
    <w:p w14:paraId="57E016F5" w14:textId="06515DEE" w:rsidR="00C80077" w:rsidRPr="00486446" w:rsidRDefault="00FE7BE8" w:rsidP="00C80077">
      <w:pPr>
        <w:pStyle w:val="Figurecaption"/>
        <w:keepNext w:val="0"/>
        <w:widowControl w:val="0"/>
        <w:spacing w:after="0" w:line="250" w:lineRule="auto"/>
        <w:rPr>
          <w:rFonts w:cs="Times New Roman"/>
          <w:noProof/>
          <w:lang w:val="en-IE"/>
        </w:rPr>
      </w:pPr>
      <w:r>
        <w:rPr>
          <w:iCs w:val="0"/>
          <w:noProof/>
          <w:lang w:eastAsia="en-GB"/>
        </w:rPr>
        <w:drawing>
          <wp:inline distT="0" distB="0" distL="0" distR="0" wp14:anchorId="378B2456" wp14:editId="0246D5A3">
            <wp:extent cx="5529255" cy="2916936"/>
            <wp:effectExtent l="0" t="0" r="0" b="0"/>
            <wp:docPr id="13358623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62398"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5529255" cy="2916936"/>
                    </a:xfrm>
                    <a:prstGeom prst="rect">
                      <a:avLst/>
                    </a:prstGeom>
                  </pic:spPr>
                </pic:pic>
              </a:graphicData>
            </a:graphic>
          </wp:inline>
        </w:drawing>
      </w:r>
    </w:p>
    <w:p w14:paraId="2828E967" w14:textId="164C0405" w:rsidR="00946D51" w:rsidRPr="00486446" w:rsidRDefault="00AE25A0" w:rsidP="006E0577">
      <w:pPr>
        <w:pStyle w:val="Figurecaption"/>
        <w:keepNext w:val="0"/>
        <w:widowControl w:val="0"/>
        <w:spacing w:after="120" w:line="250" w:lineRule="auto"/>
        <w:jc w:val="both"/>
        <w:rPr>
          <w:rFonts w:eastAsia="Times New Roman" w:cs="Times New Roman"/>
          <w:iCs w:val="0"/>
          <w:noProof/>
          <w:szCs w:val="24"/>
          <w:lang w:val="en-IE"/>
        </w:rPr>
      </w:pPr>
      <w:r w:rsidRPr="00486446">
        <w:rPr>
          <w:rFonts w:eastAsia="Times New Roman" w:cs="Times New Roman"/>
          <w:b/>
          <w:bCs/>
          <w:noProof/>
          <w:lang w:val="en-IE"/>
        </w:rPr>
        <w:t>Figure 6b</w:t>
      </w:r>
      <w:r w:rsidRPr="00486446">
        <w:rPr>
          <w:rFonts w:eastAsia="Times New Roman" w:cs="Times New Roman"/>
          <w:noProof/>
          <w:lang w:val="en-IE"/>
        </w:rPr>
        <w:t xml:space="preserve">: </w:t>
      </w:r>
      <w:r w:rsidR="00043CAC">
        <w:rPr>
          <w:rFonts w:eastAsia="Times New Roman" w:cs="Times New Roman"/>
          <w:iCs w:val="0"/>
          <w:noProof/>
          <w:szCs w:val="24"/>
          <w:lang w:val="en-IE"/>
        </w:rPr>
        <w:t>Evolution of</w:t>
      </w:r>
      <w:r w:rsidRPr="00486446">
        <w:rPr>
          <w:rFonts w:eastAsia="Times New Roman" w:cs="Times New Roman"/>
          <w:iCs w:val="0"/>
          <w:noProof/>
          <w:szCs w:val="24"/>
          <w:lang w:val="en-IE"/>
        </w:rPr>
        <w:t xml:space="preserve"> the </w:t>
      </w:r>
      <w:r w:rsidR="00946D51" w:rsidRPr="00486446">
        <w:rPr>
          <w:rFonts w:eastAsia="Times New Roman" w:cs="Times New Roman"/>
          <w:iCs w:val="0"/>
          <w:noProof/>
          <w:szCs w:val="24"/>
          <w:lang w:val="en-IE"/>
        </w:rPr>
        <w:t xml:space="preserve">EU </w:t>
      </w:r>
      <w:r w:rsidRPr="00486446">
        <w:rPr>
          <w:rFonts w:eastAsia="Times New Roman" w:cs="Times New Roman"/>
          <w:iCs w:val="0"/>
          <w:noProof/>
          <w:szCs w:val="24"/>
          <w:lang w:val="en-IE"/>
        </w:rPr>
        <w:t>average of recognition decisions.</w:t>
      </w:r>
    </w:p>
    <w:p w14:paraId="79052D9F" w14:textId="3CB01C4A" w:rsidR="00D76B8D" w:rsidRPr="00486446" w:rsidRDefault="00D65930" w:rsidP="00C80077">
      <w:pPr>
        <w:pStyle w:val="Figurecaption"/>
        <w:keepNext w:val="0"/>
        <w:widowControl w:val="0"/>
        <w:spacing w:after="0"/>
        <w:jc w:val="center"/>
        <w:rPr>
          <w:rFonts w:eastAsia="Times New Roman" w:cs="Times New Roman"/>
          <w:iCs w:val="0"/>
          <w:noProof/>
          <w:szCs w:val="24"/>
          <w:lang w:val="en-IE"/>
        </w:rPr>
      </w:pPr>
      <w:r>
        <w:rPr>
          <w:noProof/>
          <w:lang w:eastAsia="en-GB"/>
        </w:rPr>
        <w:drawing>
          <wp:inline distT="0" distB="0" distL="0" distR="0" wp14:anchorId="05EB577A" wp14:editId="5951DF57">
            <wp:extent cx="4038863" cy="2426676"/>
            <wp:effectExtent l="0" t="0" r="0" b="0"/>
            <wp:docPr id="4627063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0631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4064073" cy="2441823"/>
                    </a:xfrm>
                    <a:prstGeom prst="rect">
                      <a:avLst/>
                    </a:prstGeom>
                  </pic:spPr>
                </pic:pic>
              </a:graphicData>
            </a:graphic>
          </wp:inline>
        </w:drawing>
      </w:r>
    </w:p>
    <w:p w14:paraId="795E67B9" w14:textId="2CE1F539" w:rsidR="00FD0882" w:rsidRPr="00C80077" w:rsidRDefault="00D907DE" w:rsidP="00C80077">
      <w:pPr>
        <w:pStyle w:val="Figurecaption"/>
        <w:keepNext w:val="0"/>
        <w:widowControl w:val="0"/>
        <w:spacing w:after="0"/>
        <w:rPr>
          <w:rFonts w:cs="Times New Roman"/>
          <w:noProof/>
          <w:sz w:val="20"/>
          <w:szCs w:val="14"/>
          <w:lang w:val="en-IE"/>
        </w:rPr>
      </w:pPr>
      <w:r w:rsidRPr="00486446">
        <w:rPr>
          <w:rStyle w:val="normaltextrun"/>
          <w:rFonts w:cs="Times New Roman"/>
          <w:noProof/>
          <w:sz w:val="20"/>
          <w:szCs w:val="14"/>
          <w:lang w:val="en-IE"/>
        </w:rPr>
        <w:t xml:space="preserve">Source: </w:t>
      </w:r>
      <w:r w:rsidR="00055EBF" w:rsidRPr="00486446">
        <w:rPr>
          <w:rFonts w:cs="Times New Roman"/>
          <w:noProof/>
          <w:sz w:val="20"/>
          <w:szCs w:val="14"/>
          <w:lang w:val="en-IE"/>
        </w:rPr>
        <w:t>European Commission</w:t>
      </w:r>
      <w:r w:rsidR="003831C9">
        <w:rPr>
          <w:rFonts w:cs="Times New Roman"/>
          <w:noProof/>
          <w:sz w:val="20"/>
          <w:szCs w:val="14"/>
          <w:lang w:val="en-IE"/>
        </w:rPr>
        <w:t xml:space="preserve"> services calculatoins based on</w:t>
      </w:r>
      <w:r w:rsidR="00055EBF" w:rsidRPr="00486446">
        <w:rPr>
          <w:rFonts w:cs="Times New Roman"/>
          <w:noProof/>
          <w:sz w:val="20"/>
          <w:szCs w:val="14"/>
          <w:lang w:val="en-IE"/>
        </w:rPr>
        <w:t xml:space="preserve"> </w:t>
      </w:r>
      <w:r w:rsidR="00891420">
        <w:rPr>
          <w:rFonts w:cs="Times New Roman"/>
          <w:noProof/>
          <w:sz w:val="20"/>
          <w:szCs w:val="14"/>
          <w:lang w:val="en-IE"/>
        </w:rPr>
        <w:t xml:space="preserve">the </w:t>
      </w:r>
      <w:r w:rsidR="00055EBF" w:rsidRPr="00486446">
        <w:rPr>
          <w:rFonts w:cs="Times New Roman"/>
          <w:noProof/>
          <w:sz w:val="20"/>
          <w:szCs w:val="14"/>
          <w:lang w:val="en-IE"/>
        </w:rPr>
        <w:t>Regulated professions database</w:t>
      </w:r>
    </w:p>
    <w:p w14:paraId="4D2A433D" w14:textId="570D3979" w:rsidR="00324838" w:rsidRPr="00C80077" w:rsidRDefault="00324838" w:rsidP="00C80077">
      <w:pPr>
        <w:pStyle w:val="Figurecaption"/>
        <w:keepNext w:val="0"/>
        <w:widowControl w:val="0"/>
        <w:spacing w:after="0"/>
        <w:rPr>
          <w:rFonts w:cs="Times New Roman"/>
          <w:noProof/>
          <w:sz w:val="20"/>
          <w:szCs w:val="14"/>
          <w:lang w:val="en-IE"/>
        </w:rPr>
      </w:pPr>
    </w:p>
    <w:p w14:paraId="3162A88E" w14:textId="77777777" w:rsidR="00227BFE" w:rsidRDefault="00227BFE">
      <w:pPr>
        <w:suppressAutoHyphens w:val="0"/>
        <w:rPr>
          <w:rFonts w:ascii="Times New Roman" w:hAnsi="Times New Roman" w:cs="Times New Roman"/>
          <w:iCs/>
          <w:noProof/>
          <w:sz w:val="20"/>
          <w:szCs w:val="14"/>
          <w:lang w:val="en-IE"/>
        </w:rPr>
      </w:pPr>
      <w:r>
        <w:rPr>
          <w:rFonts w:cs="Times New Roman"/>
          <w:noProof/>
          <w:sz w:val="20"/>
          <w:szCs w:val="14"/>
          <w:lang w:val="en-IE"/>
        </w:rPr>
        <w:br w:type="page"/>
      </w:r>
    </w:p>
    <w:p w14:paraId="2F226F1B" w14:textId="77777777" w:rsidR="00324838" w:rsidRPr="00C80077" w:rsidRDefault="00324838" w:rsidP="00C80077">
      <w:pPr>
        <w:pStyle w:val="Figurecaption"/>
        <w:keepNext w:val="0"/>
        <w:widowControl w:val="0"/>
        <w:spacing w:after="0"/>
        <w:rPr>
          <w:rFonts w:cs="Times New Roman"/>
          <w:noProof/>
          <w:sz w:val="20"/>
          <w:szCs w:val="14"/>
          <w:lang w:val="en-IE"/>
        </w:rPr>
      </w:pPr>
    </w:p>
    <w:p w14:paraId="5D3AD1E3" w14:textId="31753AD2" w:rsidR="00D907DE" w:rsidRPr="00807062" w:rsidRDefault="00D907DE" w:rsidP="0065549F">
      <w:pPr>
        <w:pStyle w:val="Heading3"/>
        <w:spacing w:before="0" w:after="160" w:line="250" w:lineRule="auto"/>
        <w:rPr>
          <w:rFonts w:ascii="Times New Roman" w:hAnsi="Times New Roman"/>
          <w:b/>
          <w:bCs/>
          <w:noProof/>
          <w:color w:val="auto"/>
        </w:rPr>
      </w:pPr>
      <w:bookmarkStart w:id="39" w:name="_Toc220103441"/>
      <w:r w:rsidRPr="00807062">
        <w:rPr>
          <w:rFonts w:ascii="Times New Roman" w:hAnsi="Times New Roman"/>
          <w:b/>
          <w:bCs/>
          <w:noProof/>
          <w:color w:val="auto"/>
        </w:rPr>
        <w:t xml:space="preserve">KPI 7: </w:t>
      </w:r>
      <w:bookmarkStart w:id="40" w:name="_Hlk214461131"/>
      <w:r w:rsidRPr="00807062">
        <w:rPr>
          <w:rFonts w:ascii="Times New Roman" w:hAnsi="Times New Roman"/>
          <w:b/>
          <w:bCs/>
          <w:noProof/>
          <w:color w:val="auto"/>
        </w:rPr>
        <w:t>Length of standard-setting procedures</w:t>
      </w:r>
      <w:bookmarkEnd w:id="39"/>
      <w:bookmarkEnd w:id="40"/>
    </w:p>
    <w:p w14:paraId="3492C8D5" w14:textId="4951921D" w:rsidR="00D907DE" w:rsidRPr="00EC17DB" w:rsidRDefault="007A3463" w:rsidP="00D907DE">
      <w:pPr>
        <w:pStyle w:val="Source"/>
        <w:rPr>
          <w:noProof/>
          <w:color w:val="auto"/>
          <w:sz w:val="24"/>
          <w:szCs w:val="24"/>
        </w:rPr>
      </w:pPr>
      <w:r w:rsidRPr="00486446">
        <w:rPr>
          <w:noProof/>
          <w:color w:val="auto"/>
          <w:sz w:val="24"/>
          <w:szCs w:val="24"/>
          <w:lang w:val="en-IE"/>
        </w:rPr>
        <w:t>KPI</w:t>
      </w:r>
      <w:r w:rsidR="00D907DE" w:rsidRPr="00486446">
        <w:rPr>
          <w:noProof/>
          <w:color w:val="auto"/>
          <w:sz w:val="24"/>
          <w:szCs w:val="24"/>
          <w:lang w:val="en-IE"/>
        </w:rPr>
        <w:t xml:space="preserve"> 7 measures the average </w:t>
      </w:r>
      <w:r w:rsidR="0094719D">
        <w:rPr>
          <w:noProof/>
          <w:color w:val="auto"/>
          <w:sz w:val="24"/>
          <w:szCs w:val="24"/>
          <w:lang w:val="en-IE"/>
        </w:rPr>
        <w:t>length</w:t>
      </w:r>
      <w:r w:rsidR="0094719D" w:rsidRPr="00486446">
        <w:rPr>
          <w:noProof/>
          <w:color w:val="auto"/>
          <w:sz w:val="24"/>
          <w:szCs w:val="24"/>
          <w:lang w:val="en-IE"/>
        </w:rPr>
        <w:t xml:space="preserve"> </w:t>
      </w:r>
      <w:r w:rsidR="00D907DE" w:rsidRPr="00486446">
        <w:rPr>
          <w:noProof/>
          <w:color w:val="auto"/>
          <w:sz w:val="24"/>
          <w:szCs w:val="24"/>
          <w:lang w:val="en-IE"/>
        </w:rPr>
        <w:t xml:space="preserve">in years </w:t>
      </w:r>
      <w:r w:rsidR="003D36CF">
        <w:rPr>
          <w:noProof/>
          <w:color w:val="auto"/>
          <w:sz w:val="24"/>
          <w:szCs w:val="24"/>
          <w:lang w:val="en-IE"/>
        </w:rPr>
        <w:t xml:space="preserve">of the drafting stage of </w:t>
      </w:r>
      <w:r w:rsidR="00D907DE" w:rsidRPr="00486446">
        <w:rPr>
          <w:noProof/>
          <w:color w:val="auto"/>
          <w:sz w:val="24"/>
          <w:szCs w:val="24"/>
          <w:lang w:val="en-IE"/>
        </w:rPr>
        <w:t>standards</w:t>
      </w:r>
      <w:r w:rsidR="00790283" w:rsidRPr="00486446">
        <w:rPr>
          <w:noProof/>
          <w:color w:val="auto"/>
          <w:sz w:val="24"/>
          <w:szCs w:val="24"/>
          <w:lang w:val="en-IE"/>
        </w:rPr>
        <w:t>.</w:t>
      </w:r>
      <w:r w:rsidR="003D36CF">
        <w:rPr>
          <w:noProof/>
          <w:color w:val="auto"/>
          <w:sz w:val="24"/>
          <w:szCs w:val="24"/>
          <w:lang w:val="en-IE"/>
        </w:rPr>
        <w:t xml:space="preserve"> </w:t>
      </w:r>
    </w:p>
    <w:p w14:paraId="0EAD05BC" w14:textId="37764B35" w:rsidR="00660B0D" w:rsidRPr="00486446" w:rsidRDefault="007A3463" w:rsidP="007A3463">
      <w:pPr>
        <w:pStyle w:val="Source"/>
        <w:rPr>
          <w:noProof/>
          <w:color w:val="auto"/>
          <w:sz w:val="24"/>
          <w:szCs w:val="24"/>
          <w:lang w:val="en-IE"/>
        </w:rPr>
      </w:pPr>
      <w:r w:rsidRPr="00486446">
        <w:rPr>
          <w:noProof/>
          <w:color w:val="auto"/>
          <w:sz w:val="24"/>
          <w:szCs w:val="24"/>
          <w:lang w:val="en-IE"/>
        </w:rPr>
        <w:t xml:space="preserve">This KPI tracks progress </w:t>
      </w:r>
      <w:r w:rsidR="00E90461">
        <w:rPr>
          <w:noProof/>
          <w:color w:val="auto"/>
          <w:sz w:val="24"/>
          <w:szCs w:val="24"/>
          <w:lang w:val="en-IE"/>
        </w:rPr>
        <w:t>related to</w:t>
      </w:r>
      <w:r w:rsidR="00E90461" w:rsidRPr="00486446">
        <w:rPr>
          <w:noProof/>
          <w:color w:val="auto"/>
          <w:sz w:val="24"/>
          <w:szCs w:val="24"/>
          <w:lang w:val="en-IE"/>
        </w:rPr>
        <w:t xml:space="preserve"> </w:t>
      </w:r>
      <w:r w:rsidRPr="00486446">
        <w:rPr>
          <w:noProof/>
          <w:color w:val="auto"/>
          <w:sz w:val="24"/>
          <w:szCs w:val="24"/>
          <w:lang w:val="en-IE"/>
        </w:rPr>
        <w:t xml:space="preserve">the objective of </w:t>
      </w:r>
      <w:r w:rsidR="00AE212D" w:rsidRPr="00486446">
        <w:rPr>
          <w:noProof/>
          <w:color w:val="auto"/>
          <w:sz w:val="24"/>
          <w:szCs w:val="24"/>
          <w:lang w:val="en-IE"/>
        </w:rPr>
        <w:t>speeding up standard-setting procedures</w:t>
      </w:r>
      <w:r w:rsidR="00F125BF">
        <w:rPr>
          <w:noProof/>
          <w:color w:val="auto"/>
          <w:sz w:val="24"/>
          <w:szCs w:val="24"/>
          <w:lang w:val="en-IE"/>
        </w:rPr>
        <w:t xml:space="preserve"> </w:t>
      </w:r>
      <w:r w:rsidR="00F125BF" w:rsidRPr="00486446">
        <w:rPr>
          <w:noProof/>
          <w:color w:val="auto"/>
          <w:sz w:val="24"/>
          <w:szCs w:val="24"/>
          <w:lang w:val="en-IE"/>
        </w:rPr>
        <w:t>–</w:t>
      </w:r>
      <w:r w:rsidRPr="00486446">
        <w:rPr>
          <w:noProof/>
          <w:color w:val="auto"/>
          <w:sz w:val="24"/>
          <w:szCs w:val="24"/>
          <w:lang w:val="en-IE"/>
        </w:rPr>
        <w:t xml:space="preserve"> one of the “Terrible Ten” </w:t>
      </w:r>
      <w:r w:rsidR="002F7858">
        <w:rPr>
          <w:noProof/>
          <w:color w:val="auto"/>
          <w:sz w:val="24"/>
          <w:szCs w:val="24"/>
          <w:lang w:val="en-IE"/>
        </w:rPr>
        <w:t xml:space="preserve">barriers </w:t>
      </w:r>
      <w:r w:rsidR="00816B52" w:rsidRPr="00486446">
        <w:rPr>
          <w:noProof/>
          <w:color w:val="auto"/>
          <w:sz w:val="24"/>
          <w:szCs w:val="24"/>
          <w:lang w:val="en-IE"/>
        </w:rPr>
        <w:t xml:space="preserve">identified </w:t>
      </w:r>
      <w:r w:rsidRPr="00486446">
        <w:rPr>
          <w:noProof/>
          <w:color w:val="auto"/>
          <w:sz w:val="24"/>
          <w:szCs w:val="24"/>
          <w:lang w:val="en-IE"/>
        </w:rPr>
        <w:t>in the Single Market Strategy.</w:t>
      </w:r>
    </w:p>
    <w:p w14:paraId="3045C5CA" w14:textId="214154C5" w:rsidR="008137A4" w:rsidRDefault="007F374D" w:rsidP="0065549F">
      <w:pPr>
        <w:pStyle w:val="Text1"/>
        <w:spacing w:after="160"/>
        <w:ind w:left="0"/>
        <w:rPr>
          <w:bCs/>
          <w:noProof/>
          <w:color w:val="000000" w:themeColor="text1"/>
          <w:lang w:val="en-IE"/>
        </w:rPr>
      </w:pPr>
      <w:r w:rsidRPr="0065549F">
        <w:rPr>
          <w:bCs/>
          <w:noProof/>
          <w:color w:val="000000" w:themeColor="text1"/>
          <w:lang w:val="en-IE"/>
        </w:rPr>
        <w:t xml:space="preserve">The European standardisation system is hindered by </w:t>
      </w:r>
      <w:r w:rsidR="00F54178">
        <w:rPr>
          <w:bCs/>
          <w:noProof/>
          <w:color w:val="000000" w:themeColor="text1"/>
          <w:lang w:val="en-IE"/>
        </w:rPr>
        <w:t>the</w:t>
      </w:r>
      <w:r w:rsidRPr="0065549F">
        <w:rPr>
          <w:bCs/>
          <w:noProof/>
          <w:color w:val="000000" w:themeColor="text1"/>
          <w:lang w:val="en-IE"/>
        </w:rPr>
        <w:t xml:space="preserve"> slow </w:t>
      </w:r>
      <w:r w:rsidR="00F54178">
        <w:rPr>
          <w:bCs/>
          <w:noProof/>
          <w:color w:val="000000" w:themeColor="text1"/>
          <w:lang w:val="en-IE"/>
        </w:rPr>
        <w:t xml:space="preserve">pace of the </w:t>
      </w:r>
      <w:r w:rsidRPr="0065549F">
        <w:rPr>
          <w:bCs/>
          <w:noProof/>
          <w:color w:val="000000" w:themeColor="text1"/>
          <w:lang w:val="en-IE"/>
        </w:rPr>
        <w:t xml:space="preserve">standard development process, </w:t>
      </w:r>
      <w:r w:rsidR="00DD2DEA">
        <w:rPr>
          <w:bCs/>
          <w:noProof/>
          <w:color w:val="000000" w:themeColor="text1"/>
          <w:lang w:val="en-IE"/>
        </w:rPr>
        <w:t xml:space="preserve">which </w:t>
      </w:r>
      <w:r w:rsidRPr="0065549F">
        <w:rPr>
          <w:bCs/>
          <w:noProof/>
          <w:color w:val="000000" w:themeColor="text1"/>
          <w:lang w:val="en-IE"/>
        </w:rPr>
        <w:t>fail</w:t>
      </w:r>
      <w:r w:rsidR="00DD2DEA">
        <w:rPr>
          <w:bCs/>
          <w:noProof/>
          <w:color w:val="000000" w:themeColor="text1"/>
          <w:lang w:val="en-IE"/>
        </w:rPr>
        <w:t>s</w:t>
      </w:r>
      <w:r w:rsidRPr="0065549F">
        <w:rPr>
          <w:bCs/>
          <w:noProof/>
          <w:color w:val="000000" w:themeColor="text1"/>
          <w:lang w:val="en-IE"/>
        </w:rPr>
        <w:t xml:space="preserve"> to meet market and legislative needs, particularly for new technologies.</w:t>
      </w:r>
      <w:r w:rsidRPr="007F374D">
        <w:rPr>
          <w:bCs/>
          <w:noProof/>
          <w:color w:val="000000" w:themeColor="text1"/>
          <w:lang w:val="en-IE"/>
        </w:rPr>
        <w:t xml:space="preserve"> Over the past decade, the average time </w:t>
      </w:r>
      <w:r w:rsidR="00EC7C07">
        <w:rPr>
          <w:bCs/>
          <w:noProof/>
          <w:color w:val="000000" w:themeColor="text1"/>
          <w:lang w:val="en-IE"/>
        </w:rPr>
        <w:t>needed</w:t>
      </w:r>
      <w:r w:rsidRPr="007F374D">
        <w:rPr>
          <w:bCs/>
          <w:noProof/>
          <w:color w:val="000000" w:themeColor="text1"/>
          <w:lang w:val="en-IE"/>
        </w:rPr>
        <w:t xml:space="preserve"> to establish a new standard has gradually increased, </w:t>
      </w:r>
      <w:r w:rsidR="006B4BC9">
        <w:rPr>
          <w:bCs/>
          <w:noProof/>
          <w:color w:val="000000" w:themeColor="text1"/>
          <w:lang w:val="en-IE"/>
        </w:rPr>
        <w:t xml:space="preserve">which </w:t>
      </w:r>
      <w:r w:rsidRPr="007F374D">
        <w:rPr>
          <w:bCs/>
          <w:noProof/>
          <w:color w:val="000000" w:themeColor="text1"/>
          <w:lang w:val="en-IE"/>
        </w:rPr>
        <w:t>weigh</w:t>
      </w:r>
      <w:r w:rsidR="006B4BC9">
        <w:rPr>
          <w:bCs/>
          <w:noProof/>
          <w:color w:val="000000" w:themeColor="text1"/>
          <w:lang w:val="en-IE"/>
        </w:rPr>
        <w:t>s</w:t>
      </w:r>
      <w:r w:rsidRPr="007F374D">
        <w:rPr>
          <w:bCs/>
          <w:noProof/>
          <w:color w:val="000000" w:themeColor="text1"/>
          <w:lang w:val="en-IE"/>
        </w:rPr>
        <w:t xml:space="preserve"> on the competitiveness of EU industry. </w:t>
      </w:r>
      <w:r w:rsidR="00586D0C" w:rsidRPr="00586D0C">
        <w:rPr>
          <w:bCs/>
          <w:noProof/>
          <w:color w:val="000000" w:themeColor="text1"/>
        </w:rPr>
        <w:t>Several factors contribute to this slow pace, including</w:t>
      </w:r>
      <w:r w:rsidRPr="007F374D">
        <w:rPr>
          <w:bCs/>
          <w:noProof/>
          <w:color w:val="000000" w:themeColor="text1"/>
          <w:lang w:val="en-IE"/>
        </w:rPr>
        <w:t xml:space="preserve"> outdated working methods and the </w:t>
      </w:r>
      <w:r w:rsidR="00333419" w:rsidRPr="00333419">
        <w:rPr>
          <w:bCs/>
          <w:noProof/>
          <w:color w:val="000000" w:themeColor="text1"/>
        </w:rPr>
        <w:t xml:space="preserve">underuse </w:t>
      </w:r>
      <w:r w:rsidRPr="007F374D">
        <w:rPr>
          <w:bCs/>
          <w:noProof/>
          <w:color w:val="000000" w:themeColor="text1"/>
          <w:lang w:val="en-IE"/>
        </w:rPr>
        <w:t>of digital technologies</w:t>
      </w:r>
      <w:r w:rsidR="00BA4E86">
        <w:rPr>
          <w:rStyle w:val="FootnoteReference"/>
          <w:bCs/>
          <w:noProof/>
          <w:color w:val="000000" w:themeColor="text1"/>
          <w:lang w:val="en-IE"/>
        </w:rPr>
        <w:footnoteReference w:id="14"/>
      </w:r>
      <w:r w:rsidRPr="007F374D">
        <w:rPr>
          <w:bCs/>
          <w:noProof/>
          <w:color w:val="000000" w:themeColor="text1"/>
          <w:lang w:val="en-IE"/>
        </w:rPr>
        <w:t>.</w:t>
      </w:r>
      <w:r w:rsidR="00CD3953">
        <w:rPr>
          <w:bCs/>
          <w:noProof/>
          <w:color w:val="000000" w:themeColor="text1"/>
          <w:lang w:val="en-IE"/>
        </w:rPr>
        <w:t xml:space="preserve"> </w:t>
      </w:r>
    </w:p>
    <w:p w14:paraId="7B4E6973" w14:textId="77777777" w:rsidR="000C0B93" w:rsidRPr="00486446" w:rsidRDefault="000C0B93" w:rsidP="0065549F">
      <w:pPr>
        <w:pStyle w:val="Text1"/>
        <w:spacing w:after="160"/>
        <w:ind w:left="0"/>
        <w:rPr>
          <w:noProof/>
          <w:lang w:val="en-IE"/>
        </w:rPr>
      </w:pPr>
    </w:p>
    <w:p w14:paraId="124982D8" w14:textId="796DC71A" w:rsidR="003D0D97" w:rsidRDefault="00D907DE" w:rsidP="00E52AE8">
      <w:pPr>
        <w:pStyle w:val="Figurecaption"/>
        <w:jc w:val="both"/>
        <w:rPr>
          <w:rFonts w:eastAsia="Times New Roman" w:cs="Times New Roman"/>
          <w:iCs w:val="0"/>
          <w:noProof/>
          <w:szCs w:val="24"/>
          <w:lang w:val="en-IE"/>
        </w:rPr>
      </w:pPr>
      <w:r w:rsidRPr="00486446">
        <w:rPr>
          <w:rFonts w:eastAsia="Times New Roman" w:cs="Times New Roman"/>
          <w:b/>
          <w:bCs/>
          <w:noProof/>
          <w:lang w:val="en-IE"/>
        </w:rPr>
        <w:t>Figure 7</w:t>
      </w:r>
      <w:r w:rsidRPr="00486446">
        <w:rPr>
          <w:rFonts w:eastAsia="Times New Roman" w:cs="Times New Roman"/>
          <w:noProof/>
          <w:lang w:val="en-IE"/>
        </w:rPr>
        <w:t xml:space="preserve">: </w:t>
      </w:r>
      <w:r w:rsidR="0059364B" w:rsidRPr="00486446">
        <w:rPr>
          <w:rFonts w:eastAsia="Times New Roman" w:cs="Times New Roman"/>
          <w:iCs w:val="0"/>
          <w:noProof/>
          <w:szCs w:val="24"/>
          <w:lang w:val="en-IE"/>
        </w:rPr>
        <w:t>Average l</w:t>
      </w:r>
      <w:r w:rsidR="004971D6" w:rsidRPr="00486446">
        <w:rPr>
          <w:rFonts w:eastAsia="Times New Roman" w:cs="Times New Roman"/>
          <w:iCs w:val="0"/>
          <w:noProof/>
          <w:szCs w:val="24"/>
          <w:lang w:val="en-IE"/>
        </w:rPr>
        <w:t xml:space="preserve">ength of </w:t>
      </w:r>
      <w:r w:rsidR="0094719D">
        <w:rPr>
          <w:rFonts w:eastAsia="Times New Roman" w:cs="Times New Roman"/>
          <w:iCs w:val="0"/>
          <w:noProof/>
          <w:szCs w:val="24"/>
          <w:lang w:val="en-IE"/>
        </w:rPr>
        <w:t xml:space="preserve">the drafting stage in </w:t>
      </w:r>
      <w:r w:rsidR="004971D6" w:rsidRPr="00486446">
        <w:rPr>
          <w:rFonts w:eastAsia="Times New Roman" w:cs="Times New Roman"/>
          <w:iCs w:val="0"/>
          <w:noProof/>
          <w:szCs w:val="24"/>
          <w:lang w:val="en-IE"/>
        </w:rPr>
        <w:t>standard-setting procedures</w:t>
      </w:r>
      <w:r w:rsidR="00551B88" w:rsidRPr="00486446">
        <w:rPr>
          <w:rFonts w:eastAsia="Times New Roman" w:cs="Times New Roman"/>
          <w:iCs w:val="0"/>
          <w:noProof/>
          <w:szCs w:val="24"/>
          <w:lang w:val="en-IE"/>
        </w:rPr>
        <w:t>.</w:t>
      </w:r>
    </w:p>
    <w:p w14:paraId="0D93BA90" w14:textId="3D551F26" w:rsidR="00EA458F" w:rsidRPr="00C80077" w:rsidRDefault="00EA11AB" w:rsidP="00646274">
      <w:pPr>
        <w:pStyle w:val="Figurecaption"/>
        <w:jc w:val="center"/>
        <w:rPr>
          <w:rFonts w:eastAsia="Times New Roman" w:cs="Times New Roman"/>
          <w:noProof/>
          <w:szCs w:val="24"/>
          <w:lang w:val="en-IE"/>
        </w:rPr>
      </w:pPr>
      <w:r>
        <w:rPr>
          <w:noProof/>
          <w:lang w:eastAsia="en-GB"/>
        </w:rPr>
        <w:drawing>
          <wp:inline distT="0" distB="0" distL="0" distR="0" wp14:anchorId="09AAC04F" wp14:editId="0D4D9D2D">
            <wp:extent cx="4220308" cy="2619375"/>
            <wp:effectExtent l="0" t="0" r="8890" b="0"/>
            <wp:docPr id="13728309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30929" name=""/>
                    <pic:cNvPicPr/>
                  </pic:nvPicPr>
                  <pic:blipFill rotWithShape="1">
                    <a:blip r:embed="rId51">
                      <a:extLst>
                        <a:ext uri="{96DAC541-7B7A-43D3-8B79-37D633B846F1}">
                          <asvg:svgBlip xmlns:asvg="http://schemas.microsoft.com/office/drawing/2016/SVG/main" r:embed="rId52"/>
                        </a:ext>
                      </a:extLst>
                    </a:blip>
                    <a:srcRect l="7692"/>
                    <a:stretch/>
                  </pic:blipFill>
                  <pic:spPr bwMode="auto">
                    <a:xfrm>
                      <a:off x="0" y="0"/>
                      <a:ext cx="4220308" cy="2619375"/>
                    </a:xfrm>
                    <a:prstGeom prst="rect">
                      <a:avLst/>
                    </a:prstGeom>
                    <a:ln>
                      <a:noFill/>
                    </a:ln>
                    <a:extLst>
                      <a:ext uri="{53640926-AAD7-44D8-BBD7-CCE9431645EC}">
                        <a14:shadowObscured xmlns:a14="http://schemas.microsoft.com/office/drawing/2010/main"/>
                      </a:ext>
                    </a:extLst>
                  </pic:spPr>
                </pic:pic>
              </a:graphicData>
            </a:graphic>
          </wp:inline>
        </w:drawing>
      </w:r>
    </w:p>
    <w:p w14:paraId="07964728" w14:textId="42B9AEB1" w:rsidR="00D907DE" w:rsidRPr="00EC17DB" w:rsidRDefault="00D907DE">
      <w:pPr>
        <w:pStyle w:val="Source"/>
        <w:rPr>
          <w:noProof/>
          <w:color w:val="auto"/>
          <w:lang w:val="en-IE"/>
        </w:rPr>
      </w:pPr>
      <w:r w:rsidRPr="00EC17DB">
        <w:rPr>
          <w:rStyle w:val="normaltextrun"/>
          <w:noProof/>
          <w:color w:val="auto"/>
          <w:lang w:val="en-IE"/>
        </w:rPr>
        <w:t xml:space="preserve">Source: </w:t>
      </w:r>
      <w:r w:rsidR="000C5FD4" w:rsidRPr="00EC17DB">
        <w:rPr>
          <w:noProof/>
          <w:color w:val="auto"/>
          <w:lang w:val="en-IE"/>
        </w:rPr>
        <w:t>European Commission</w:t>
      </w:r>
      <w:r w:rsidR="004E1AD7" w:rsidRPr="00EC17DB">
        <w:rPr>
          <w:noProof/>
          <w:color w:val="auto"/>
          <w:lang w:val="en-IE"/>
        </w:rPr>
        <w:t xml:space="preserve"> services</w:t>
      </w:r>
      <w:r w:rsidR="00B21691" w:rsidRPr="00EC17DB">
        <w:rPr>
          <w:noProof/>
          <w:color w:val="auto"/>
          <w:lang w:val="en-IE"/>
        </w:rPr>
        <w:t xml:space="preserve">, </w:t>
      </w:r>
      <w:hyperlink r:id="rId53" w:history="1">
        <w:r w:rsidR="00FA3C2F" w:rsidRPr="006E0577">
          <w:rPr>
            <w:rStyle w:val="Hyperlink"/>
            <w:noProof/>
          </w:rPr>
          <w:t>Evaluation study of the regulation (EU) 1025/2012 on European standardisation - Publications Office of the EU</w:t>
        </w:r>
      </w:hyperlink>
    </w:p>
    <w:p w14:paraId="4646BECC" w14:textId="77777777" w:rsidR="00790283" w:rsidRPr="00EC17DB" w:rsidRDefault="00790283" w:rsidP="00FD0882">
      <w:pPr>
        <w:spacing w:after="160" w:line="250" w:lineRule="auto"/>
        <w:rPr>
          <w:rFonts w:ascii="Times New Roman" w:hAnsi="Times New Roman" w:cs="Times New Roman"/>
          <w:noProof/>
          <w:lang w:val="en-IE"/>
        </w:rPr>
      </w:pPr>
    </w:p>
    <w:p w14:paraId="729585F3" w14:textId="77777777" w:rsidR="00FD0882" w:rsidRPr="00EC17DB" w:rsidRDefault="00FD0882">
      <w:pPr>
        <w:suppressAutoHyphens w:val="0"/>
        <w:rPr>
          <w:rFonts w:ascii="Times New Roman" w:eastAsia="MS Gothic" w:hAnsi="Times New Roman" w:cs="Times New Roman"/>
          <w:b/>
          <w:bCs/>
          <w:noProof/>
          <w:sz w:val="24"/>
          <w:szCs w:val="24"/>
          <w:lang w:val="en-IE"/>
        </w:rPr>
      </w:pPr>
      <w:r w:rsidRPr="00EC17DB">
        <w:rPr>
          <w:rFonts w:ascii="Times New Roman" w:hAnsi="Times New Roman"/>
          <w:b/>
          <w:bCs/>
          <w:noProof/>
          <w:lang w:val="en-IE"/>
        </w:rPr>
        <w:br w:type="page"/>
      </w:r>
    </w:p>
    <w:p w14:paraId="6E52C5C2" w14:textId="475DBFD7" w:rsidR="00D907DE" w:rsidRPr="00D05FB9" w:rsidRDefault="00D907DE" w:rsidP="0065549F">
      <w:pPr>
        <w:pStyle w:val="Heading3"/>
        <w:spacing w:before="0" w:after="160" w:line="250" w:lineRule="auto"/>
        <w:rPr>
          <w:rFonts w:ascii="Times New Roman" w:hAnsi="Times New Roman"/>
          <w:b/>
          <w:bCs/>
          <w:noProof/>
          <w:color w:val="auto"/>
        </w:rPr>
      </w:pPr>
      <w:bookmarkStart w:id="41" w:name="_Toc220103442"/>
      <w:r w:rsidRPr="00D05FB9">
        <w:rPr>
          <w:rFonts w:ascii="Times New Roman" w:hAnsi="Times New Roman"/>
          <w:b/>
          <w:bCs/>
          <w:noProof/>
          <w:color w:val="auto"/>
        </w:rPr>
        <w:t>KPI 8: Circular material use rate</w:t>
      </w:r>
      <w:bookmarkEnd w:id="41"/>
    </w:p>
    <w:p w14:paraId="65E3FEEA" w14:textId="115D8717" w:rsidR="0044705D" w:rsidRPr="00486446" w:rsidRDefault="006A28DF" w:rsidP="0044705D">
      <w:pPr>
        <w:pStyle w:val="Source"/>
        <w:rPr>
          <w:noProof/>
          <w:color w:val="auto"/>
          <w:sz w:val="24"/>
          <w:szCs w:val="24"/>
          <w:lang w:val="en-IE"/>
        </w:rPr>
      </w:pPr>
      <w:r w:rsidRPr="00486446">
        <w:rPr>
          <w:noProof/>
          <w:color w:val="auto"/>
          <w:sz w:val="24"/>
          <w:szCs w:val="24"/>
          <w:lang w:val="en-IE"/>
        </w:rPr>
        <w:t>KPI 8</w:t>
      </w:r>
      <w:r w:rsidR="0044705D" w:rsidRPr="00486446">
        <w:rPr>
          <w:noProof/>
          <w:color w:val="auto"/>
          <w:sz w:val="24"/>
          <w:szCs w:val="24"/>
          <w:lang w:val="en-IE"/>
        </w:rPr>
        <w:t xml:space="preserve"> measures the degree of the economy’s circularity by looking at the rate of use of secondary materials </w:t>
      </w:r>
      <w:r w:rsidR="003A25FE" w:rsidRPr="00486446">
        <w:rPr>
          <w:noProof/>
          <w:color w:val="auto"/>
          <w:sz w:val="24"/>
          <w:szCs w:val="24"/>
          <w:lang w:val="en-IE"/>
        </w:rPr>
        <w:t>as share of the</w:t>
      </w:r>
      <w:r w:rsidR="0044705D" w:rsidRPr="00486446">
        <w:rPr>
          <w:noProof/>
          <w:color w:val="auto"/>
          <w:sz w:val="24"/>
          <w:szCs w:val="24"/>
          <w:lang w:val="en-IE"/>
        </w:rPr>
        <w:t xml:space="preserve"> overall demand</w:t>
      </w:r>
      <w:r w:rsidR="00C21499" w:rsidRPr="00C21499">
        <w:rPr>
          <w:noProof/>
          <w:color w:val="auto"/>
          <w:sz w:val="24"/>
          <w:szCs w:val="24"/>
          <w:lang w:val="en-IE"/>
        </w:rPr>
        <w:t xml:space="preserve"> </w:t>
      </w:r>
      <w:r w:rsidR="00C21499">
        <w:rPr>
          <w:noProof/>
          <w:color w:val="auto"/>
          <w:sz w:val="24"/>
          <w:szCs w:val="24"/>
          <w:lang w:val="en-IE"/>
        </w:rPr>
        <w:t xml:space="preserve">for </w:t>
      </w:r>
      <w:r w:rsidR="00C21499" w:rsidRPr="00486446">
        <w:rPr>
          <w:noProof/>
          <w:color w:val="auto"/>
          <w:sz w:val="24"/>
          <w:szCs w:val="24"/>
          <w:lang w:val="en-IE"/>
        </w:rPr>
        <w:t>material</w:t>
      </w:r>
      <w:r w:rsidR="00C21499">
        <w:rPr>
          <w:noProof/>
          <w:color w:val="auto"/>
          <w:sz w:val="24"/>
          <w:szCs w:val="24"/>
          <w:lang w:val="en-IE"/>
        </w:rPr>
        <w:t>s</w:t>
      </w:r>
      <w:r w:rsidR="0044705D" w:rsidRPr="00486446">
        <w:rPr>
          <w:noProof/>
          <w:color w:val="auto"/>
          <w:sz w:val="24"/>
          <w:szCs w:val="24"/>
          <w:lang w:val="en-IE"/>
        </w:rPr>
        <w:t xml:space="preserve">. </w:t>
      </w:r>
      <w:r w:rsidR="003436BC">
        <w:rPr>
          <w:noProof/>
          <w:color w:val="auto"/>
          <w:sz w:val="24"/>
          <w:szCs w:val="24"/>
          <w:lang w:val="en-IE"/>
        </w:rPr>
        <w:t>When s</w:t>
      </w:r>
      <w:r w:rsidR="0044705D" w:rsidRPr="00486446">
        <w:rPr>
          <w:noProof/>
          <w:color w:val="auto"/>
          <w:sz w:val="24"/>
          <w:szCs w:val="24"/>
          <w:lang w:val="en-IE"/>
        </w:rPr>
        <w:t>econdary raw materials replac</w:t>
      </w:r>
      <w:r w:rsidR="003436BC">
        <w:rPr>
          <w:noProof/>
          <w:color w:val="auto"/>
          <w:sz w:val="24"/>
          <w:szCs w:val="24"/>
          <w:lang w:val="en-IE"/>
        </w:rPr>
        <w:t>e</w:t>
      </w:r>
      <w:r w:rsidR="0044705D" w:rsidRPr="00486446">
        <w:rPr>
          <w:noProof/>
          <w:color w:val="auto"/>
          <w:sz w:val="24"/>
          <w:szCs w:val="24"/>
          <w:lang w:val="en-IE"/>
        </w:rPr>
        <w:t xml:space="preserve"> primary materials in the economy, </w:t>
      </w:r>
      <w:r w:rsidR="003436BC">
        <w:rPr>
          <w:noProof/>
          <w:color w:val="auto"/>
          <w:sz w:val="24"/>
          <w:szCs w:val="24"/>
          <w:lang w:val="en-IE"/>
        </w:rPr>
        <w:t xml:space="preserve">they </w:t>
      </w:r>
      <w:r w:rsidR="0044705D" w:rsidRPr="00486446">
        <w:rPr>
          <w:noProof/>
          <w:color w:val="auto"/>
          <w:sz w:val="24"/>
          <w:szCs w:val="24"/>
          <w:lang w:val="en-IE"/>
        </w:rPr>
        <w:t>reduce pressure on primary resources and limit waste. A higher rate indicates a higher degree of circularity.</w:t>
      </w:r>
    </w:p>
    <w:p w14:paraId="4F9DB531" w14:textId="3BED40B5" w:rsidR="004A665B" w:rsidRDefault="0015142F" w:rsidP="0015142F">
      <w:pPr>
        <w:pStyle w:val="Source"/>
        <w:rPr>
          <w:noProof/>
          <w:color w:val="auto"/>
          <w:sz w:val="24"/>
          <w:szCs w:val="24"/>
          <w:lang w:val="en-IE"/>
        </w:rPr>
      </w:pPr>
      <w:r w:rsidRPr="00486446">
        <w:rPr>
          <w:noProof/>
          <w:color w:val="auto"/>
          <w:sz w:val="24"/>
          <w:szCs w:val="24"/>
          <w:lang w:val="en-IE"/>
        </w:rPr>
        <w:t xml:space="preserve">This KPI </w:t>
      </w:r>
      <w:r w:rsidR="004A665B" w:rsidRPr="00486446">
        <w:rPr>
          <w:noProof/>
          <w:color w:val="auto"/>
          <w:sz w:val="24"/>
          <w:szCs w:val="24"/>
          <w:lang w:val="en-IE"/>
        </w:rPr>
        <w:t xml:space="preserve">tracks progress </w:t>
      </w:r>
      <w:r w:rsidR="00E90461">
        <w:rPr>
          <w:noProof/>
          <w:color w:val="auto"/>
          <w:sz w:val="24"/>
          <w:szCs w:val="24"/>
          <w:lang w:val="en-IE"/>
        </w:rPr>
        <w:t>related to</w:t>
      </w:r>
      <w:r w:rsidR="00E90461" w:rsidRPr="00486446">
        <w:rPr>
          <w:noProof/>
          <w:color w:val="auto"/>
          <w:sz w:val="24"/>
          <w:szCs w:val="24"/>
          <w:lang w:val="en-IE"/>
        </w:rPr>
        <w:t xml:space="preserve"> </w:t>
      </w:r>
      <w:r w:rsidR="004A665B" w:rsidRPr="00486446">
        <w:rPr>
          <w:noProof/>
          <w:color w:val="auto"/>
          <w:sz w:val="24"/>
          <w:szCs w:val="24"/>
          <w:lang w:val="en-IE"/>
        </w:rPr>
        <w:t xml:space="preserve">the objective of harmonising today’s fragmented rules on packaging, labelling and waste – one of the “Terrible Ten” </w:t>
      </w:r>
      <w:r w:rsidR="004A665B">
        <w:rPr>
          <w:noProof/>
          <w:color w:val="auto"/>
          <w:sz w:val="24"/>
          <w:szCs w:val="24"/>
          <w:lang w:val="en-IE"/>
        </w:rPr>
        <w:t xml:space="preserve">barriers </w:t>
      </w:r>
      <w:r w:rsidR="00816B52" w:rsidRPr="00486446">
        <w:rPr>
          <w:noProof/>
          <w:color w:val="auto"/>
          <w:sz w:val="24"/>
          <w:szCs w:val="24"/>
          <w:lang w:val="en-IE"/>
        </w:rPr>
        <w:t xml:space="preserve">identified </w:t>
      </w:r>
      <w:r w:rsidR="004A665B" w:rsidRPr="00486446">
        <w:rPr>
          <w:noProof/>
          <w:color w:val="auto"/>
          <w:sz w:val="24"/>
          <w:szCs w:val="24"/>
          <w:lang w:val="en-IE"/>
        </w:rPr>
        <w:t>in the Single Market Strategy.</w:t>
      </w:r>
    </w:p>
    <w:p w14:paraId="0C24EE18" w14:textId="5EF7F8F0" w:rsidR="00653081" w:rsidRDefault="004A665B" w:rsidP="0018415E">
      <w:pPr>
        <w:pStyle w:val="Source"/>
        <w:widowControl w:val="0"/>
        <w:rPr>
          <w:noProof/>
          <w:color w:val="auto"/>
          <w:sz w:val="24"/>
          <w:szCs w:val="24"/>
          <w:lang w:val="en-IE"/>
        </w:rPr>
      </w:pPr>
      <w:r>
        <w:rPr>
          <w:noProof/>
          <w:color w:val="auto"/>
          <w:sz w:val="24"/>
          <w:szCs w:val="24"/>
          <w:lang w:val="en-IE"/>
        </w:rPr>
        <w:t>T</w:t>
      </w:r>
      <w:r w:rsidR="00227ED8" w:rsidRPr="00342B3B">
        <w:rPr>
          <w:noProof/>
          <w:color w:val="auto"/>
          <w:sz w:val="24"/>
          <w:szCs w:val="24"/>
          <w:lang w:val="en-IE"/>
        </w:rPr>
        <w:t>he share of material brought back into the economy out of the overall use of materials goes up slowly, from 1</w:t>
      </w:r>
      <w:r w:rsidR="00A10A2C">
        <w:rPr>
          <w:noProof/>
          <w:color w:val="auto"/>
          <w:sz w:val="24"/>
          <w:szCs w:val="24"/>
          <w:lang w:val="en-IE"/>
        </w:rPr>
        <w:t>2</w:t>
      </w:r>
      <w:r w:rsidR="00227ED8" w:rsidRPr="00342B3B">
        <w:rPr>
          <w:noProof/>
          <w:color w:val="auto"/>
          <w:sz w:val="24"/>
          <w:szCs w:val="24"/>
          <w:lang w:val="en-IE"/>
        </w:rPr>
        <w:t>.</w:t>
      </w:r>
      <w:r w:rsidR="00A10A2C">
        <w:rPr>
          <w:noProof/>
          <w:color w:val="auto"/>
          <w:sz w:val="24"/>
          <w:szCs w:val="24"/>
          <w:lang w:val="en-IE"/>
        </w:rPr>
        <w:t>1</w:t>
      </w:r>
      <w:r w:rsidR="00227ED8" w:rsidRPr="00342B3B">
        <w:rPr>
          <w:noProof/>
          <w:color w:val="auto"/>
          <w:sz w:val="24"/>
          <w:szCs w:val="24"/>
          <w:lang w:val="en-IE"/>
        </w:rPr>
        <w:t xml:space="preserve">% in 2023 to 12.2% in 2024, </w:t>
      </w:r>
      <w:r w:rsidR="002937C6">
        <w:rPr>
          <w:noProof/>
          <w:color w:val="auto"/>
          <w:sz w:val="24"/>
          <w:szCs w:val="24"/>
          <w:lang w:val="en-IE"/>
        </w:rPr>
        <w:t>but</w:t>
      </w:r>
      <w:r w:rsidR="00227ED8" w:rsidRPr="00342B3B">
        <w:rPr>
          <w:noProof/>
          <w:color w:val="auto"/>
          <w:sz w:val="24"/>
          <w:szCs w:val="24"/>
          <w:lang w:val="en-IE"/>
        </w:rPr>
        <w:t xml:space="preserve"> is </w:t>
      </w:r>
      <w:r w:rsidR="00CA55B6">
        <w:rPr>
          <w:noProof/>
          <w:color w:val="auto"/>
          <w:sz w:val="24"/>
          <w:szCs w:val="24"/>
          <w:lang w:val="en-IE"/>
        </w:rPr>
        <w:t xml:space="preserve">still </w:t>
      </w:r>
      <w:r w:rsidR="00227ED8" w:rsidRPr="00342B3B">
        <w:rPr>
          <w:noProof/>
          <w:color w:val="auto"/>
          <w:sz w:val="24"/>
          <w:szCs w:val="24"/>
          <w:lang w:val="en-IE"/>
        </w:rPr>
        <w:t>well below the target of 24% in 2030</w:t>
      </w:r>
      <w:r w:rsidR="00227ED8">
        <w:rPr>
          <w:noProof/>
          <w:color w:val="auto"/>
          <w:sz w:val="24"/>
          <w:szCs w:val="24"/>
          <w:lang w:val="en-IE"/>
        </w:rPr>
        <w:t>.</w:t>
      </w:r>
    </w:p>
    <w:p w14:paraId="1333867B" w14:textId="29FB913E" w:rsidR="0018415E" w:rsidRPr="00486446" w:rsidRDefault="008F185F" w:rsidP="0018415E">
      <w:pPr>
        <w:pStyle w:val="Figurecaption"/>
        <w:keepNext w:val="0"/>
        <w:widowControl w:val="0"/>
        <w:jc w:val="both"/>
        <w:rPr>
          <w:rFonts w:eastAsia="Times New Roman" w:cs="Times New Roman"/>
          <w:iCs w:val="0"/>
          <w:noProof/>
          <w:szCs w:val="24"/>
          <w:lang w:val="en-IE"/>
        </w:rPr>
      </w:pPr>
      <w:r w:rsidRPr="00486446">
        <w:rPr>
          <w:rFonts w:eastAsia="Times New Roman" w:cs="Times New Roman"/>
          <w:b/>
          <w:bCs/>
          <w:noProof/>
          <w:lang w:val="en-IE"/>
        </w:rPr>
        <w:t>Figure 8a</w:t>
      </w:r>
      <w:r w:rsidRPr="00486446">
        <w:rPr>
          <w:rFonts w:eastAsia="Times New Roman" w:cs="Times New Roman"/>
          <w:noProof/>
          <w:lang w:val="en-IE"/>
        </w:rPr>
        <w:t xml:space="preserve">: </w:t>
      </w:r>
      <w:r w:rsidR="00AF3304" w:rsidRPr="00486446">
        <w:rPr>
          <w:rFonts w:eastAsia="Times New Roman" w:cs="Times New Roman"/>
          <w:iCs w:val="0"/>
          <w:noProof/>
          <w:szCs w:val="24"/>
          <w:lang w:val="en-IE"/>
        </w:rPr>
        <w:t>Circular</w:t>
      </w:r>
      <w:r w:rsidRPr="00486446">
        <w:rPr>
          <w:rFonts w:eastAsia="Times New Roman" w:cs="Times New Roman"/>
          <w:iCs w:val="0"/>
          <w:noProof/>
          <w:szCs w:val="24"/>
          <w:lang w:val="en-IE"/>
        </w:rPr>
        <w:t xml:space="preserve"> material use rate</w:t>
      </w:r>
      <w:r w:rsidR="00AF3304" w:rsidRPr="00486446">
        <w:rPr>
          <w:rFonts w:eastAsia="Times New Roman" w:cs="Times New Roman"/>
          <w:iCs w:val="0"/>
          <w:noProof/>
          <w:szCs w:val="24"/>
          <w:lang w:val="en-IE"/>
        </w:rPr>
        <w:t xml:space="preserve"> by Member State</w:t>
      </w:r>
      <w:r w:rsidR="0018415E">
        <w:rPr>
          <w:rFonts w:eastAsia="Times New Roman" w:cs="Times New Roman"/>
          <w:iCs w:val="0"/>
          <w:noProof/>
          <w:szCs w:val="24"/>
          <w:lang w:val="en-IE"/>
        </w:rPr>
        <w:t>.</w:t>
      </w:r>
    </w:p>
    <w:p w14:paraId="00E31278" w14:textId="723FE6FB" w:rsidR="009E6B40" w:rsidRPr="00486446" w:rsidRDefault="009E6B40" w:rsidP="0018415E">
      <w:pPr>
        <w:pStyle w:val="Figurecaption"/>
        <w:keepNext w:val="0"/>
        <w:widowControl w:val="0"/>
        <w:jc w:val="both"/>
        <w:rPr>
          <w:rFonts w:eastAsia="Times New Roman" w:cs="Times New Roman"/>
          <w:iCs w:val="0"/>
          <w:noProof/>
          <w:szCs w:val="24"/>
          <w:lang w:val="en-IE"/>
        </w:rPr>
      </w:pPr>
      <w:r>
        <w:rPr>
          <w:noProof/>
          <w:lang w:eastAsia="en-GB"/>
        </w:rPr>
        <w:drawing>
          <wp:inline distT="0" distB="0" distL="0" distR="0" wp14:anchorId="188D137D" wp14:editId="4D8E7419">
            <wp:extent cx="5731510" cy="2994025"/>
            <wp:effectExtent l="0" t="0" r="2540" b="0"/>
            <wp:docPr id="10203883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88327"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5731510" cy="2994025"/>
                    </a:xfrm>
                    <a:prstGeom prst="rect">
                      <a:avLst/>
                    </a:prstGeom>
                  </pic:spPr>
                </pic:pic>
              </a:graphicData>
            </a:graphic>
          </wp:inline>
        </w:drawing>
      </w:r>
    </w:p>
    <w:p w14:paraId="1A164D31" w14:textId="46470934" w:rsidR="008F185F" w:rsidRDefault="008F185F" w:rsidP="0018415E">
      <w:pPr>
        <w:pStyle w:val="Figurecaption"/>
        <w:keepNext w:val="0"/>
        <w:widowControl w:val="0"/>
        <w:jc w:val="both"/>
        <w:rPr>
          <w:rFonts w:eastAsia="Times New Roman" w:cs="Times New Roman"/>
          <w:iCs w:val="0"/>
          <w:noProof/>
          <w:szCs w:val="24"/>
          <w:lang w:val="en-IE"/>
        </w:rPr>
      </w:pPr>
      <w:r w:rsidRPr="00486446">
        <w:rPr>
          <w:rFonts w:eastAsia="Times New Roman" w:cs="Times New Roman"/>
          <w:b/>
          <w:bCs/>
          <w:noProof/>
          <w:lang w:val="en-IE"/>
        </w:rPr>
        <w:t>Figure 8b</w:t>
      </w:r>
      <w:r w:rsidRPr="00486446">
        <w:rPr>
          <w:rFonts w:eastAsia="Times New Roman" w:cs="Times New Roman"/>
          <w:noProof/>
          <w:lang w:val="en-IE"/>
        </w:rPr>
        <w:t xml:space="preserve">: </w:t>
      </w:r>
      <w:r w:rsidR="002F2255">
        <w:rPr>
          <w:rFonts w:eastAsia="Times New Roman" w:cs="Times New Roman"/>
          <w:iCs w:val="0"/>
          <w:noProof/>
          <w:szCs w:val="24"/>
          <w:lang w:val="en-IE"/>
        </w:rPr>
        <w:t>Evolution of</w:t>
      </w:r>
      <w:r w:rsidRPr="00486446">
        <w:rPr>
          <w:rFonts w:eastAsia="Times New Roman" w:cs="Times New Roman"/>
          <w:iCs w:val="0"/>
          <w:noProof/>
          <w:szCs w:val="24"/>
          <w:lang w:val="en-IE"/>
        </w:rPr>
        <w:t xml:space="preserve"> </w:t>
      </w:r>
      <w:r w:rsidR="00AF3304" w:rsidRPr="00486446">
        <w:rPr>
          <w:rFonts w:eastAsia="Times New Roman" w:cs="Times New Roman"/>
          <w:iCs w:val="0"/>
          <w:noProof/>
          <w:szCs w:val="24"/>
          <w:lang w:val="en-IE"/>
        </w:rPr>
        <w:t xml:space="preserve">the </w:t>
      </w:r>
      <w:r w:rsidRPr="00486446">
        <w:rPr>
          <w:rFonts w:eastAsia="Times New Roman" w:cs="Times New Roman"/>
          <w:iCs w:val="0"/>
          <w:noProof/>
          <w:szCs w:val="24"/>
          <w:lang w:val="en-IE"/>
        </w:rPr>
        <w:t>EU average circular material use rate.</w:t>
      </w:r>
    </w:p>
    <w:p w14:paraId="67B43F45" w14:textId="3B63B194" w:rsidR="00AF3304" w:rsidRPr="00486446" w:rsidRDefault="001E7410" w:rsidP="00EC17DB">
      <w:pPr>
        <w:pStyle w:val="Figurecaption"/>
        <w:keepNext w:val="0"/>
        <w:widowControl w:val="0"/>
        <w:jc w:val="center"/>
        <w:rPr>
          <w:rFonts w:cs="Times New Roman"/>
          <w:noProof/>
          <w:lang w:val="en-IE"/>
        </w:rPr>
      </w:pPr>
      <w:r>
        <w:rPr>
          <w:noProof/>
          <w:lang w:eastAsia="en-GB"/>
        </w:rPr>
        <w:drawing>
          <wp:inline distT="0" distB="0" distL="0" distR="0" wp14:anchorId="7C70C2AD" wp14:editId="75D6AFBF">
            <wp:extent cx="4182701" cy="2648562"/>
            <wp:effectExtent l="0" t="0" r="8890" b="0"/>
            <wp:docPr id="17324227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422797"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4189122" cy="2652628"/>
                    </a:xfrm>
                    <a:prstGeom prst="rect">
                      <a:avLst/>
                    </a:prstGeom>
                  </pic:spPr>
                </pic:pic>
              </a:graphicData>
            </a:graphic>
          </wp:inline>
        </w:drawing>
      </w:r>
      <w:r w:rsidDel="001E7410">
        <w:rPr>
          <w:noProof/>
        </w:rPr>
        <w:t xml:space="preserve"> </w:t>
      </w:r>
    </w:p>
    <w:p w14:paraId="6E073A9E" w14:textId="07CFC593" w:rsidR="00FD0882" w:rsidRPr="00FD0882" w:rsidRDefault="00D907DE" w:rsidP="0018415E">
      <w:pPr>
        <w:pStyle w:val="Source"/>
        <w:widowControl w:val="0"/>
        <w:spacing w:after="0" w:line="250" w:lineRule="auto"/>
        <w:rPr>
          <w:noProof/>
          <w:color w:val="auto"/>
          <w:lang w:val="en-IE"/>
        </w:rPr>
      </w:pPr>
      <w:r w:rsidRPr="00486446">
        <w:rPr>
          <w:rStyle w:val="normaltextrun"/>
          <w:noProof/>
          <w:color w:val="auto"/>
          <w:lang w:val="en-IE"/>
        </w:rPr>
        <w:t xml:space="preserve">Source: </w:t>
      </w:r>
      <w:r w:rsidR="0044705D" w:rsidRPr="00486446">
        <w:rPr>
          <w:noProof/>
          <w:color w:val="auto"/>
        </w:rPr>
        <w:t>Eurostat</w:t>
      </w:r>
      <w:r w:rsidR="00FD0882">
        <w:rPr>
          <w:b/>
          <w:bCs/>
          <w:noProof/>
          <w:color w:val="auto"/>
        </w:rPr>
        <w:br w:type="page"/>
      </w:r>
    </w:p>
    <w:p w14:paraId="3190F329" w14:textId="6EB9EEB3" w:rsidR="00D907DE" w:rsidRPr="00D05FB9" w:rsidRDefault="00D907DE" w:rsidP="0065549F">
      <w:pPr>
        <w:pStyle w:val="Heading3"/>
        <w:spacing w:before="0" w:after="160" w:line="250" w:lineRule="auto"/>
        <w:rPr>
          <w:rFonts w:ascii="Times New Roman" w:hAnsi="Times New Roman"/>
          <w:b/>
          <w:bCs/>
          <w:noProof/>
          <w:color w:val="auto"/>
        </w:rPr>
      </w:pPr>
      <w:bookmarkStart w:id="42" w:name="_Toc220103443"/>
      <w:r w:rsidRPr="00D05FB9">
        <w:rPr>
          <w:rFonts w:ascii="Times New Roman" w:hAnsi="Times New Roman"/>
          <w:b/>
          <w:bCs/>
          <w:noProof/>
          <w:color w:val="auto"/>
        </w:rPr>
        <w:t>KPI 9: Product compliance</w:t>
      </w:r>
      <w:r w:rsidR="00F15F9D" w:rsidRPr="00D05FB9">
        <w:rPr>
          <w:rFonts w:ascii="Times New Roman" w:hAnsi="Times New Roman"/>
          <w:b/>
          <w:bCs/>
          <w:noProof/>
          <w:color w:val="auto"/>
        </w:rPr>
        <w:t xml:space="preserve"> monitoring</w:t>
      </w:r>
      <w:bookmarkEnd w:id="42"/>
    </w:p>
    <w:p w14:paraId="20CD491C" w14:textId="5A36AB9D" w:rsidR="00D907DE" w:rsidRPr="00486446" w:rsidRDefault="00AC7462" w:rsidP="00D907DE">
      <w:pPr>
        <w:pStyle w:val="Source"/>
        <w:rPr>
          <w:noProof/>
          <w:color w:val="auto"/>
          <w:sz w:val="24"/>
          <w:szCs w:val="24"/>
          <w:lang w:val="en-IE"/>
        </w:rPr>
      </w:pPr>
      <w:r w:rsidRPr="00486446">
        <w:rPr>
          <w:noProof/>
          <w:color w:val="auto"/>
          <w:sz w:val="24"/>
          <w:szCs w:val="24"/>
          <w:lang w:val="en-IE"/>
        </w:rPr>
        <w:t>KPI</w:t>
      </w:r>
      <w:r w:rsidR="00D907DE" w:rsidRPr="00486446">
        <w:rPr>
          <w:noProof/>
          <w:color w:val="auto"/>
          <w:sz w:val="24"/>
          <w:szCs w:val="24"/>
          <w:lang w:val="en-IE"/>
        </w:rPr>
        <w:t xml:space="preserve"> 9 measures the number of product investigations </w:t>
      </w:r>
      <w:r w:rsidR="00F00438">
        <w:rPr>
          <w:noProof/>
          <w:color w:val="auto"/>
          <w:sz w:val="24"/>
          <w:szCs w:val="24"/>
          <w:lang w:val="en-IE"/>
        </w:rPr>
        <w:t xml:space="preserve">carried out </w:t>
      </w:r>
      <w:r w:rsidR="00590926" w:rsidRPr="00486446">
        <w:rPr>
          <w:noProof/>
          <w:color w:val="auto"/>
          <w:sz w:val="24"/>
          <w:szCs w:val="24"/>
          <w:lang w:val="en-IE"/>
        </w:rPr>
        <w:t xml:space="preserve">by market surveillance authorities </w:t>
      </w:r>
      <w:r w:rsidR="00D907DE" w:rsidRPr="00486446">
        <w:rPr>
          <w:noProof/>
          <w:color w:val="auto"/>
          <w:sz w:val="24"/>
          <w:szCs w:val="24"/>
          <w:lang w:val="en-IE"/>
        </w:rPr>
        <w:t>per million inhabitants in EU Member States</w:t>
      </w:r>
      <w:r w:rsidR="00590926" w:rsidRPr="00486446">
        <w:rPr>
          <w:rStyle w:val="FootnoteReference"/>
          <w:noProof/>
          <w:color w:val="auto"/>
          <w:lang w:eastAsia="en-IE"/>
        </w:rPr>
        <w:footnoteReference w:id="15"/>
      </w:r>
      <w:r w:rsidR="00D907DE" w:rsidRPr="00486446">
        <w:rPr>
          <w:noProof/>
          <w:color w:val="auto"/>
          <w:sz w:val="24"/>
          <w:szCs w:val="24"/>
          <w:lang w:val="en-IE"/>
        </w:rPr>
        <w:t>.</w:t>
      </w:r>
    </w:p>
    <w:p w14:paraId="43D4774F" w14:textId="1DD5C11D" w:rsidR="005466D4" w:rsidRPr="00486446" w:rsidRDefault="0015142F" w:rsidP="0015142F">
      <w:pPr>
        <w:pStyle w:val="Source"/>
        <w:rPr>
          <w:noProof/>
          <w:color w:val="auto"/>
          <w:sz w:val="24"/>
          <w:szCs w:val="24"/>
          <w:lang w:val="en-IE"/>
        </w:rPr>
      </w:pPr>
      <w:r w:rsidRPr="00486446">
        <w:rPr>
          <w:noProof/>
          <w:color w:val="auto"/>
          <w:sz w:val="24"/>
          <w:szCs w:val="24"/>
          <w:lang w:val="en-IE"/>
        </w:rPr>
        <w:t xml:space="preserve">This KPI tracks progress </w:t>
      </w:r>
      <w:r w:rsidR="00E66967">
        <w:rPr>
          <w:noProof/>
          <w:color w:val="auto"/>
          <w:sz w:val="24"/>
          <w:szCs w:val="24"/>
          <w:lang w:val="en-IE"/>
        </w:rPr>
        <w:t>related to</w:t>
      </w:r>
      <w:r w:rsidR="00E66967" w:rsidRPr="00486446">
        <w:rPr>
          <w:noProof/>
          <w:color w:val="auto"/>
          <w:sz w:val="24"/>
          <w:szCs w:val="24"/>
          <w:lang w:val="en-IE"/>
        </w:rPr>
        <w:t xml:space="preserve"> </w:t>
      </w:r>
      <w:r w:rsidRPr="00486446">
        <w:rPr>
          <w:noProof/>
          <w:color w:val="auto"/>
          <w:sz w:val="24"/>
          <w:szCs w:val="24"/>
          <w:lang w:val="en-IE"/>
        </w:rPr>
        <w:t xml:space="preserve">the objective of </w:t>
      </w:r>
      <w:r w:rsidR="00AC7462" w:rsidRPr="00486446">
        <w:rPr>
          <w:noProof/>
          <w:color w:val="auto"/>
          <w:sz w:val="24"/>
          <w:szCs w:val="24"/>
          <w:lang w:val="en-IE"/>
        </w:rPr>
        <w:t>modernising product rules and addressing the  lack of product compliance –</w:t>
      </w:r>
      <w:r w:rsidRPr="00486446">
        <w:rPr>
          <w:noProof/>
          <w:color w:val="auto"/>
          <w:sz w:val="24"/>
          <w:szCs w:val="24"/>
          <w:lang w:val="en-IE"/>
        </w:rPr>
        <w:t xml:space="preserve"> one of the “Terrible Ten” </w:t>
      </w:r>
      <w:r w:rsidR="002F7858">
        <w:rPr>
          <w:noProof/>
          <w:color w:val="auto"/>
          <w:sz w:val="24"/>
          <w:szCs w:val="24"/>
          <w:lang w:val="en-IE"/>
        </w:rPr>
        <w:t>barriers</w:t>
      </w:r>
      <w:r w:rsidRPr="00486446">
        <w:rPr>
          <w:noProof/>
          <w:color w:val="auto"/>
          <w:sz w:val="24"/>
          <w:szCs w:val="24"/>
          <w:lang w:val="en-IE"/>
        </w:rPr>
        <w:t xml:space="preserve"> </w:t>
      </w:r>
      <w:r w:rsidR="00816B52" w:rsidRPr="00486446">
        <w:rPr>
          <w:noProof/>
          <w:color w:val="auto"/>
          <w:sz w:val="24"/>
          <w:szCs w:val="24"/>
          <w:lang w:val="en-IE"/>
        </w:rPr>
        <w:t xml:space="preserve">identified </w:t>
      </w:r>
      <w:r w:rsidRPr="00486446">
        <w:rPr>
          <w:noProof/>
          <w:color w:val="auto"/>
          <w:sz w:val="24"/>
          <w:szCs w:val="24"/>
          <w:lang w:val="en-IE"/>
        </w:rPr>
        <w:t>in the Single Market Strategy.</w:t>
      </w:r>
    </w:p>
    <w:p w14:paraId="2605B354" w14:textId="126EBE59" w:rsidR="000C0B93" w:rsidRPr="000C0B93" w:rsidRDefault="00220858" w:rsidP="0065549F">
      <w:pPr>
        <w:spacing w:after="120"/>
        <w:jc w:val="both"/>
        <w:rPr>
          <w:rFonts w:ascii="Times New Roman" w:eastAsia="Times New Roman" w:hAnsi="Times New Roman" w:cs="Times New Roman"/>
          <w:bCs/>
          <w:noProof/>
          <w:sz w:val="24"/>
          <w:szCs w:val="24"/>
        </w:rPr>
      </w:pPr>
      <w:r w:rsidRPr="0065549F">
        <w:rPr>
          <w:rFonts w:ascii="Times New Roman" w:eastAsia="Times New Roman" w:hAnsi="Times New Roman" w:cs="Times New Roman"/>
          <w:bCs/>
          <w:noProof/>
          <w:sz w:val="24"/>
          <w:szCs w:val="24"/>
        </w:rPr>
        <w:t xml:space="preserve">EU market surveillance </w:t>
      </w:r>
      <w:r>
        <w:rPr>
          <w:rFonts w:ascii="Times New Roman" w:eastAsia="Times New Roman" w:hAnsi="Times New Roman" w:cs="Times New Roman"/>
          <w:noProof/>
          <w:sz w:val="24"/>
          <w:szCs w:val="24"/>
        </w:rPr>
        <w:t xml:space="preserve">is </w:t>
      </w:r>
      <w:r w:rsidR="005B286C">
        <w:rPr>
          <w:rFonts w:ascii="Times New Roman" w:eastAsia="Times New Roman" w:hAnsi="Times New Roman" w:cs="Times New Roman"/>
          <w:bCs/>
          <w:noProof/>
          <w:sz w:val="24"/>
          <w:szCs w:val="24"/>
        </w:rPr>
        <w:t>characterised by</w:t>
      </w:r>
      <w:r w:rsidRPr="00220858">
        <w:rPr>
          <w:rFonts w:ascii="Times New Roman" w:eastAsia="Times New Roman" w:hAnsi="Times New Roman" w:cs="Times New Roman"/>
          <w:bCs/>
          <w:noProof/>
          <w:sz w:val="24"/>
          <w:szCs w:val="24"/>
        </w:rPr>
        <w:t xml:space="preserve"> low, if increasing, number of investigations notified by national authorities.</w:t>
      </w:r>
    </w:p>
    <w:p w14:paraId="21A76FDE" w14:textId="2C5E3C6B" w:rsidR="003D0D97" w:rsidRDefault="00D907DE" w:rsidP="003D7D9D">
      <w:pPr>
        <w:pStyle w:val="Source"/>
        <w:rPr>
          <w:noProof/>
          <w:color w:val="auto"/>
          <w:sz w:val="24"/>
          <w:szCs w:val="24"/>
          <w:shd w:val="clear" w:color="auto" w:fill="auto"/>
          <w:lang w:val="en-IE"/>
        </w:rPr>
      </w:pPr>
      <w:r w:rsidRPr="00486446">
        <w:rPr>
          <w:b/>
          <w:noProof/>
          <w:color w:val="auto"/>
          <w:sz w:val="24"/>
          <w:szCs w:val="24"/>
          <w:lang w:val="en-IE"/>
        </w:rPr>
        <w:t>Figure 9</w:t>
      </w:r>
      <w:r w:rsidR="003B5F46" w:rsidRPr="00486446">
        <w:rPr>
          <w:b/>
          <w:noProof/>
          <w:color w:val="auto"/>
          <w:sz w:val="24"/>
          <w:szCs w:val="24"/>
          <w:lang w:val="en-IE"/>
        </w:rPr>
        <w:t>a</w:t>
      </w:r>
      <w:r w:rsidRPr="00486446">
        <w:rPr>
          <w:b/>
          <w:noProof/>
          <w:color w:val="auto"/>
          <w:sz w:val="24"/>
          <w:szCs w:val="24"/>
          <w:lang w:val="en-IE"/>
        </w:rPr>
        <w:t>:</w:t>
      </w:r>
      <w:r w:rsidRPr="00486446">
        <w:rPr>
          <w:noProof/>
          <w:color w:val="auto"/>
          <w:sz w:val="24"/>
          <w:szCs w:val="24"/>
          <w:lang w:val="en-IE"/>
        </w:rPr>
        <w:t xml:space="preserve"> </w:t>
      </w:r>
      <w:r w:rsidR="00EE1234" w:rsidRPr="00486446">
        <w:rPr>
          <w:noProof/>
          <w:color w:val="auto"/>
          <w:sz w:val="24"/>
          <w:szCs w:val="24"/>
          <w:shd w:val="clear" w:color="auto" w:fill="auto"/>
          <w:lang w:val="en-IE"/>
        </w:rPr>
        <w:t xml:space="preserve">Product compliance </w:t>
      </w:r>
      <w:r w:rsidR="008F16F8" w:rsidRPr="00486446">
        <w:rPr>
          <w:noProof/>
          <w:color w:val="auto"/>
          <w:sz w:val="24"/>
          <w:szCs w:val="24"/>
          <w:shd w:val="clear" w:color="auto" w:fill="auto"/>
          <w:lang w:val="en-IE"/>
        </w:rPr>
        <w:t>investigations conducted</w:t>
      </w:r>
      <w:r w:rsidR="00CB0B99" w:rsidRPr="00486446">
        <w:rPr>
          <w:noProof/>
          <w:color w:val="auto"/>
          <w:sz w:val="24"/>
          <w:szCs w:val="24"/>
          <w:shd w:val="clear" w:color="auto" w:fill="auto"/>
          <w:lang w:val="en-IE"/>
        </w:rPr>
        <w:t xml:space="preserve"> per million inhabitants</w:t>
      </w:r>
      <w:r w:rsidR="00551B88" w:rsidRPr="00486446">
        <w:rPr>
          <w:noProof/>
          <w:color w:val="auto"/>
          <w:sz w:val="24"/>
          <w:szCs w:val="24"/>
          <w:shd w:val="clear" w:color="auto" w:fill="auto"/>
          <w:lang w:val="en-IE"/>
        </w:rPr>
        <w:t>.</w:t>
      </w:r>
    </w:p>
    <w:p w14:paraId="38A05F6E" w14:textId="0BBBA038" w:rsidR="00937B80" w:rsidRPr="008E0480" w:rsidRDefault="00140B24" w:rsidP="008E0480">
      <w:pPr>
        <w:pStyle w:val="Source"/>
        <w:rPr>
          <w:noProof/>
          <w:color w:val="auto"/>
          <w:sz w:val="24"/>
          <w:szCs w:val="24"/>
          <w:shd w:val="clear" w:color="auto" w:fill="auto"/>
          <w:lang w:val="en-IE"/>
        </w:rPr>
      </w:pPr>
      <w:r>
        <w:rPr>
          <w:noProof/>
          <w:lang w:eastAsia="en-GB"/>
        </w:rPr>
        <w:drawing>
          <wp:inline distT="0" distB="0" distL="0" distR="0" wp14:anchorId="382B5C66" wp14:editId="38208496">
            <wp:extent cx="5731510" cy="2654237"/>
            <wp:effectExtent l="0" t="0" r="2540" b="0"/>
            <wp:docPr id="9494391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39156" name=""/>
                    <pic:cNvPicPr/>
                  </pic:nvPicPr>
                  <pic:blipFill rotWithShape="1">
                    <a:blip r:embed="rId58">
                      <a:extLst>
                        <a:ext uri="{96DAC541-7B7A-43D3-8B79-37D633B846F1}">
                          <asvg:svgBlip xmlns:asvg="http://schemas.microsoft.com/office/drawing/2016/SVG/main" r:embed="rId59"/>
                        </a:ext>
                      </a:extLst>
                    </a:blip>
                    <a:srcRect t="6740"/>
                    <a:stretch/>
                  </pic:blipFill>
                  <pic:spPr bwMode="auto">
                    <a:xfrm>
                      <a:off x="0" y="0"/>
                      <a:ext cx="5731510" cy="2654237"/>
                    </a:xfrm>
                    <a:prstGeom prst="rect">
                      <a:avLst/>
                    </a:prstGeom>
                    <a:ln>
                      <a:noFill/>
                    </a:ln>
                    <a:extLst>
                      <a:ext uri="{53640926-AAD7-44D8-BBD7-CCE9431645EC}">
                        <a14:shadowObscured xmlns:a14="http://schemas.microsoft.com/office/drawing/2010/main"/>
                      </a:ext>
                    </a:extLst>
                  </pic:spPr>
                </pic:pic>
              </a:graphicData>
            </a:graphic>
          </wp:inline>
        </w:drawing>
      </w:r>
    </w:p>
    <w:p w14:paraId="27BDC6D0" w14:textId="698418E9" w:rsidR="008D59D3" w:rsidRPr="00486446" w:rsidRDefault="00F334AE" w:rsidP="000E0AA3">
      <w:pPr>
        <w:pStyle w:val="Source"/>
        <w:rPr>
          <w:noProof/>
          <w:color w:val="auto"/>
          <w:sz w:val="24"/>
          <w:szCs w:val="24"/>
          <w:shd w:val="clear" w:color="auto" w:fill="auto"/>
          <w:lang w:val="en-IE"/>
        </w:rPr>
      </w:pPr>
      <w:r w:rsidRPr="00486446">
        <w:rPr>
          <w:b/>
          <w:noProof/>
          <w:color w:val="auto"/>
          <w:sz w:val="24"/>
          <w:szCs w:val="24"/>
          <w:lang w:val="en-IE"/>
        </w:rPr>
        <w:t>Figure 9b:</w:t>
      </w:r>
      <w:r w:rsidRPr="00486446">
        <w:rPr>
          <w:noProof/>
          <w:color w:val="auto"/>
          <w:sz w:val="24"/>
          <w:szCs w:val="24"/>
          <w:lang w:val="en-IE"/>
        </w:rPr>
        <w:t xml:space="preserve"> </w:t>
      </w:r>
      <w:r w:rsidR="00E131B7">
        <w:rPr>
          <w:noProof/>
          <w:color w:val="auto"/>
          <w:sz w:val="24"/>
          <w:szCs w:val="24"/>
          <w:shd w:val="clear" w:color="auto" w:fill="auto"/>
          <w:lang w:val="en-IE"/>
        </w:rPr>
        <w:t xml:space="preserve">Evolution of </w:t>
      </w:r>
      <w:r w:rsidRPr="00486446">
        <w:rPr>
          <w:noProof/>
          <w:color w:val="auto"/>
          <w:sz w:val="24"/>
          <w:szCs w:val="24"/>
          <w:shd w:val="clear" w:color="auto" w:fill="auto"/>
          <w:lang w:val="en-IE"/>
        </w:rPr>
        <w:t>EU product compliance investigations.</w:t>
      </w:r>
      <w:r w:rsidR="008D59D3" w:rsidRPr="00486446">
        <w:rPr>
          <w:noProof/>
          <w:color w:val="auto"/>
          <w:sz w:val="24"/>
          <w:szCs w:val="24"/>
          <w:shd w:val="clear" w:color="auto" w:fill="auto"/>
          <w:lang w:val="en-IE"/>
        </w:rPr>
        <w:t xml:space="preserve"> </w:t>
      </w:r>
    </w:p>
    <w:p w14:paraId="76EEF27E" w14:textId="0D2FFFD5" w:rsidR="00140B24" w:rsidRDefault="0057114B" w:rsidP="00FD0882">
      <w:pPr>
        <w:pStyle w:val="Source"/>
        <w:spacing w:after="0" w:line="250" w:lineRule="auto"/>
        <w:jc w:val="center"/>
        <w:rPr>
          <w:noProof/>
          <w:color w:val="auto"/>
        </w:rPr>
      </w:pPr>
      <w:r w:rsidRPr="0057114B">
        <w:rPr>
          <w:noProof/>
        </w:rPr>
        <w:t xml:space="preserve"> </w:t>
      </w:r>
      <w:r w:rsidR="007167CA">
        <w:rPr>
          <w:noProof/>
          <w:lang w:eastAsia="en-GB"/>
        </w:rPr>
        <w:drawing>
          <wp:inline distT="0" distB="0" distL="0" distR="0" wp14:anchorId="23571EAF" wp14:editId="47D4A38D">
            <wp:extent cx="4412446" cy="2544024"/>
            <wp:effectExtent l="0" t="0" r="7620" b="8890"/>
            <wp:docPr id="3257352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35299"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4465241" cy="2574463"/>
                    </a:xfrm>
                    <a:prstGeom prst="rect">
                      <a:avLst/>
                    </a:prstGeom>
                  </pic:spPr>
                </pic:pic>
              </a:graphicData>
            </a:graphic>
          </wp:inline>
        </w:drawing>
      </w:r>
    </w:p>
    <w:p w14:paraId="019539EB" w14:textId="1AEE28B0" w:rsidR="00FD0882" w:rsidRDefault="00D907DE" w:rsidP="00FD0882">
      <w:pPr>
        <w:pStyle w:val="Source"/>
        <w:rPr>
          <w:noProof/>
          <w:szCs w:val="14"/>
          <w:lang w:val="en-IE"/>
        </w:rPr>
      </w:pPr>
      <w:r w:rsidRPr="00486446">
        <w:rPr>
          <w:rStyle w:val="normaltextrun"/>
          <w:noProof/>
          <w:color w:val="auto"/>
          <w:szCs w:val="14"/>
          <w:lang w:val="en-IE"/>
        </w:rPr>
        <w:t xml:space="preserve">Source: </w:t>
      </w:r>
      <w:r w:rsidR="008E5919" w:rsidRPr="00486446">
        <w:rPr>
          <w:noProof/>
          <w:color w:val="auto"/>
          <w:szCs w:val="14"/>
          <w:lang w:val="en-IE"/>
        </w:rPr>
        <w:t xml:space="preserve">European Commission </w:t>
      </w:r>
      <w:r w:rsidR="004E1AD7" w:rsidRPr="00EC17DB">
        <w:rPr>
          <w:noProof/>
          <w:color w:val="auto"/>
          <w:lang w:val="en-IE"/>
        </w:rPr>
        <w:t>services</w:t>
      </w:r>
      <w:r w:rsidR="008E5919" w:rsidRPr="00486446">
        <w:rPr>
          <w:noProof/>
          <w:color w:val="auto"/>
          <w:szCs w:val="14"/>
          <w:lang w:val="en-IE"/>
        </w:rPr>
        <w:t xml:space="preserve"> </w:t>
      </w:r>
      <w:r w:rsidR="00FD0882">
        <w:rPr>
          <w:noProof/>
          <w:color w:val="auto"/>
          <w:szCs w:val="14"/>
          <w:lang w:val="en-IE"/>
        </w:rPr>
        <w:br w:type="page"/>
      </w:r>
    </w:p>
    <w:p w14:paraId="6AB14328" w14:textId="4D01B9C6" w:rsidR="00590926" w:rsidRPr="00D05FB9" w:rsidRDefault="00590926" w:rsidP="0065549F">
      <w:pPr>
        <w:pStyle w:val="Heading3"/>
        <w:spacing w:before="0" w:after="160" w:line="250" w:lineRule="auto"/>
        <w:rPr>
          <w:rFonts w:ascii="Times New Roman" w:hAnsi="Times New Roman"/>
          <w:b/>
          <w:bCs/>
          <w:noProof/>
          <w:color w:val="auto"/>
        </w:rPr>
      </w:pPr>
      <w:bookmarkStart w:id="43" w:name="_Toc220103444"/>
      <w:r w:rsidRPr="00D05FB9">
        <w:rPr>
          <w:rFonts w:ascii="Times New Roman" w:hAnsi="Times New Roman"/>
          <w:b/>
          <w:bCs/>
          <w:noProof/>
          <w:color w:val="auto"/>
        </w:rPr>
        <w:t xml:space="preserve">KPI 10: </w:t>
      </w:r>
      <w:r w:rsidR="001551BC" w:rsidRPr="00D05FB9">
        <w:rPr>
          <w:rFonts w:ascii="Times New Roman" w:hAnsi="Times New Roman"/>
          <w:b/>
          <w:bCs/>
          <w:noProof/>
          <w:color w:val="auto"/>
        </w:rPr>
        <w:t>Services Regulation, Intra-EEA Services Trade Restrictiveness Index</w:t>
      </w:r>
      <w:bookmarkEnd w:id="43"/>
    </w:p>
    <w:p w14:paraId="2D6A55BC" w14:textId="4404AA5B" w:rsidR="00590926" w:rsidRPr="00486446" w:rsidRDefault="00AC7462" w:rsidP="00590926">
      <w:pPr>
        <w:pStyle w:val="Source"/>
        <w:rPr>
          <w:noProof/>
          <w:color w:val="auto"/>
          <w:sz w:val="24"/>
          <w:szCs w:val="24"/>
          <w:lang w:val="en-IE"/>
        </w:rPr>
      </w:pPr>
      <w:r w:rsidRPr="00486446">
        <w:rPr>
          <w:noProof/>
          <w:color w:val="auto"/>
          <w:sz w:val="24"/>
          <w:szCs w:val="24"/>
          <w:lang w:val="en-IE"/>
        </w:rPr>
        <w:t>KPI</w:t>
      </w:r>
      <w:r w:rsidR="00590926" w:rsidRPr="00486446">
        <w:rPr>
          <w:noProof/>
          <w:color w:val="auto"/>
          <w:sz w:val="24"/>
          <w:szCs w:val="24"/>
          <w:lang w:val="en-IE"/>
        </w:rPr>
        <w:t xml:space="preserve"> 10 measures the level of restrictiveness of regulation in selected services sectors</w:t>
      </w:r>
      <w:r w:rsidR="00E20750" w:rsidRPr="00486446">
        <w:rPr>
          <w:noProof/>
          <w:color w:val="auto"/>
          <w:sz w:val="24"/>
          <w:szCs w:val="24"/>
          <w:lang w:val="en-IE"/>
        </w:rPr>
        <w:t xml:space="preserve"> </w:t>
      </w:r>
      <w:r w:rsidR="00C15B5A" w:rsidRPr="00486446">
        <w:rPr>
          <w:noProof/>
          <w:color w:val="auto"/>
          <w:sz w:val="24"/>
          <w:szCs w:val="24"/>
          <w:lang w:val="en-IE"/>
        </w:rPr>
        <w:t>(construction services, courier services, architecture services, engineering services, legal services).</w:t>
      </w:r>
      <w:r w:rsidR="00590926" w:rsidRPr="00486446">
        <w:rPr>
          <w:noProof/>
          <w:color w:val="auto"/>
          <w:sz w:val="24"/>
          <w:szCs w:val="24"/>
          <w:lang w:val="en-IE"/>
        </w:rPr>
        <w:t xml:space="preserve"> The values are based on the OECD’s </w:t>
      </w:r>
      <w:r w:rsidR="002F7858">
        <w:rPr>
          <w:noProof/>
          <w:color w:val="auto"/>
          <w:sz w:val="24"/>
          <w:szCs w:val="24"/>
          <w:lang w:val="en-IE"/>
        </w:rPr>
        <w:t xml:space="preserve">intra-EEA </w:t>
      </w:r>
      <w:r w:rsidR="00590926" w:rsidRPr="00486446">
        <w:rPr>
          <w:noProof/>
          <w:color w:val="auto"/>
          <w:sz w:val="24"/>
          <w:szCs w:val="24"/>
          <w:lang w:val="en-IE"/>
        </w:rPr>
        <w:t>STRI questionnair</w:t>
      </w:r>
      <w:r w:rsidR="00590926" w:rsidRPr="00FB1069">
        <w:rPr>
          <w:noProof/>
          <w:color w:val="auto"/>
          <w:sz w:val="24"/>
          <w:szCs w:val="24"/>
          <w:lang w:val="en-IE"/>
        </w:rPr>
        <w:t>e</w:t>
      </w:r>
      <w:r w:rsidR="00590926" w:rsidRPr="00461871">
        <w:rPr>
          <w:rStyle w:val="FootnoteReference"/>
          <w:noProof/>
          <w:color w:val="auto"/>
          <w:sz w:val="24"/>
          <w:szCs w:val="24"/>
        </w:rPr>
        <w:footnoteReference w:id="16"/>
      </w:r>
      <w:r w:rsidR="00C15B5A" w:rsidRPr="00FB1069">
        <w:rPr>
          <w:noProof/>
          <w:color w:val="auto"/>
          <w:sz w:val="24"/>
          <w:szCs w:val="24"/>
          <w:lang w:val="en-IE"/>
        </w:rPr>
        <w:t xml:space="preserve"> </w:t>
      </w:r>
      <w:r w:rsidR="00AF0AA4" w:rsidRPr="00486446">
        <w:rPr>
          <w:noProof/>
          <w:color w:val="auto"/>
          <w:sz w:val="24"/>
          <w:szCs w:val="24"/>
          <w:lang w:val="en-IE"/>
        </w:rPr>
        <w:t xml:space="preserve">and show the share of </w:t>
      </w:r>
      <w:r w:rsidR="007D4496">
        <w:rPr>
          <w:noProof/>
          <w:color w:val="auto"/>
          <w:sz w:val="24"/>
          <w:szCs w:val="24"/>
          <w:lang w:val="en-IE"/>
        </w:rPr>
        <w:t xml:space="preserve">catalogued </w:t>
      </w:r>
      <w:r w:rsidR="00AF0AA4" w:rsidRPr="00486446">
        <w:rPr>
          <w:noProof/>
          <w:color w:val="auto"/>
          <w:sz w:val="24"/>
          <w:szCs w:val="24"/>
          <w:lang w:val="en-IE"/>
        </w:rPr>
        <w:t xml:space="preserve">restrictions </w:t>
      </w:r>
      <w:r w:rsidR="0081697C">
        <w:rPr>
          <w:noProof/>
          <w:color w:val="auto"/>
          <w:sz w:val="24"/>
          <w:szCs w:val="24"/>
          <w:lang w:val="en-IE"/>
        </w:rPr>
        <w:t>to trade in services that are</w:t>
      </w:r>
      <w:r w:rsidR="00AF0AA4" w:rsidRPr="00486446">
        <w:rPr>
          <w:noProof/>
          <w:color w:val="auto"/>
          <w:sz w:val="24"/>
          <w:szCs w:val="24"/>
          <w:lang w:val="en-IE"/>
        </w:rPr>
        <w:t xml:space="preserve"> present</w:t>
      </w:r>
      <w:r w:rsidR="0081697C">
        <w:rPr>
          <w:noProof/>
          <w:color w:val="auto"/>
          <w:sz w:val="24"/>
          <w:szCs w:val="24"/>
          <w:lang w:val="en-IE"/>
        </w:rPr>
        <w:t xml:space="preserve"> in </w:t>
      </w:r>
      <w:r w:rsidR="007D4496">
        <w:rPr>
          <w:noProof/>
          <w:color w:val="auto"/>
          <w:sz w:val="24"/>
          <w:szCs w:val="24"/>
          <w:lang w:val="en-IE"/>
        </w:rPr>
        <w:t>selected sectors</w:t>
      </w:r>
      <w:r w:rsidR="00AF0AA4" w:rsidRPr="00486446">
        <w:rPr>
          <w:noProof/>
          <w:color w:val="auto"/>
          <w:sz w:val="24"/>
          <w:szCs w:val="24"/>
          <w:lang w:val="en-IE"/>
        </w:rPr>
        <w:t xml:space="preserve">. </w:t>
      </w:r>
      <w:r w:rsidR="00543372">
        <w:rPr>
          <w:noProof/>
          <w:color w:val="auto"/>
          <w:sz w:val="24"/>
          <w:szCs w:val="24"/>
          <w:lang w:val="en-IE"/>
        </w:rPr>
        <w:t>They are</w:t>
      </w:r>
      <w:r w:rsidR="00AF0AA4" w:rsidRPr="00486446">
        <w:rPr>
          <w:noProof/>
          <w:color w:val="auto"/>
          <w:sz w:val="24"/>
          <w:szCs w:val="24"/>
          <w:lang w:val="en-IE"/>
        </w:rPr>
        <w:t xml:space="preserve"> available for 22 of the 27</w:t>
      </w:r>
      <w:r w:rsidR="00A726B5">
        <w:rPr>
          <w:noProof/>
          <w:color w:val="auto"/>
          <w:sz w:val="24"/>
          <w:szCs w:val="24"/>
          <w:lang w:val="en-IE"/>
        </w:rPr>
        <w:t xml:space="preserve"> </w:t>
      </w:r>
      <w:r w:rsidR="00AF0AA4" w:rsidRPr="00486446">
        <w:rPr>
          <w:noProof/>
          <w:color w:val="auto"/>
          <w:sz w:val="24"/>
          <w:szCs w:val="24"/>
          <w:lang w:val="en-IE"/>
        </w:rPr>
        <w:t>EU Member States</w:t>
      </w:r>
      <w:r w:rsidR="00590926" w:rsidRPr="00486446">
        <w:rPr>
          <w:noProof/>
          <w:color w:val="auto"/>
          <w:sz w:val="24"/>
          <w:szCs w:val="24"/>
          <w:lang w:val="en-IE"/>
        </w:rPr>
        <w:t>.</w:t>
      </w:r>
    </w:p>
    <w:p w14:paraId="35BF672C" w14:textId="13E806DA" w:rsidR="004414A3" w:rsidRDefault="00AC7462" w:rsidP="00AC7462">
      <w:pPr>
        <w:pStyle w:val="Source"/>
        <w:rPr>
          <w:noProof/>
          <w:color w:val="auto"/>
          <w:sz w:val="24"/>
          <w:szCs w:val="24"/>
          <w:lang w:val="en-IE"/>
        </w:rPr>
      </w:pPr>
      <w:r w:rsidRPr="00486446">
        <w:rPr>
          <w:noProof/>
          <w:color w:val="auto"/>
          <w:sz w:val="24"/>
          <w:szCs w:val="24"/>
          <w:lang w:val="en-IE"/>
        </w:rPr>
        <w:t xml:space="preserve">This KPI tracks progress </w:t>
      </w:r>
      <w:r w:rsidR="00E66967">
        <w:rPr>
          <w:noProof/>
          <w:color w:val="auto"/>
          <w:sz w:val="24"/>
          <w:szCs w:val="24"/>
          <w:lang w:val="en-IE"/>
        </w:rPr>
        <w:t>related to</w:t>
      </w:r>
      <w:r w:rsidR="00E66967" w:rsidRPr="00486446">
        <w:rPr>
          <w:noProof/>
          <w:color w:val="auto"/>
          <w:sz w:val="24"/>
          <w:szCs w:val="24"/>
          <w:lang w:val="en-IE"/>
        </w:rPr>
        <w:t xml:space="preserve"> </w:t>
      </w:r>
      <w:r w:rsidRPr="00486446">
        <w:rPr>
          <w:noProof/>
          <w:color w:val="auto"/>
          <w:sz w:val="24"/>
          <w:szCs w:val="24"/>
          <w:lang w:val="en-IE"/>
        </w:rPr>
        <w:t xml:space="preserve">the objective of </w:t>
      </w:r>
      <w:r w:rsidR="00AE2A98" w:rsidRPr="00486446">
        <w:rPr>
          <w:noProof/>
          <w:color w:val="auto"/>
          <w:sz w:val="24"/>
          <w:szCs w:val="24"/>
          <w:lang w:val="en-IE"/>
        </w:rPr>
        <w:t xml:space="preserve">addressing restrictive and diverging national regulations </w:t>
      </w:r>
      <w:r w:rsidR="00F70D62">
        <w:rPr>
          <w:noProof/>
          <w:color w:val="auto"/>
          <w:sz w:val="24"/>
          <w:szCs w:val="24"/>
          <w:lang w:val="en-IE"/>
        </w:rPr>
        <w:t>on</w:t>
      </w:r>
      <w:r w:rsidR="00AE2A98" w:rsidRPr="00486446">
        <w:rPr>
          <w:noProof/>
          <w:color w:val="auto"/>
          <w:sz w:val="24"/>
          <w:szCs w:val="24"/>
          <w:lang w:val="en-IE"/>
        </w:rPr>
        <w:t xml:space="preserve"> </w:t>
      </w:r>
      <w:r w:rsidR="00F70D62" w:rsidRPr="00486446">
        <w:rPr>
          <w:noProof/>
          <w:color w:val="auto"/>
          <w:sz w:val="24"/>
          <w:szCs w:val="24"/>
          <w:lang w:val="en-IE"/>
        </w:rPr>
        <w:t xml:space="preserve">services </w:t>
      </w:r>
      <w:r w:rsidR="00AE2A98" w:rsidRPr="00486446">
        <w:rPr>
          <w:noProof/>
          <w:color w:val="auto"/>
          <w:sz w:val="24"/>
          <w:szCs w:val="24"/>
          <w:lang w:val="en-IE"/>
        </w:rPr>
        <w:t>–</w:t>
      </w:r>
      <w:r w:rsidRPr="00486446">
        <w:rPr>
          <w:noProof/>
          <w:color w:val="auto"/>
          <w:sz w:val="24"/>
          <w:szCs w:val="24"/>
          <w:lang w:val="en-IE"/>
        </w:rPr>
        <w:t xml:space="preserve"> </w:t>
      </w:r>
      <w:r w:rsidR="001A3D01">
        <w:rPr>
          <w:noProof/>
          <w:color w:val="auto"/>
          <w:sz w:val="24"/>
          <w:szCs w:val="24"/>
          <w:lang w:val="en-IE"/>
        </w:rPr>
        <w:t xml:space="preserve">another </w:t>
      </w:r>
      <w:r w:rsidRPr="00486446">
        <w:rPr>
          <w:noProof/>
          <w:color w:val="auto"/>
          <w:sz w:val="24"/>
          <w:szCs w:val="24"/>
          <w:lang w:val="en-IE"/>
        </w:rPr>
        <w:t xml:space="preserve">of the “Terrible Ten” </w:t>
      </w:r>
      <w:r w:rsidR="002F7858">
        <w:rPr>
          <w:noProof/>
          <w:color w:val="auto"/>
          <w:sz w:val="24"/>
          <w:szCs w:val="24"/>
          <w:lang w:val="en-IE"/>
        </w:rPr>
        <w:t xml:space="preserve">barriers </w:t>
      </w:r>
      <w:r w:rsidR="00816B52" w:rsidRPr="00486446">
        <w:rPr>
          <w:noProof/>
          <w:color w:val="auto"/>
          <w:sz w:val="24"/>
          <w:szCs w:val="24"/>
          <w:lang w:val="en-IE"/>
        </w:rPr>
        <w:t xml:space="preserve">identified </w:t>
      </w:r>
      <w:r w:rsidRPr="00486446">
        <w:rPr>
          <w:noProof/>
          <w:color w:val="auto"/>
          <w:sz w:val="24"/>
          <w:szCs w:val="24"/>
          <w:lang w:val="en-IE"/>
        </w:rPr>
        <w:t>in the Single Market Strategy.</w:t>
      </w:r>
    </w:p>
    <w:p w14:paraId="33DA66C7" w14:textId="34A8CF2C" w:rsidR="00E43362" w:rsidRPr="00486446" w:rsidRDefault="00D643E8" w:rsidP="00AC7462">
      <w:pPr>
        <w:pStyle w:val="Source"/>
        <w:rPr>
          <w:noProof/>
          <w:color w:val="auto"/>
          <w:sz w:val="24"/>
          <w:szCs w:val="24"/>
          <w:lang w:val="en-IE"/>
        </w:rPr>
      </w:pPr>
      <w:r>
        <w:rPr>
          <w:noProof/>
          <w:color w:val="auto"/>
          <w:sz w:val="24"/>
          <w:szCs w:val="24"/>
          <w:lang w:val="en-IE"/>
        </w:rPr>
        <w:t>Based on the indicator, the level of restrictiveness has remained stable</w:t>
      </w:r>
      <w:r w:rsidR="009E526E" w:rsidRPr="009E526E">
        <w:rPr>
          <w:noProof/>
          <w:color w:val="auto"/>
          <w:sz w:val="24"/>
          <w:szCs w:val="24"/>
          <w:lang w:val="en-IE"/>
        </w:rPr>
        <w:t xml:space="preserve"> </w:t>
      </w:r>
      <w:r w:rsidR="009E526E">
        <w:rPr>
          <w:noProof/>
          <w:color w:val="auto"/>
          <w:sz w:val="24"/>
          <w:szCs w:val="24"/>
          <w:lang w:val="en-IE"/>
        </w:rPr>
        <w:t>in recent years</w:t>
      </w:r>
      <w:r>
        <w:rPr>
          <w:noProof/>
          <w:color w:val="auto"/>
          <w:sz w:val="24"/>
          <w:szCs w:val="24"/>
          <w:lang w:val="en-IE"/>
        </w:rPr>
        <w:t>, despite efforts to remove restrictions.</w:t>
      </w:r>
    </w:p>
    <w:p w14:paraId="7AE5DCDE" w14:textId="110FB594" w:rsidR="00B8632C" w:rsidRDefault="00345F7C" w:rsidP="006E0577">
      <w:pPr>
        <w:pStyle w:val="Source"/>
        <w:spacing w:after="40" w:line="250" w:lineRule="auto"/>
        <w:rPr>
          <w:noProof/>
          <w:color w:val="auto"/>
          <w:sz w:val="24"/>
          <w:szCs w:val="24"/>
          <w:shd w:val="clear" w:color="auto" w:fill="auto"/>
          <w:lang w:val="en-IE"/>
        </w:rPr>
      </w:pPr>
      <w:r w:rsidRPr="00486446">
        <w:rPr>
          <w:b/>
          <w:noProof/>
          <w:color w:val="auto"/>
          <w:sz w:val="24"/>
          <w:szCs w:val="24"/>
          <w:lang w:val="en-IE"/>
        </w:rPr>
        <w:t>Figure 10a</w:t>
      </w:r>
      <w:r w:rsidRPr="00486446">
        <w:rPr>
          <w:bCs/>
          <w:noProof/>
          <w:color w:val="auto"/>
          <w:sz w:val="24"/>
          <w:szCs w:val="24"/>
          <w:lang w:val="en-IE"/>
        </w:rPr>
        <w:t>:</w:t>
      </w:r>
      <w:r w:rsidR="00604C32" w:rsidRPr="00486446">
        <w:rPr>
          <w:bCs/>
          <w:noProof/>
          <w:color w:val="auto"/>
          <w:sz w:val="24"/>
          <w:szCs w:val="24"/>
          <w:lang w:val="en-IE"/>
        </w:rPr>
        <w:t xml:space="preserve"> </w:t>
      </w:r>
      <w:r w:rsidR="00604C32" w:rsidRPr="00486446">
        <w:rPr>
          <w:noProof/>
          <w:color w:val="auto"/>
          <w:sz w:val="24"/>
          <w:szCs w:val="24"/>
          <w:shd w:val="clear" w:color="auto" w:fill="auto"/>
          <w:lang w:val="en-IE"/>
        </w:rPr>
        <w:t xml:space="preserve">Services Regulation, Intra-EEA Services Trade Restrictiveness Index </w:t>
      </w:r>
      <w:r w:rsidR="00BB27E6">
        <w:rPr>
          <w:noProof/>
          <w:color w:val="auto"/>
          <w:sz w:val="24"/>
          <w:szCs w:val="24"/>
          <w:shd w:val="clear" w:color="auto" w:fill="auto"/>
          <w:lang w:val="en-IE"/>
        </w:rPr>
        <w:t xml:space="preserve">for selected sectors </w:t>
      </w:r>
      <w:r w:rsidR="00604C32" w:rsidRPr="00486446">
        <w:rPr>
          <w:noProof/>
          <w:color w:val="auto"/>
          <w:sz w:val="24"/>
          <w:szCs w:val="24"/>
          <w:shd w:val="clear" w:color="auto" w:fill="auto"/>
          <w:lang w:val="en-IE"/>
        </w:rPr>
        <w:t>by EU Member State.</w:t>
      </w:r>
    </w:p>
    <w:p w14:paraId="37DAB4D4" w14:textId="2E54491A" w:rsidR="00345F7C" w:rsidRPr="006E0577" w:rsidRDefault="002011F6" w:rsidP="00FB5A43">
      <w:pPr>
        <w:pStyle w:val="Source"/>
        <w:spacing w:after="0" w:line="250" w:lineRule="auto"/>
        <w:rPr>
          <w:noProof/>
          <w:color w:val="auto"/>
          <w:sz w:val="18"/>
          <w:szCs w:val="18"/>
          <w:shd w:val="clear" w:color="auto" w:fill="auto"/>
          <w:lang w:val="en-IE"/>
        </w:rPr>
      </w:pPr>
      <w:r>
        <w:rPr>
          <w:noProof/>
          <w:lang w:eastAsia="en-GB"/>
        </w:rPr>
        <w:drawing>
          <wp:inline distT="0" distB="0" distL="0" distR="0" wp14:anchorId="6CCC4570" wp14:editId="6B881C11">
            <wp:extent cx="5731510" cy="2857500"/>
            <wp:effectExtent l="0" t="0" r="2540" b="0"/>
            <wp:docPr id="2878803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80398"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5731510" cy="2857500"/>
                    </a:xfrm>
                    <a:prstGeom prst="rect">
                      <a:avLst/>
                    </a:prstGeom>
                  </pic:spPr>
                </pic:pic>
              </a:graphicData>
            </a:graphic>
          </wp:inline>
        </w:drawing>
      </w:r>
    </w:p>
    <w:p w14:paraId="0BBF5B0A" w14:textId="475B82A1" w:rsidR="0099516D" w:rsidRDefault="00590926" w:rsidP="006E0577">
      <w:pPr>
        <w:pStyle w:val="Source"/>
        <w:spacing w:after="40" w:line="250" w:lineRule="auto"/>
        <w:rPr>
          <w:noProof/>
          <w:color w:val="auto"/>
          <w:sz w:val="24"/>
          <w:szCs w:val="24"/>
          <w:shd w:val="clear" w:color="auto" w:fill="auto"/>
          <w:lang w:val="en-IE"/>
        </w:rPr>
      </w:pPr>
      <w:r w:rsidRPr="00486446">
        <w:rPr>
          <w:b/>
          <w:noProof/>
          <w:color w:val="auto"/>
          <w:sz w:val="24"/>
          <w:szCs w:val="24"/>
          <w:lang w:val="en-IE"/>
        </w:rPr>
        <w:t>Figure 10</w:t>
      </w:r>
      <w:r w:rsidR="00345F7C" w:rsidRPr="00486446">
        <w:rPr>
          <w:b/>
          <w:noProof/>
          <w:color w:val="auto"/>
          <w:sz w:val="24"/>
          <w:szCs w:val="24"/>
          <w:lang w:val="en-IE"/>
        </w:rPr>
        <w:t>b</w:t>
      </w:r>
      <w:r w:rsidRPr="00486446">
        <w:rPr>
          <w:noProof/>
          <w:color w:val="auto"/>
          <w:sz w:val="24"/>
          <w:szCs w:val="24"/>
          <w:lang w:val="en-IE"/>
        </w:rPr>
        <w:t xml:space="preserve">: </w:t>
      </w:r>
      <w:r w:rsidR="00180E5D">
        <w:rPr>
          <w:noProof/>
          <w:color w:val="auto"/>
          <w:sz w:val="24"/>
          <w:szCs w:val="24"/>
          <w:shd w:val="clear" w:color="auto" w:fill="auto"/>
          <w:lang w:val="en-IE"/>
        </w:rPr>
        <w:t>Evolution</w:t>
      </w:r>
      <w:r w:rsidR="00180E5D" w:rsidRPr="00486446">
        <w:rPr>
          <w:noProof/>
          <w:color w:val="auto"/>
          <w:sz w:val="24"/>
          <w:szCs w:val="24"/>
          <w:shd w:val="clear" w:color="auto" w:fill="auto"/>
          <w:lang w:val="en-IE"/>
        </w:rPr>
        <w:t xml:space="preserve"> </w:t>
      </w:r>
      <w:r w:rsidR="00604C32" w:rsidRPr="00486446">
        <w:rPr>
          <w:noProof/>
          <w:color w:val="auto"/>
          <w:sz w:val="24"/>
          <w:szCs w:val="24"/>
          <w:shd w:val="clear" w:color="auto" w:fill="auto"/>
          <w:lang w:val="en-IE"/>
        </w:rPr>
        <w:t>of the EU average</w:t>
      </w:r>
      <w:r w:rsidR="00782D9E" w:rsidRPr="00486446">
        <w:rPr>
          <w:noProof/>
          <w:color w:val="auto"/>
          <w:sz w:val="24"/>
          <w:szCs w:val="24"/>
          <w:shd w:val="clear" w:color="auto" w:fill="auto"/>
          <w:lang w:val="en-IE"/>
        </w:rPr>
        <w:t xml:space="preserve"> </w:t>
      </w:r>
      <w:r w:rsidR="002251A6">
        <w:rPr>
          <w:noProof/>
          <w:color w:val="auto"/>
          <w:sz w:val="24"/>
          <w:szCs w:val="24"/>
          <w:shd w:val="clear" w:color="auto" w:fill="auto"/>
          <w:lang w:val="en-IE"/>
        </w:rPr>
        <w:t xml:space="preserve">in the </w:t>
      </w:r>
      <w:r w:rsidR="00782D9E" w:rsidRPr="00486446">
        <w:rPr>
          <w:noProof/>
          <w:color w:val="auto"/>
          <w:sz w:val="24"/>
          <w:szCs w:val="24"/>
          <w:shd w:val="clear" w:color="auto" w:fill="auto"/>
          <w:lang w:val="en-IE"/>
        </w:rPr>
        <w:t>Intra-EEA Services Trade Restrictiveness Index</w:t>
      </w:r>
      <w:r w:rsidR="00551B88" w:rsidRPr="00486446">
        <w:rPr>
          <w:noProof/>
          <w:color w:val="auto"/>
          <w:sz w:val="24"/>
          <w:szCs w:val="24"/>
          <w:shd w:val="clear" w:color="auto" w:fill="auto"/>
          <w:lang w:val="en-IE"/>
        </w:rPr>
        <w:t>.</w:t>
      </w:r>
    </w:p>
    <w:p w14:paraId="30B1DE5B" w14:textId="686F9850" w:rsidR="00DD7047" w:rsidRPr="00486446" w:rsidRDefault="004C4AA9" w:rsidP="007107B3">
      <w:pPr>
        <w:pStyle w:val="Source"/>
        <w:spacing w:after="0" w:line="250" w:lineRule="auto"/>
        <w:jc w:val="center"/>
        <w:rPr>
          <w:noProof/>
          <w:color w:val="auto"/>
          <w:sz w:val="24"/>
          <w:szCs w:val="24"/>
          <w:shd w:val="clear" w:color="auto" w:fill="auto"/>
          <w:lang w:val="en-IE"/>
        </w:rPr>
      </w:pPr>
      <w:r>
        <w:rPr>
          <w:noProof/>
          <w:lang w:eastAsia="en-GB"/>
        </w:rPr>
        <w:drawing>
          <wp:inline distT="0" distB="0" distL="0" distR="0" wp14:anchorId="37D1F7F3" wp14:editId="4807483F">
            <wp:extent cx="5057775" cy="2254685"/>
            <wp:effectExtent l="0" t="0" r="0" b="0"/>
            <wp:docPr id="10492982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98204"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5062276" cy="2256691"/>
                    </a:xfrm>
                    <a:prstGeom prst="rect">
                      <a:avLst/>
                    </a:prstGeom>
                  </pic:spPr>
                </pic:pic>
              </a:graphicData>
            </a:graphic>
          </wp:inline>
        </w:drawing>
      </w:r>
    </w:p>
    <w:p w14:paraId="2C5F7141" w14:textId="23BB16E3" w:rsidR="008D25F7" w:rsidRDefault="00590926" w:rsidP="008D25F7">
      <w:pPr>
        <w:pStyle w:val="Source"/>
        <w:spacing w:line="250" w:lineRule="auto"/>
        <w:rPr>
          <w:noProof/>
          <w:lang w:val="en-IE"/>
        </w:rPr>
      </w:pPr>
      <w:r w:rsidRPr="00486446">
        <w:rPr>
          <w:rStyle w:val="normaltextrun"/>
          <w:noProof/>
          <w:color w:val="auto"/>
          <w:lang w:val="en-IE"/>
        </w:rPr>
        <w:t>Source:</w:t>
      </w:r>
      <w:r w:rsidRPr="00486446">
        <w:rPr>
          <w:rFonts w:eastAsia="Calibri"/>
          <w:noProof/>
          <w:color w:val="auto"/>
          <w:sz w:val="22"/>
          <w:szCs w:val="22"/>
          <w:shd w:val="clear" w:color="auto" w:fill="auto"/>
        </w:rPr>
        <w:t xml:space="preserve"> </w:t>
      </w:r>
      <w:r w:rsidR="00704914" w:rsidRPr="00486446">
        <w:rPr>
          <w:noProof/>
          <w:color w:val="auto"/>
          <w:lang w:val="en-IE"/>
        </w:rPr>
        <w:t>OECD</w:t>
      </w:r>
      <w:r w:rsidR="008D25F7">
        <w:rPr>
          <w:noProof/>
          <w:color w:val="auto"/>
          <w:lang w:val="en-IE"/>
        </w:rPr>
        <w:br w:type="page"/>
      </w:r>
    </w:p>
    <w:p w14:paraId="64F6F9D9" w14:textId="1331BC7C" w:rsidR="00590926" w:rsidRPr="006E0577" w:rsidRDefault="00590926" w:rsidP="00703D9D">
      <w:pPr>
        <w:pStyle w:val="Heading3"/>
        <w:spacing w:before="0" w:after="160" w:line="250" w:lineRule="auto"/>
        <w:rPr>
          <w:rFonts w:ascii="Times New Roman" w:hAnsi="Times New Roman"/>
          <w:b/>
          <w:noProof/>
        </w:rPr>
      </w:pPr>
      <w:bookmarkStart w:id="44" w:name="_Toc220103445"/>
      <w:r w:rsidRPr="00E61CAA">
        <w:rPr>
          <w:rFonts w:ascii="Times New Roman" w:hAnsi="Times New Roman"/>
          <w:b/>
          <w:noProof/>
          <w:color w:val="auto"/>
        </w:rPr>
        <w:t xml:space="preserve">KPI </w:t>
      </w:r>
      <w:r w:rsidRPr="00E61CAA">
        <w:rPr>
          <w:rFonts w:ascii="Times New Roman" w:hAnsi="Times New Roman"/>
          <w:b/>
          <w:bCs/>
          <w:noProof/>
          <w:color w:val="auto"/>
        </w:rPr>
        <w:t>1</w:t>
      </w:r>
      <w:r w:rsidR="008B27E7" w:rsidRPr="00E61CAA">
        <w:rPr>
          <w:rFonts w:ascii="Times New Roman" w:hAnsi="Times New Roman"/>
          <w:b/>
          <w:bCs/>
          <w:noProof/>
          <w:color w:val="auto"/>
        </w:rPr>
        <w:t>1</w:t>
      </w:r>
      <w:r w:rsidRPr="00E61CAA">
        <w:rPr>
          <w:rFonts w:ascii="Times New Roman" w:hAnsi="Times New Roman"/>
          <w:b/>
          <w:noProof/>
          <w:color w:val="auto"/>
        </w:rPr>
        <w:t xml:space="preserve">: </w:t>
      </w:r>
      <w:r w:rsidR="00D925B2" w:rsidRPr="006E0577">
        <w:rPr>
          <w:rFonts w:ascii="Times New Roman" w:hAnsi="Times New Roman"/>
          <w:b/>
          <w:noProof/>
        </w:rPr>
        <w:t>Degree of digitalisation and cross-border accessibility</w:t>
      </w:r>
      <w:bookmarkEnd w:id="44"/>
    </w:p>
    <w:p w14:paraId="51A9CA31" w14:textId="76188B74" w:rsidR="00730C28" w:rsidRDefault="00B26AF4" w:rsidP="006E0577">
      <w:pPr>
        <w:pStyle w:val="Source"/>
        <w:spacing w:line="250" w:lineRule="auto"/>
        <w:rPr>
          <w:noProof/>
          <w:color w:val="000000" w:themeColor="text1"/>
          <w:sz w:val="24"/>
          <w:szCs w:val="24"/>
          <w:lang w:val="en-IE"/>
        </w:rPr>
      </w:pPr>
      <w:r w:rsidRPr="00486446">
        <w:rPr>
          <w:noProof/>
          <w:color w:val="auto"/>
          <w:sz w:val="24"/>
          <w:szCs w:val="24"/>
          <w:lang w:val="en-IE"/>
        </w:rPr>
        <w:t>KPI</w:t>
      </w:r>
      <w:r w:rsidR="00590926" w:rsidRPr="00486446">
        <w:rPr>
          <w:noProof/>
          <w:color w:val="auto"/>
          <w:sz w:val="24"/>
          <w:szCs w:val="24"/>
          <w:lang w:val="en-IE"/>
        </w:rPr>
        <w:t xml:space="preserve"> 1</w:t>
      </w:r>
      <w:r w:rsidR="008B27E7">
        <w:rPr>
          <w:noProof/>
          <w:color w:val="auto"/>
          <w:sz w:val="24"/>
          <w:szCs w:val="24"/>
          <w:lang w:val="en-IE"/>
        </w:rPr>
        <w:t>1</w:t>
      </w:r>
      <w:r w:rsidR="00590926" w:rsidRPr="00486446">
        <w:rPr>
          <w:noProof/>
          <w:color w:val="auto"/>
          <w:sz w:val="24"/>
          <w:szCs w:val="24"/>
          <w:lang w:val="en-IE"/>
        </w:rPr>
        <w:t xml:space="preserve"> measures the share of Single Market relevant administrative procedures </w:t>
      </w:r>
      <w:r w:rsidR="00120779">
        <w:rPr>
          <w:noProof/>
          <w:color w:val="auto"/>
          <w:sz w:val="24"/>
          <w:szCs w:val="24"/>
          <w:lang w:val="en-IE"/>
        </w:rPr>
        <w:t xml:space="preserve">required </w:t>
      </w:r>
      <w:r w:rsidR="00717394">
        <w:rPr>
          <w:noProof/>
          <w:color w:val="auto"/>
          <w:sz w:val="24"/>
          <w:szCs w:val="24"/>
          <w:lang w:val="en-IE"/>
        </w:rPr>
        <w:t>under</w:t>
      </w:r>
      <w:r w:rsidR="00120779">
        <w:rPr>
          <w:noProof/>
          <w:color w:val="auto"/>
          <w:sz w:val="24"/>
          <w:szCs w:val="24"/>
          <w:lang w:val="en-IE"/>
        </w:rPr>
        <w:t xml:space="preserve"> the </w:t>
      </w:r>
      <w:r w:rsidRPr="00486446">
        <w:rPr>
          <w:noProof/>
          <w:color w:val="auto"/>
          <w:sz w:val="24"/>
          <w:szCs w:val="24"/>
          <w:lang w:val="en-IE"/>
        </w:rPr>
        <w:t xml:space="preserve">Single Digital Gateway </w:t>
      </w:r>
      <w:r w:rsidR="00717394">
        <w:rPr>
          <w:noProof/>
          <w:color w:val="auto"/>
          <w:sz w:val="24"/>
          <w:szCs w:val="24"/>
          <w:lang w:val="en-IE"/>
        </w:rPr>
        <w:t>Regulation to be online,</w:t>
      </w:r>
      <w:r w:rsidRPr="00486446">
        <w:rPr>
          <w:noProof/>
          <w:color w:val="auto"/>
          <w:sz w:val="24"/>
          <w:szCs w:val="24"/>
          <w:lang w:val="en-IE"/>
        </w:rPr>
        <w:t xml:space="preserve"> </w:t>
      </w:r>
      <w:r w:rsidR="00590926" w:rsidRPr="00486446">
        <w:rPr>
          <w:noProof/>
          <w:color w:val="auto"/>
          <w:sz w:val="24"/>
          <w:szCs w:val="24"/>
          <w:lang w:val="en-IE"/>
        </w:rPr>
        <w:t xml:space="preserve">that are fully online </w:t>
      </w:r>
      <w:r w:rsidR="00717394">
        <w:rPr>
          <w:noProof/>
          <w:color w:val="auto"/>
          <w:sz w:val="24"/>
          <w:szCs w:val="24"/>
          <w:lang w:val="en-IE"/>
        </w:rPr>
        <w:t xml:space="preserve">for </w:t>
      </w:r>
      <w:r w:rsidR="00590926" w:rsidRPr="00486446">
        <w:rPr>
          <w:noProof/>
          <w:color w:val="auto"/>
          <w:sz w:val="24"/>
          <w:szCs w:val="24"/>
          <w:lang w:val="en-IE"/>
        </w:rPr>
        <w:t>both national and cross-border users</w:t>
      </w:r>
      <w:r w:rsidR="00130FF7">
        <w:rPr>
          <w:noProof/>
          <w:color w:val="auto"/>
          <w:sz w:val="24"/>
          <w:szCs w:val="24"/>
          <w:lang w:val="en-IE"/>
        </w:rPr>
        <w:t>. This</w:t>
      </w:r>
      <w:r w:rsidR="00730C28" w:rsidRPr="0065549F">
        <w:rPr>
          <w:noProof/>
          <w:color w:val="000000" w:themeColor="text1"/>
          <w:sz w:val="24"/>
          <w:szCs w:val="24"/>
          <w:lang w:val="en-IE"/>
        </w:rPr>
        <w:t xml:space="preserve"> includ</w:t>
      </w:r>
      <w:r w:rsidR="007E15D6">
        <w:rPr>
          <w:noProof/>
          <w:color w:val="000000" w:themeColor="text1"/>
          <w:sz w:val="24"/>
          <w:szCs w:val="24"/>
          <w:lang w:val="en-IE"/>
        </w:rPr>
        <w:t>es</w:t>
      </w:r>
      <w:r w:rsidR="00730C28" w:rsidRPr="0065549F">
        <w:rPr>
          <w:noProof/>
          <w:color w:val="000000" w:themeColor="text1"/>
          <w:sz w:val="24"/>
          <w:szCs w:val="24"/>
          <w:lang w:val="en-IE"/>
        </w:rPr>
        <w:t xml:space="preserve"> aspects such as authentication and payment</w:t>
      </w:r>
      <w:r w:rsidR="00730C28" w:rsidRPr="0065549F">
        <w:rPr>
          <w:rStyle w:val="FootnoteReference"/>
          <w:rFonts w:eastAsiaTheme="majorEastAsia"/>
          <w:noProof/>
          <w:color w:val="000000" w:themeColor="text1"/>
          <w:sz w:val="24"/>
          <w:szCs w:val="24"/>
          <w:lang w:val="en-IE"/>
        </w:rPr>
        <w:footnoteReference w:id="17"/>
      </w:r>
      <w:r w:rsidR="00730C28" w:rsidRPr="0065549F">
        <w:rPr>
          <w:noProof/>
          <w:color w:val="000000" w:themeColor="text1"/>
          <w:sz w:val="24"/>
          <w:szCs w:val="24"/>
          <w:lang w:val="en-IE"/>
        </w:rPr>
        <w:t>.</w:t>
      </w:r>
    </w:p>
    <w:p w14:paraId="7E7F341B" w14:textId="75007F83" w:rsidR="00554484" w:rsidRPr="0065549F" w:rsidRDefault="00554484" w:rsidP="006E0577">
      <w:pPr>
        <w:pStyle w:val="Source"/>
        <w:spacing w:line="250" w:lineRule="auto"/>
        <w:rPr>
          <w:noProof/>
          <w:color w:val="auto"/>
          <w:sz w:val="24"/>
          <w:szCs w:val="24"/>
          <w:lang w:val="en-IE"/>
        </w:rPr>
      </w:pPr>
      <w:r w:rsidRPr="00486446">
        <w:rPr>
          <w:noProof/>
          <w:color w:val="auto"/>
          <w:sz w:val="24"/>
          <w:szCs w:val="24"/>
          <w:lang w:val="en-IE"/>
        </w:rPr>
        <w:t xml:space="preserve">This KPI tracks progress </w:t>
      </w:r>
      <w:r w:rsidR="00E66967">
        <w:rPr>
          <w:noProof/>
          <w:color w:val="auto"/>
          <w:sz w:val="24"/>
          <w:szCs w:val="24"/>
          <w:lang w:val="en-IE"/>
        </w:rPr>
        <w:t>related to</w:t>
      </w:r>
      <w:r w:rsidR="00E66967" w:rsidRPr="00486446">
        <w:rPr>
          <w:noProof/>
          <w:color w:val="auto"/>
          <w:sz w:val="24"/>
          <w:szCs w:val="24"/>
          <w:lang w:val="en-IE"/>
        </w:rPr>
        <w:t xml:space="preserve"> </w:t>
      </w:r>
      <w:r w:rsidRPr="00486446">
        <w:rPr>
          <w:noProof/>
          <w:color w:val="auto"/>
          <w:sz w:val="24"/>
          <w:szCs w:val="24"/>
          <w:lang w:val="en-IE"/>
        </w:rPr>
        <w:t xml:space="preserve">the objective of </w:t>
      </w:r>
      <w:r w:rsidR="00FB5C28">
        <w:rPr>
          <w:noProof/>
          <w:color w:val="auto"/>
          <w:sz w:val="24"/>
          <w:szCs w:val="24"/>
          <w:lang w:val="en-IE"/>
        </w:rPr>
        <w:t xml:space="preserve">digitalising the Single Market, as </w:t>
      </w:r>
      <w:r w:rsidR="006B25A8">
        <w:rPr>
          <w:noProof/>
          <w:color w:val="auto"/>
          <w:sz w:val="24"/>
          <w:szCs w:val="24"/>
          <w:lang w:val="en-IE"/>
        </w:rPr>
        <w:t>proposed by</w:t>
      </w:r>
      <w:r w:rsidRPr="00486446">
        <w:rPr>
          <w:noProof/>
          <w:color w:val="auto"/>
          <w:sz w:val="24"/>
          <w:szCs w:val="24"/>
          <w:lang w:val="en-IE"/>
        </w:rPr>
        <w:t xml:space="preserve"> the Single Market Strategy.</w:t>
      </w:r>
    </w:p>
    <w:p w14:paraId="5D3CA0B2" w14:textId="09A50280" w:rsidR="005976F1" w:rsidRDefault="00554484" w:rsidP="006E0577">
      <w:pPr>
        <w:pStyle w:val="Text1"/>
        <w:spacing w:after="160" w:line="250" w:lineRule="auto"/>
        <w:ind w:left="0"/>
        <w:rPr>
          <w:bCs/>
          <w:noProof/>
          <w:color w:val="000000" w:themeColor="text1"/>
        </w:rPr>
      </w:pPr>
      <w:r w:rsidRPr="0065549F">
        <w:rPr>
          <w:bCs/>
          <w:noProof/>
          <w:color w:val="000000" w:themeColor="text1"/>
          <w:lang w:val="en-IE"/>
        </w:rPr>
        <w:t>The Single Digital Gateway (SDG) Regulation</w:t>
      </w:r>
      <w:r w:rsidRPr="0065549F">
        <w:rPr>
          <w:rStyle w:val="FootnoteReference"/>
          <w:bCs/>
          <w:noProof/>
          <w:color w:val="000000" w:themeColor="text1"/>
          <w:lang w:val="en-IE"/>
        </w:rPr>
        <w:footnoteReference w:id="18"/>
      </w:r>
      <w:r w:rsidRPr="0065549F">
        <w:rPr>
          <w:bCs/>
          <w:noProof/>
          <w:color w:val="000000" w:themeColor="text1"/>
          <w:lang w:val="en-IE"/>
        </w:rPr>
        <w:t xml:space="preserve"> sets out the main e-government entry point, </w:t>
      </w:r>
      <w:r w:rsidRPr="0065549F">
        <w:rPr>
          <w:bCs/>
          <w:noProof/>
          <w:color w:val="000000" w:themeColor="text1"/>
        </w:rPr>
        <w:t>Your Europe, which citizens and business</w:t>
      </w:r>
      <w:r w:rsidR="00CA76B6">
        <w:rPr>
          <w:bCs/>
          <w:noProof/>
          <w:color w:val="000000" w:themeColor="text1"/>
        </w:rPr>
        <w:t>es</w:t>
      </w:r>
      <w:r w:rsidRPr="0065549F">
        <w:rPr>
          <w:bCs/>
          <w:noProof/>
          <w:color w:val="000000" w:themeColor="text1"/>
        </w:rPr>
        <w:t xml:space="preserve"> can </w:t>
      </w:r>
      <w:r w:rsidR="00643FBE">
        <w:rPr>
          <w:bCs/>
          <w:noProof/>
          <w:color w:val="000000" w:themeColor="text1"/>
        </w:rPr>
        <w:t xml:space="preserve">use </w:t>
      </w:r>
      <w:r w:rsidR="001D79F6">
        <w:rPr>
          <w:bCs/>
          <w:noProof/>
          <w:color w:val="000000" w:themeColor="text1"/>
        </w:rPr>
        <w:t xml:space="preserve">to </w:t>
      </w:r>
      <w:r w:rsidRPr="0065549F">
        <w:rPr>
          <w:bCs/>
          <w:noProof/>
          <w:color w:val="000000" w:themeColor="text1"/>
        </w:rPr>
        <w:t xml:space="preserve">access reliable and multilingual information on rights, obligations, and administrative procedures in all EU countries. </w:t>
      </w:r>
      <w:r w:rsidR="006B25A8">
        <w:rPr>
          <w:bCs/>
          <w:noProof/>
          <w:color w:val="000000" w:themeColor="text1"/>
        </w:rPr>
        <w:t>It</w:t>
      </w:r>
      <w:r w:rsidRPr="00554484">
        <w:rPr>
          <w:bCs/>
          <w:noProof/>
          <w:color w:val="000000" w:themeColor="text1"/>
        </w:rPr>
        <w:t xml:space="preserve"> also provides links to national portals and online services to complete key procedures digitally.</w:t>
      </w:r>
      <w:r w:rsidRPr="00554484">
        <w:rPr>
          <w:bCs/>
          <w:noProof/>
          <w:color w:val="000000" w:themeColor="text1"/>
          <w:lang w:val="en-IE"/>
        </w:rPr>
        <w:t xml:space="preserve"> </w:t>
      </w:r>
      <w:r w:rsidR="00575D7A">
        <w:rPr>
          <w:bCs/>
          <w:noProof/>
          <w:color w:val="000000" w:themeColor="text1"/>
          <w:lang w:val="en-IE"/>
        </w:rPr>
        <w:t xml:space="preserve">Progress on </w:t>
      </w:r>
      <w:r w:rsidRPr="00554484">
        <w:rPr>
          <w:bCs/>
          <w:noProof/>
          <w:color w:val="000000" w:themeColor="text1"/>
          <w:lang w:val="en-IE"/>
        </w:rPr>
        <w:t xml:space="preserve">SDG </w:t>
      </w:r>
      <w:r w:rsidRPr="00554484" w:rsidDel="00575D7A">
        <w:rPr>
          <w:bCs/>
          <w:noProof/>
          <w:color w:val="000000" w:themeColor="text1"/>
          <w:lang w:val="en-IE"/>
        </w:rPr>
        <w:t>implementation</w:t>
      </w:r>
      <w:r w:rsidR="00575D7A">
        <w:rPr>
          <w:bCs/>
          <w:noProof/>
          <w:color w:val="000000" w:themeColor="text1"/>
          <w:lang w:val="en-IE"/>
        </w:rPr>
        <w:t>varies</w:t>
      </w:r>
      <w:r w:rsidRPr="00554484">
        <w:rPr>
          <w:bCs/>
          <w:noProof/>
          <w:color w:val="000000" w:themeColor="text1"/>
          <w:lang w:val="en-IE"/>
        </w:rPr>
        <w:t xml:space="preserve"> across Member States.</w:t>
      </w:r>
      <w:r w:rsidRPr="0065549F">
        <w:rPr>
          <w:bCs/>
          <w:noProof/>
          <w:color w:val="000000" w:themeColor="text1"/>
          <w:lang w:val="en-IE"/>
        </w:rPr>
        <w:t xml:space="preserve"> </w:t>
      </w:r>
      <w:r w:rsidR="004E5546">
        <w:rPr>
          <w:bCs/>
          <w:noProof/>
          <w:color w:val="000000" w:themeColor="text1"/>
          <w:lang w:val="en-IE"/>
        </w:rPr>
        <w:t>On</w:t>
      </w:r>
      <w:r w:rsidR="006B25A8">
        <w:rPr>
          <w:bCs/>
          <w:noProof/>
          <w:color w:val="000000" w:themeColor="text1"/>
          <w:lang w:val="en-IE"/>
        </w:rPr>
        <w:t xml:space="preserve"> average</w:t>
      </w:r>
      <w:r w:rsidR="004E5546">
        <w:rPr>
          <w:bCs/>
          <w:noProof/>
          <w:color w:val="000000" w:themeColor="text1"/>
          <w:lang w:val="en-IE"/>
        </w:rPr>
        <w:t xml:space="preserve">, </w:t>
      </w:r>
      <w:r w:rsidR="00920D8B">
        <w:rPr>
          <w:bCs/>
          <w:noProof/>
          <w:color w:val="000000" w:themeColor="text1"/>
          <w:lang w:val="en-IE"/>
        </w:rPr>
        <w:t xml:space="preserve">in 2024, </w:t>
      </w:r>
      <w:r w:rsidR="004E5546">
        <w:rPr>
          <w:bCs/>
          <w:noProof/>
          <w:color w:val="000000" w:themeColor="text1"/>
          <w:lang w:val="en-IE"/>
        </w:rPr>
        <w:t>only</w:t>
      </w:r>
      <w:r w:rsidRPr="00554484">
        <w:rPr>
          <w:bCs/>
          <w:noProof/>
          <w:color w:val="000000" w:themeColor="text1"/>
          <w:lang w:val="en-IE"/>
        </w:rPr>
        <w:t xml:space="preserve"> 21% of procedures required to be online, </w:t>
      </w:r>
      <w:r w:rsidR="00F37D80">
        <w:rPr>
          <w:bCs/>
          <w:noProof/>
          <w:color w:val="000000" w:themeColor="text1"/>
          <w:lang w:val="en-IE"/>
        </w:rPr>
        <w:t>we</w:t>
      </w:r>
      <w:r w:rsidRPr="00554484">
        <w:rPr>
          <w:bCs/>
          <w:noProof/>
          <w:color w:val="000000" w:themeColor="text1"/>
          <w:lang w:val="en-IE"/>
        </w:rPr>
        <w:t>re fully online for both national and cross-border users</w:t>
      </w:r>
      <w:r w:rsidR="00B5342D">
        <w:rPr>
          <w:bCs/>
          <w:noProof/>
          <w:color w:val="000000" w:themeColor="text1"/>
          <w:lang w:val="en-IE"/>
        </w:rPr>
        <w:t xml:space="preserve"> </w:t>
      </w:r>
      <w:r w:rsidR="00B5342D" w:rsidRPr="00B5342D">
        <w:rPr>
          <w:bCs/>
          <w:noProof/>
          <w:color w:val="000000" w:themeColor="text1"/>
          <w:lang w:val="en-IE"/>
        </w:rPr>
        <w:t>as per the specific requirements set out in Articles 6, 13 and 14 of the SDG Regulation.</w:t>
      </w:r>
      <w:r w:rsidRPr="00554484">
        <w:rPr>
          <w:bCs/>
          <w:noProof/>
          <w:color w:val="000000" w:themeColor="text1"/>
          <w:lang w:val="en-IE"/>
        </w:rPr>
        <w:t xml:space="preserve"> </w:t>
      </w:r>
      <w:r w:rsidR="00964894">
        <w:rPr>
          <w:bCs/>
          <w:noProof/>
          <w:color w:val="000000" w:themeColor="text1"/>
          <w:lang w:val="en-IE"/>
        </w:rPr>
        <w:t xml:space="preserve">Based on the previous methodology that only </w:t>
      </w:r>
      <w:r w:rsidR="00CD31E4">
        <w:rPr>
          <w:bCs/>
          <w:noProof/>
          <w:color w:val="000000" w:themeColor="text1"/>
          <w:lang w:val="en-IE"/>
        </w:rPr>
        <w:t xml:space="preserve">measures the compliance with </w:t>
      </w:r>
      <w:r w:rsidR="006E2668">
        <w:rPr>
          <w:bCs/>
          <w:noProof/>
          <w:color w:val="000000" w:themeColor="text1"/>
          <w:lang w:val="en-IE"/>
        </w:rPr>
        <w:t xml:space="preserve">the requirement contained in Article 13.2(b) of the SDG Regulation, i.e. </w:t>
      </w:r>
      <w:r w:rsidR="00510819">
        <w:rPr>
          <w:bCs/>
          <w:noProof/>
          <w:color w:val="000000" w:themeColor="text1"/>
          <w:lang w:val="en-IE"/>
        </w:rPr>
        <w:t xml:space="preserve">that the </w:t>
      </w:r>
      <w:r w:rsidR="00510819" w:rsidRPr="00510819">
        <w:rPr>
          <w:bCs/>
          <w:noProof/>
          <w:color w:val="000000" w:themeColor="text1"/>
        </w:rPr>
        <w:t>cross-border users are able to submit the required information</w:t>
      </w:r>
      <w:r w:rsidR="00510819">
        <w:rPr>
          <w:bCs/>
          <w:noProof/>
          <w:color w:val="000000" w:themeColor="text1"/>
        </w:rPr>
        <w:t xml:space="preserve">, </w:t>
      </w:r>
      <w:r w:rsidR="00D73C41">
        <w:rPr>
          <w:bCs/>
          <w:noProof/>
          <w:color w:val="000000" w:themeColor="text1"/>
        </w:rPr>
        <w:t>54% of relevant procedures compl</w:t>
      </w:r>
      <w:r w:rsidR="00AA0863">
        <w:rPr>
          <w:bCs/>
          <w:noProof/>
          <w:color w:val="000000" w:themeColor="text1"/>
        </w:rPr>
        <w:t>ied</w:t>
      </w:r>
      <w:r w:rsidR="00D73C41">
        <w:rPr>
          <w:bCs/>
          <w:noProof/>
          <w:color w:val="000000" w:themeColor="text1"/>
        </w:rPr>
        <w:t xml:space="preserve"> with this requirement</w:t>
      </w:r>
      <w:r w:rsidR="00D73C41">
        <w:rPr>
          <w:rStyle w:val="FootnoteReference"/>
          <w:bCs/>
          <w:noProof/>
          <w:color w:val="000000" w:themeColor="text1"/>
        </w:rPr>
        <w:footnoteReference w:id="19"/>
      </w:r>
      <w:r w:rsidR="00FB1069">
        <w:rPr>
          <w:bCs/>
          <w:noProof/>
          <w:color w:val="000000" w:themeColor="text1"/>
        </w:rPr>
        <w:t>.</w:t>
      </w:r>
    </w:p>
    <w:p w14:paraId="029BE5E7" w14:textId="77777777" w:rsidR="000C0B93" w:rsidRPr="00486446" w:rsidRDefault="000C0B93" w:rsidP="006E0577">
      <w:pPr>
        <w:pStyle w:val="Text1"/>
        <w:spacing w:after="160" w:line="250" w:lineRule="auto"/>
        <w:ind w:left="0"/>
        <w:rPr>
          <w:noProof/>
        </w:rPr>
      </w:pPr>
    </w:p>
    <w:p w14:paraId="63132A78" w14:textId="26AADA00" w:rsidR="003D0D97" w:rsidRDefault="00590926" w:rsidP="006E0577">
      <w:pPr>
        <w:pStyle w:val="Figurecaption"/>
        <w:spacing w:line="250" w:lineRule="auto"/>
        <w:jc w:val="both"/>
        <w:rPr>
          <w:rFonts w:eastAsia="Times New Roman" w:cs="Times New Roman"/>
          <w:iCs w:val="0"/>
          <w:noProof/>
          <w:szCs w:val="24"/>
          <w:lang w:val="en-IE"/>
        </w:rPr>
      </w:pPr>
      <w:r w:rsidRPr="00486446">
        <w:rPr>
          <w:rFonts w:eastAsia="Times New Roman" w:cs="Times New Roman"/>
          <w:b/>
          <w:bCs/>
          <w:noProof/>
          <w:lang w:val="en-IE"/>
        </w:rPr>
        <w:t>Figure 1</w:t>
      </w:r>
      <w:r w:rsidR="00153063">
        <w:rPr>
          <w:rFonts w:eastAsia="Times New Roman" w:cs="Times New Roman"/>
          <w:b/>
          <w:bCs/>
          <w:noProof/>
          <w:lang w:val="en-IE"/>
        </w:rPr>
        <w:t>1</w:t>
      </w:r>
      <w:r w:rsidRPr="00486446">
        <w:rPr>
          <w:rFonts w:eastAsia="Times New Roman" w:cs="Times New Roman"/>
          <w:noProof/>
          <w:lang w:val="en-IE"/>
        </w:rPr>
        <w:t xml:space="preserve">: </w:t>
      </w:r>
      <w:r w:rsidR="00352FFF" w:rsidRPr="00486446">
        <w:rPr>
          <w:rFonts w:eastAsia="Times New Roman" w:cs="Times New Roman"/>
          <w:iCs w:val="0"/>
          <w:noProof/>
          <w:szCs w:val="24"/>
          <w:lang w:val="en-IE"/>
        </w:rPr>
        <w:t>Degree of digitalisation and cross-border accessibility</w:t>
      </w:r>
      <w:r w:rsidR="005976F1" w:rsidRPr="00486446">
        <w:rPr>
          <w:rFonts w:eastAsia="Times New Roman" w:cs="Times New Roman"/>
          <w:iCs w:val="0"/>
          <w:noProof/>
          <w:szCs w:val="24"/>
          <w:lang w:val="en-IE"/>
        </w:rPr>
        <w:t xml:space="preserve"> of </w:t>
      </w:r>
      <w:r w:rsidR="00960EA2" w:rsidRPr="00486446">
        <w:rPr>
          <w:rFonts w:eastAsia="Times New Roman" w:cs="Times New Roman"/>
          <w:iCs w:val="0"/>
          <w:noProof/>
          <w:szCs w:val="24"/>
          <w:lang w:val="en-IE"/>
        </w:rPr>
        <w:t>administrative procedures.</w:t>
      </w:r>
    </w:p>
    <w:p w14:paraId="01645ABA" w14:textId="1A5DA9FD" w:rsidR="00D907DE" w:rsidRPr="00486446" w:rsidRDefault="006A2F6D">
      <w:pPr>
        <w:pStyle w:val="Source"/>
        <w:rPr>
          <w:noProof/>
          <w:color w:val="auto"/>
          <w:lang w:val="en-IE"/>
        </w:rPr>
      </w:pPr>
      <w:r>
        <w:rPr>
          <w:iCs/>
          <w:noProof/>
          <w:sz w:val="24"/>
          <w:szCs w:val="18"/>
          <w:lang w:eastAsia="en-GB"/>
        </w:rPr>
        <w:drawing>
          <wp:inline distT="0" distB="0" distL="0" distR="0" wp14:anchorId="1ACA72AA" wp14:editId="0CB05507">
            <wp:extent cx="5648383" cy="3016885"/>
            <wp:effectExtent l="0" t="0" r="9525" b="0"/>
            <wp:docPr id="3368127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12722" name=""/>
                    <pic:cNvPicPr/>
                  </pic:nvPicPr>
                  <pic:blipFill rotWithShape="1">
                    <a:blip r:embed="rId66">
                      <a:extLst>
                        <a:ext uri="{96DAC541-7B7A-43D3-8B79-37D633B846F1}">
                          <asvg:svgBlip xmlns:asvg="http://schemas.microsoft.com/office/drawing/2016/SVG/main" r:embed="rId67"/>
                        </a:ext>
                      </a:extLst>
                    </a:blip>
                    <a:srcRect l="1451"/>
                    <a:stretch/>
                  </pic:blipFill>
                  <pic:spPr bwMode="auto">
                    <a:xfrm>
                      <a:off x="0" y="0"/>
                      <a:ext cx="5648383" cy="3016885"/>
                    </a:xfrm>
                    <a:prstGeom prst="rect">
                      <a:avLst/>
                    </a:prstGeom>
                    <a:ln>
                      <a:noFill/>
                    </a:ln>
                    <a:extLst>
                      <a:ext uri="{53640926-AAD7-44D8-BBD7-CCE9431645EC}">
                        <a14:shadowObscured xmlns:a14="http://schemas.microsoft.com/office/drawing/2010/main"/>
                      </a:ext>
                    </a:extLst>
                  </pic:spPr>
                </pic:pic>
              </a:graphicData>
            </a:graphic>
          </wp:inline>
        </w:drawing>
      </w:r>
      <w:r w:rsidR="00590926" w:rsidRPr="00486446">
        <w:rPr>
          <w:rStyle w:val="normaltextrun"/>
          <w:noProof/>
          <w:color w:val="auto"/>
          <w:lang w:val="en-IE"/>
        </w:rPr>
        <w:t xml:space="preserve">Source: </w:t>
      </w:r>
      <w:r w:rsidR="0006335E" w:rsidRPr="00486446">
        <w:rPr>
          <w:noProof/>
          <w:color w:val="auto"/>
          <w:lang w:val="en-IE"/>
        </w:rPr>
        <w:t>European Commission</w:t>
      </w:r>
      <w:r w:rsidR="00110FC6">
        <w:rPr>
          <w:noProof/>
          <w:color w:val="auto"/>
          <w:lang w:val="en-IE"/>
        </w:rPr>
        <w:t xml:space="preserve"> services</w:t>
      </w:r>
    </w:p>
    <w:p w14:paraId="78FCB6FE" w14:textId="77777777" w:rsidR="003D0D97" w:rsidRPr="00486446" w:rsidRDefault="003D0D97">
      <w:pPr>
        <w:pStyle w:val="Source"/>
        <w:rPr>
          <w:b/>
          <w:bCs/>
          <w:noProof/>
          <w:color w:val="auto"/>
          <w:lang w:val="en-IE"/>
        </w:rPr>
      </w:pPr>
    </w:p>
    <w:p w14:paraId="2B8861C6" w14:textId="77777777" w:rsidR="003D0D97" w:rsidRPr="00486446" w:rsidRDefault="003D0D97">
      <w:pPr>
        <w:pStyle w:val="Source"/>
        <w:rPr>
          <w:b/>
          <w:bCs/>
          <w:noProof/>
          <w:color w:val="auto"/>
          <w:lang w:val="en-IE"/>
        </w:rPr>
      </w:pPr>
    </w:p>
    <w:p w14:paraId="7BD63048" w14:textId="7BE06D4D" w:rsidR="003D0D97" w:rsidRPr="008D25F7" w:rsidRDefault="008D25F7" w:rsidP="008D25F7">
      <w:pPr>
        <w:suppressAutoHyphens w:val="0"/>
        <w:rPr>
          <w:rFonts w:ascii="Times New Roman" w:eastAsia="Times New Roman" w:hAnsi="Times New Roman" w:cs="Times New Roman"/>
          <w:b/>
          <w:bCs/>
          <w:noProof/>
          <w:sz w:val="20"/>
          <w:szCs w:val="20"/>
          <w:shd w:val="clear" w:color="auto" w:fill="FFFFFF"/>
          <w:lang w:val="en-IE"/>
        </w:rPr>
      </w:pPr>
      <w:r>
        <w:rPr>
          <w:b/>
          <w:bCs/>
          <w:noProof/>
          <w:lang w:val="en-IE"/>
        </w:rPr>
        <w:br w:type="page"/>
      </w:r>
    </w:p>
    <w:p w14:paraId="71BB7801" w14:textId="40F1BA99" w:rsidR="00C1173C" w:rsidRPr="00007DF4" w:rsidRDefault="00F50AF8" w:rsidP="0065549F">
      <w:pPr>
        <w:pStyle w:val="Heading2"/>
        <w:numPr>
          <w:ilvl w:val="0"/>
          <w:numId w:val="31"/>
        </w:numPr>
        <w:spacing w:before="0" w:after="160" w:line="250" w:lineRule="auto"/>
        <w:rPr>
          <w:rFonts w:ascii="Times New Roman" w:hAnsi="Times New Roman"/>
          <w:b/>
          <w:bCs/>
          <w:noProof/>
          <w:color w:val="auto"/>
        </w:rPr>
      </w:pPr>
      <w:bookmarkStart w:id="45" w:name="_Toc185237875"/>
      <w:bookmarkStart w:id="46" w:name="_Toc185239878"/>
      <w:bookmarkStart w:id="47" w:name="_Toc185264644"/>
      <w:bookmarkStart w:id="48" w:name="_Toc185525737"/>
      <w:bookmarkStart w:id="49" w:name="_Toc185591277"/>
      <w:bookmarkStart w:id="50" w:name="_Toc220103446"/>
      <w:r w:rsidRPr="00007DF4">
        <w:rPr>
          <w:rFonts w:ascii="Times New Roman" w:hAnsi="Times New Roman"/>
          <w:b/>
          <w:bCs/>
          <w:noProof/>
          <w:color w:val="auto"/>
          <w:sz w:val="28"/>
          <w:szCs w:val="28"/>
        </w:rPr>
        <w:t>Closing the innovation gap</w:t>
      </w:r>
      <w:bookmarkEnd w:id="45"/>
      <w:bookmarkEnd w:id="46"/>
      <w:bookmarkEnd w:id="47"/>
      <w:bookmarkEnd w:id="48"/>
      <w:bookmarkEnd w:id="49"/>
      <w:bookmarkEnd w:id="50"/>
    </w:p>
    <w:p w14:paraId="0119EBE3" w14:textId="77777777" w:rsidR="00B40097" w:rsidRDefault="00B40097" w:rsidP="00B40097">
      <w:pPr>
        <w:pStyle w:val="Heading3"/>
        <w:spacing w:before="0" w:after="160" w:line="250" w:lineRule="auto"/>
        <w:rPr>
          <w:rFonts w:ascii="Times New Roman" w:hAnsi="Times New Roman"/>
          <w:b/>
          <w:bCs/>
          <w:noProof/>
          <w:color w:val="auto"/>
        </w:rPr>
      </w:pPr>
      <w:bookmarkStart w:id="51" w:name="_Toc185237796"/>
      <w:bookmarkStart w:id="52" w:name="_Toc185237876"/>
      <w:bookmarkStart w:id="53" w:name="_Toc185239331"/>
      <w:bookmarkStart w:id="54" w:name="_Toc185239563"/>
      <w:bookmarkStart w:id="55" w:name="_Toc185239879"/>
      <w:bookmarkStart w:id="56" w:name="_Toc185239973"/>
      <w:bookmarkStart w:id="57" w:name="_Toc185240847"/>
      <w:bookmarkStart w:id="58" w:name="_Toc185243018"/>
      <w:bookmarkStart w:id="59" w:name="_Toc185250980"/>
      <w:bookmarkStart w:id="60" w:name="_Toc185263425"/>
      <w:bookmarkStart w:id="61" w:name="_Toc185263867"/>
      <w:bookmarkStart w:id="62" w:name="_Toc185263965"/>
      <w:bookmarkStart w:id="63" w:name="_Toc183515533"/>
      <w:bookmarkStart w:id="64" w:name="_Toc185237880"/>
      <w:bookmarkStart w:id="65" w:name="_Toc185239883"/>
      <w:bookmarkStart w:id="66" w:name="_Toc185264646"/>
      <w:bookmarkStart w:id="67" w:name="_Toc185525739"/>
      <w:bookmarkStart w:id="68" w:name="_Toc185591279"/>
      <w:bookmarkEnd w:id="51"/>
      <w:bookmarkEnd w:id="52"/>
      <w:bookmarkEnd w:id="53"/>
      <w:bookmarkEnd w:id="54"/>
      <w:bookmarkEnd w:id="55"/>
      <w:bookmarkEnd w:id="56"/>
      <w:bookmarkEnd w:id="57"/>
      <w:bookmarkEnd w:id="58"/>
      <w:bookmarkEnd w:id="59"/>
      <w:bookmarkEnd w:id="60"/>
      <w:bookmarkEnd w:id="61"/>
      <w:bookmarkEnd w:id="62"/>
    </w:p>
    <w:p w14:paraId="19ECE553" w14:textId="037A0B65" w:rsidR="00C1173C" w:rsidRPr="00007DF4" w:rsidRDefault="00F50AF8" w:rsidP="0065549F">
      <w:pPr>
        <w:pStyle w:val="Heading3"/>
        <w:spacing w:before="0" w:after="160" w:line="250" w:lineRule="auto"/>
        <w:rPr>
          <w:rFonts w:ascii="Times New Roman" w:hAnsi="Times New Roman"/>
          <w:b/>
          <w:bCs/>
          <w:noProof/>
          <w:color w:val="auto"/>
        </w:rPr>
      </w:pPr>
      <w:bookmarkStart w:id="69" w:name="_Toc220103447"/>
      <w:r w:rsidRPr="00007DF4">
        <w:rPr>
          <w:rFonts w:ascii="Times New Roman" w:hAnsi="Times New Roman"/>
          <w:b/>
          <w:bCs/>
          <w:noProof/>
          <w:color w:val="auto"/>
        </w:rPr>
        <w:t xml:space="preserve">KPI </w:t>
      </w:r>
      <w:r w:rsidR="00590926" w:rsidRPr="00007DF4">
        <w:rPr>
          <w:rFonts w:ascii="Times New Roman" w:hAnsi="Times New Roman"/>
          <w:b/>
          <w:bCs/>
          <w:noProof/>
          <w:color w:val="auto"/>
        </w:rPr>
        <w:t>1</w:t>
      </w:r>
      <w:r w:rsidR="00255CB0">
        <w:rPr>
          <w:rFonts w:ascii="Times New Roman" w:hAnsi="Times New Roman"/>
          <w:b/>
          <w:bCs/>
          <w:noProof/>
          <w:color w:val="auto"/>
        </w:rPr>
        <w:t>2</w:t>
      </w:r>
      <w:r w:rsidRPr="00007DF4">
        <w:rPr>
          <w:rFonts w:ascii="Times New Roman" w:hAnsi="Times New Roman"/>
          <w:b/>
          <w:bCs/>
          <w:noProof/>
          <w:color w:val="auto"/>
        </w:rPr>
        <w:t>: R&amp;D expenditure</w:t>
      </w:r>
      <w:bookmarkEnd w:id="63"/>
      <w:bookmarkEnd w:id="64"/>
      <w:bookmarkEnd w:id="65"/>
      <w:bookmarkEnd w:id="66"/>
      <w:bookmarkEnd w:id="67"/>
      <w:bookmarkEnd w:id="68"/>
      <w:bookmarkEnd w:id="69"/>
    </w:p>
    <w:p w14:paraId="13913A78" w14:textId="77F3638F" w:rsidR="00C1173C" w:rsidRPr="00486446" w:rsidRDefault="00E649A8" w:rsidP="006E0577">
      <w:pPr>
        <w:pStyle w:val="Paragraph"/>
        <w:spacing w:line="250" w:lineRule="auto"/>
        <w:rPr>
          <w:noProof/>
          <w:lang w:val="en-IE"/>
        </w:rPr>
      </w:pPr>
      <w:r w:rsidRPr="00486446">
        <w:rPr>
          <w:noProof/>
          <w:lang w:val="en-IE"/>
        </w:rPr>
        <w:t>KPI 1</w:t>
      </w:r>
      <w:r w:rsidR="00255CB0">
        <w:rPr>
          <w:noProof/>
          <w:lang w:val="en-IE"/>
        </w:rPr>
        <w:t>2</w:t>
      </w:r>
      <w:r w:rsidRPr="00486446">
        <w:rPr>
          <w:noProof/>
          <w:lang w:val="en-IE"/>
        </w:rPr>
        <w:t xml:space="preserve"> tracks</w:t>
      </w:r>
      <w:r w:rsidR="00F50AF8" w:rsidRPr="00486446">
        <w:rPr>
          <w:noProof/>
          <w:lang w:val="en-IE"/>
        </w:rPr>
        <w:t xml:space="preserve"> </w:t>
      </w:r>
      <w:r w:rsidRPr="00486446">
        <w:rPr>
          <w:noProof/>
          <w:lang w:val="en-IE"/>
        </w:rPr>
        <w:t>trends</w:t>
      </w:r>
      <w:r w:rsidR="003A396B" w:rsidRPr="00486446">
        <w:rPr>
          <w:noProof/>
          <w:lang w:val="en-IE"/>
        </w:rPr>
        <w:t xml:space="preserve"> in </w:t>
      </w:r>
      <w:r w:rsidR="005571F4" w:rsidRPr="00486446">
        <w:rPr>
          <w:noProof/>
          <w:lang w:val="en-IE"/>
        </w:rPr>
        <w:t xml:space="preserve">the combined </w:t>
      </w:r>
      <w:r w:rsidR="00F50AF8" w:rsidRPr="00486446">
        <w:rPr>
          <w:noProof/>
          <w:lang w:val="en-IE"/>
        </w:rPr>
        <w:t xml:space="preserve">annual </w:t>
      </w:r>
      <w:r w:rsidR="00D767E5" w:rsidRPr="00486446">
        <w:rPr>
          <w:noProof/>
          <w:lang w:val="en-IE"/>
        </w:rPr>
        <w:t>private and public</w:t>
      </w:r>
      <w:r w:rsidR="00FB7FC5">
        <w:rPr>
          <w:noProof/>
          <w:lang w:val="en-IE"/>
        </w:rPr>
        <w:t>- sector</w:t>
      </w:r>
      <w:r w:rsidR="00D767E5" w:rsidRPr="00486446">
        <w:rPr>
          <w:noProof/>
          <w:lang w:val="en-IE"/>
        </w:rPr>
        <w:t xml:space="preserve"> expenditure </w:t>
      </w:r>
      <w:r w:rsidR="005571F4" w:rsidRPr="00486446">
        <w:rPr>
          <w:noProof/>
          <w:lang w:val="en-IE"/>
        </w:rPr>
        <w:t xml:space="preserve">in </w:t>
      </w:r>
      <w:r w:rsidR="003A396B" w:rsidRPr="00486446">
        <w:rPr>
          <w:noProof/>
          <w:lang w:val="en-IE"/>
        </w:rPr>
        <w:t>r</w:t>
      </w:r>
      <w:r w:rsidR="00F50AF8" w:rsidRPr="00486446">
        <w:rPr>
          <w:noProof/>
          <w:lang w:val="en-IE"/>
        </w:rPr>
        <w:t xml:space="preserve">esearch and </w:t>
      </w:r>
      <w:r w:rsidR="003A396B" w:rsidRPr="00486446">
        <w:rPr>
          <w:noProof/>
          <w:lang w:val="en-IE"/>
        </w:rPr>
        <w:t>d</w:t>
      </w:r>
      <w:r w:rsidR="00F50AF8" w:rsidRPr="00486446">
        <w:rPr>
          <w:noProof/>
          <w:lang w:val="en-IE"/>
        </w:rPr>
        <w:t xml:space="preserve">evelopment (R&amp;D) as a </w:t>
      </w:r>
      <w:r w:rsidR="00D767E5" w:rsidRPr="00486446">
        <w:rPr>
          <w:noProof/>
          <w:lang w:val="en-IE"/>
        </w:rPr>
        <w:t>share</w:t>
      </w:r>
      <w:r w:rsidR="00F50AF8" w:rsidRPr="00486446">
        <w:rPr>
          <w:noProof/>
          <w:lang w:val="en-IE"/>
        </w:rPr>
        <w:t xml:space="preserve"> of GDP for the EU, </w:t>
      </w:r>
      <w:r w:rsidR="00D767E5" w:rsidRPr="00486446">
        <w:rPr>
          <w:noProof/>
          <w:lang w:val="en-IE"/>
        </w:rPr>
        <w:t xml:space="preserve">US, UK, Japan and </w:t>
      </w:r>
      <w:r w:rsidR="00F50AF8" w:rsidRPr="00486446">
        <w:rPr>
          <w:noProof/>
          <w:lang w:val="en-IE"/>
        </w:rPr>
        <w:t>China.</w:t>
      </w:r>
    </w:p>
    <w:p w14:paraId="03E0A279" w14:textId="43C4CF24" w:rsidR="00FD3AEF" w:rsidRDefault="00FD3AEF" w:rsidP="006E0577">
      <w:pPr>
        <w:pStyle w:val="Paragraph"/>
        <w:spacing w:line="250" w:lineRule="auto"/>
        <w:rPr>
          <w:noProof/>
        </w:rPr>
      </w:pPr>
      <w:r>
        <w:rPr>
          <w:noProof/>
        </w:rPr>
        <w:t xml:space="preserve">The EU’s </w:t>
      </w:r>
      <w:r w:rsidRPr="007F1885">
        <w:rPr>
          <w:noProof/>
        </w:rPr>
        <w:t>total private and public</w:t>
      </w:r>
      <w:r w:rsidR="0034718B">
        <w:rPr>
          <w:noProof/>
        </w:rPr>
        <w:t>-sector</w:t>
      </w:r>
      <w:r>
        <w:rPr>
          <w:noProof/>
        </w:rPr>
        <w:t xml:space="preserve"> </w:t>
      </w:r>
      <w:r w:rsidRPr="007F1885">
        <w:rPr>
          <w:noProof/>
        </w:rPr>
        <w:t xml:space="preserve">R&amp;D expenditure reached </w:t>
      </w:r>
      <w:r w:rsidR="570DC5E8">
        <w:rPr>
          <w:noProof/>
        </w:rPr>
        <w:t>2.24</w:t>
      </w:r>
      <w:r w:rsidRPr="007F1885">
        <w:rPr>
          <w:noProof/>
        </w:rPr>
        <w:t>% of GDP</w:t>
      </w:r>
      <w:r w:rsidRPr="005703C8">
        <w:rPr>
          <w:noProof/>
        </w:rPr>
        <w:t xml:space="preserve"> </w:t>
      </w:r>
      <w:r>
        <w:rPr>
          <w:noProof/>
        </w:rPr>
        <w:t xml:space="preserve">in 2024, still </w:t>
      </w:r>
      <w:r w:rsidRPr="006F11BD">
        <w:rPr>
          <w:noProof/>
        </w:rPr>
        <w:t>below the 3% target</w:t>
      </w:r>
      <w:r>
        <w:rPr>
          <w:noProof/>
        </w:rPr>
        <w:t>. Progress over the past 10 years remains modest. Comparing R&amp;D expenditure</w:t>
      </w:r>
      <w:r w:rsidRPr="00EC08C0">
        <w:rPr>
          <w:noProof/>
        </w:rPr>
        <w:t xml:space="preserve"> </w:t>
      </w:r>
      <w:r>
        <w:rPr>
          <w:noProof/>
        </w:rPr>
        <w:t>with other major economies,</w:t>
      </w:r>
      <w:r w:rsidRPr="007F1885">
        <w:rPr>
          <w:noProof/>
        </w:rPr>
        <w:t xml:space="preserve"> the EU</w:t>
      </w:r>
      <w:r>
        <w:rPr>
          <w:noProof/>
        </w:rPr>
        <w:t xml:space="preserve"> </w:t>
      </w:r>
      <w:r w:rsidRPr="007F1885">
        <w:rPr>
          <w:noProof/>
        </w:rPr>
        <w:t>continues t</w:t>
      </w:r>
      <w:r>
        <w:rPr>
          <w:noProof/>
        </w:rPr>
        <w:t>o t</w:t>
      </w:r>
      <w:r w:rsidRPr="007F1885">
        <w:rPr>
          <w:noProof/>
        </w:rPr>
        <w:t>rail</w:t>
      </w:r>
      <w:r>
        <w:rPr>
          <w:noProof/>
        </w:rPr>
        <w:t xml:space="preserve"> behind</w:t>
      </w:r>
      <w:r w:rsidDel="00EC08C0">
        <w:rPr>
          <w:noProof/>
        </w:rPr>
        <w:t xml:space="preserve"> </w:t>
      </w:r>
      <w:r>
        <w:rPr>
          <w:noProof/>
        </w:rPr>
        <w:t>the</w:t>
      </w:r>
      <w:r w:rsidRPr="007F1885">
        <w:rPr>
          <w:noProof/>
        </w:rPr>
        <w:t xml:space="preserve"> US, C</w:t>
      </w:r>
      <w:r>
        <w:rPr>
          <w:noProof/>
        </w:rPr>
        <w:t>hina</w:t>
      </w:r>
      <w:r w:rsidRPr="007F1885">
        <w:rPr>
          <w:noProof/>
        </w:rPr>
        <w:t xml:space="preserve">, </w:t>
      </w:r>
      <w:r>
        <w:rPr>
          <w:noProof/>
        </w:rPr>
        <w:t xml:space="preserve">and </w:t>
      </w:r>
      <w:r w:rsidRPr="007F1885">
        <w:rPr>
          <w:noProof/>
        </w:rPr>
        <w:t>J</w:t>
      </w:r>
      <w:r>
        <w:rPr>
          <w:noProof/>
        </w:rPr>
        <w:t xml:space="preserve">apan. </w:t>
      </w:r>
    </w:p>
    <w:p w14:paraId="037F0B6D" w14:textId="77777777" w:rsidR="000C0B93" w:rsidRDefault="000C0B93" w:rsidP="006E0577">
      <w:pPr>
        <w:pStyle w:val="Paragraph"/>
        <w:spacing w:line="250" w:lineRule="auto"/>
        <w:rPr>
          <w:noProof/>
        </w:rPr>
      </w:pPr>
    </w:p>
    <w:p w14:paraId="5E6C33D6" w14:textId="4F3F4DC6" w:rsidR="32A8FC08" w:rsidRDefault="00F50AF8" w:rsidP="006E0577">
      <w:pPr>
        <w:pStyle w:val="Figurecaption"/>
        <w:spacing w:line="250" w:lineRule="auto"/>
        <w:jc w:val="both"/>
        <w:rPr>
          <w:rFonts w:eastAsia="Times New Roman" w:cs="Times New Roman"/>
          <w:iCs w:val="0"/>
          <w:noProof/>
          <w:szCs w:val="24"/>
          <w:lang w:val="en-IE"/>
        </w:rPr>
      </w:pPr>
      <w:r w:rsidRPr="00486446">
        <w:rPr>
          <w:rFonts w:cs="Times New Roman"/>
          <w:b/>
          <w:noProof/>
          <w:lang w:val="en-IE"/>
        </w:rPr>
        <w:t xml:space="preserve">Figure </w:t>
      </w:r>
      <w:r w:rsidR="007A4128" w:rsidRPr="00486446">
        <w:rPr>
          <w:rFonts w:cs="Times New Roman"/>
          <w:b/>
          <w:noProof/>
          <w:lang w:val="en-IE"/>
        </w:rPr>
        <w:t>1</w:t>
      </w:r>
      <w:r w:rsidR="00255CB0">
        <w:rPr>
          <w:rFonts w:cs="Times New Roman"/>
          <w:b/>
          <w:noProof/>
          <w:lang w:val="en-IE"/>
        </w:rPr>
        <w:t>2</w:t>
      </w:r>
      <w:r w:rsidRPr="00486446">
        <w:rPr>
          <w:rFonts w:cs="Times New Roman"/>
          <w:noProof/>
          <w:lang w:val="en-IE"/>
        </w:rPr>
        <w:t xml:space="preserve">: </w:t>
      </w:r>
      <w:r w:rsidR="00D767E5" w:rsidRPr="00486446">
        <w:rPr>
          <w:rFonts w:cs="Times New Roman"/>
          <w:noProof/>
          <w:lang w:val="en-IE"/>
        </w:rPr>
        <w:t>Research and development</w:t>
      </w:r>
      <w:r w:rsidRPr="00486446">
        <w:rPr>
          <w:rFonts w:cs="Times New Roman"/>
          <w:noProof/>
          <w:lang w:val="en-IE"/>
        </w:rPr>
        <w:t xml:space="preserve"> expenditure</w:t>
      </w:r>
      <w:r w:rsidR="00D767E5" w:rsidRPr="00486446">
        <w:rPr>
          <w:rFonts w:cs="Times New Roman"/>
          <w:noProof/>
          <w:lang w:val="en-IE"/>
        </w:rPr>
        <w:t xml:space="preserve"> </w:t>
      </w:r>
      <w:r w:rsidR="00D767E5" w:rsidRPr="00486446">
        <w:rPr>
          <w:rFonts w:eastAsia="Times New Roman" w:cs="Times New Roman"/>
          <w:iCs w:val="0"/>
          <w:noProof/>
          <w:szCs w:val="24"/>
          <w:lang w:val="en-IE"/>
        </w:rPr>
        <w:t>in the EU and other advanced economies.</w:t>
      </w:r>
    </w:p>
    <w:p w14:paraId="54D42BFB" w14:textId="7C555BFB" w:rsidR="00FF575F" w:rsidRPr="00515F13" w:rsidRDefault="0027603F" w:rsidP="00302A3D">
      <w:pPr>
        <w:pStyle w:val="Figurecaption"/>
        <w:jc w:val="center"/>
        <w:rPr>
          <w:rFonts w:eastAsia="Times New Roman" w:cs="Times New Roman"/>
          <w:noProof/>
          <w:szCs w:val="24"/>
          <w:lang w:val="en-IE"/>
        </w:rPr>
      </w:pPr>
      <w:r>
        <w:rPr>
          <w:noProof/>
          <w:lang w:eastAsia="en-GB"/>
        </w:rPr>
        <w:drawing>
          <wp:inline distT="0" distB="0" distL="0" distR="0" wp14:anchorId="16D795D7" wp14:editId="679C290D">
            <wp:extent cx="4695825" cy="3476625"/>
            <wp:effectExtent l="0" t="0" r="9525" b="9525"/>
            <wp:docPr id="18182205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220586"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4695825" cy="3476625"/>
                    </a:xfrm>
                    <a:prstGeom prst="rect">
                      <a:avLst/>
                    </a:prstGeom>
                  </pic:spPr>
                </pic:pic>
              </a:graphicData>
            </a:graphic>
          </wp:inline>
        </w:drawing>
      </w:r>
    </w:p>
    <w:p w14:paraId="6503BEF1" w14:textId="190A2022" w:rsidR="00B40097" w:rsidRPr="00486446" w:rsidRDefault="00F50AF8">
      <w:pPr>
        <w:jc w:val="both"/>
        <w:rPr>
          <w:rFonts w:ascii="Times New Roman" w:hAnsi="Times New Roman" w:cs="Times New Roman"/>
          <w:noProof/>
          <w:sz w:val="20"/>
          <w:szCs w:val="20"/>
          <w:lang w:val="en-IE"/>
        </w:rPr>
      </w:pPr>
      <w:r w:rsidRPr="00486446">
        <w:rPr>
          <w:rFonts w:ascii="Times New Roman" w:hAnsi="Times New Roman" w:cs="Times New Roman"/>
          <w:noProof/>
          <w:sz w:val="20"/>
          <w:szCs w:val="20"/>
          <w:lang w:val="en-IE"/>
        </w:rPr>
        <w:t>Source: Eurostat</w:t>
      </w:r>
      <w:r w:rsidR="7818949F" w:rsidRPr="00486446">
        <w:rPr>
          <w:rFonts w:ascii="Times New Roman" w:hAnsi="Times New Roman" w:cs="Times New Roman"/>
          <w:noProof/>
          <w:sz w:val="20"/>
          <w:szCs w:val="20"/>
          <w:lang w:val="en-IE"/>
        </w:rPr>
        <w:t xml:space="preserve">; World </w:t>
      </w:r>
      <w:r w:rsidR="004D6219" w:rsidRPr="00486446">
        <w:rPr>
          <w:rFonts w:ascii="Times New Roman" w:hAnsi="Times New Roman" w:cs="Times New Roman"/>
          <w:noProof/>
          <w:sz w:val="20"/>
          <w:szCs w:val="20"/>
          <w:lang w:val="en-IE"/>
        </w:rPr>
        <w:t>Bank</w:t>
      </w:r>
    </w:p>
    <w:p w14:paraId="308F88EB" w14:textId="30145EA7" w:rsidR="00C1173C" w:rsidRPr="00486446" w:rsidRDefault="00F50AF8" w:rsidP="009F0003">
      <w:pPr>
        <w:pStyle w:val="Paragraph"/>
        <w:spacing w:line="250" w:lineRule="auto"/>
        <w:rPr>
          <w:noProof/>
          <w:kern w:val="0"/>
          <w:lang w:val="en-IE" w:eastAsia="en-IE"/>
        </w:rPr>
      </w:pPr>
      <w:r w:rsidRPr="00BA70D2">
        <w:rPr>
          <w:noProof/>
          <w:kern w:val="0"/>
          <w:lang w:val="en-IE" w:eastAsia="en-IE"/>
        </w:rPr>
        <w:t xml:space="preserve">National data </w:t>
      </w:r>
      <w:r w:rsidRPr="00334333">
        <w:rPr>
          <w:noProof/>
          <w:kern w:val="0"/>
          <w:lang w:val="en-IE" w:eastAsia="en-IE"/>
        </w:rPr>
        <w:t>(202</w:t>
      </w:r>
      <w:r w:rsidR="00D113FC" w:rsidRPr="00334333">
        <w:rPr>
          <w:noProof/>
          <w:kern w:val="0"/>
          <w:lang w:val="en-IE" w:eastAsia="en-IE"/>
        </w:rPr>
        <w:t>4</w:t>
      </w:r>
      <w:r w:rsidRPr="00334333">
        <w:rPr>
          <w:noProof/>
          <w:kern w:val="0"/>
          <w:lang w:val="en-IE" w:eastAsia="en-IE"/>
        </w:rPr>
        <w:t>)</w:t>
      </w:r>
    </w:p>
    <w:tbl>
      <w:tblPr>
        <w:tblStyle w:val="TableGrid"/>
        <w:tblW w:w="0" w:type="auto"/>
        <w:jc w:val="center"/>
        <w:tblLook w:val="04A0" w:firstRow="1" w:lastRow="0" w:firstColumn="1" w:lastColumn="0" w:noHBand="0" w:noVBand="1"/>
      </w:tblPr>
      <w:tblGrid>
        <w:gridCol w:w="631"/>
        <w:gridCol w:w="641"/>
        <w:gridCol w:w="657"/>
        <w:gridCol w:w="657"/>
        <w:gridCol w:w="640"/>
        <w:gridCol w:w="649"/>
        <w:gridCol w:w="665"/>
        <w:gridCol w:w="632"/>
        <w:gridCol w:w="632"/>
        <w:gridCol w:w="632"/>
        <w:gridCol w:w="657"/>
        <w:gridCol w:w="665"/>
        <w:gridCol w:w="601"/>
        <w:gridCol w:w="657"/>
      </w:tblGrid>
      <w:tr w:rsidR="00047933" w:rsidRPr="001C633D" w14:paraId="12E8B415" w14:textId="77777777" w:rsidTr="00221417">
        <w:trPr>
          <w:trHeight w:val="300"/>
          <w:jc w:val="center"/>
        </w:trPr>
        <w:tc>
          <w:tcPr>
            <w:tcW w:w="631" w:type="dxa"/>
            <w:shd w:val="clear" w:color="auto" w:fill="D9E2F3" w:themeFill="accent1" w:themeFillTint="33"/>
            <w:vAlign w:val="center"/>
            <w:hideMark/>
          </w:tcPr>
          <w:p w14:paraId="14670F8B"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 xml:space="preserve">AT </w:t>
            </w:r>
          </w:p>
        </w:tc>
        <w:tc>
          <w:tcPr>
            <w:tcW w:w="641" w:type="dxa"/>
            <w:shd w:val="clear" w:color="auto" w:fill="D9E2F3" w:themeFill="accent1" w:themeFillTint="33"/>
            <w:vAlign w:val="center"/>
            <w:hideMark/>
          </w:tcPr>
          <w:p w14:paraId="50CBFEB8"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BE</w:t>
            </w:r>
          </w:p>
        </w:tc>
        <w:tc>
          <w:tcPr>
            <w:tcW w:w="657" w:type="dxa"/>
            <w:shd w:val="clear" w:color="auto" w:fill="D9E2F3" w:themeFill="accent1" w:themeFillTint="33"/>
            <w:vAlign w:val="center"/>
            <w:hideMark/>
          </w:tcPr>
          <w:p w14:paraId="3CF7ADAA"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BG</w:t>
            </w:r>
          </w:p>
        </w:tc>
        <w:tc>
          <w:tcPr>
            <w:tcW w:w="657" w:type="dxa"/>
            <w:shd w:val="clear" w:color="auto" w:fill="D9E2F3" w:themeFill="accent1" w:themeFillTint="33"/>
            <w:vAlign w:val="center"/>
            <w:hideMark/>
          </w:tcPr>
          <w:p w14:paraId="04CE1DEA"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CY</w:t>
            </w:r>
          </w:p>
        </w:tc>
        <w:tc>
          <w:tcPr>
            <w:tcW w:w="640" w:type="dxa"/>
            <w:shd w:val="clear" w:color="auto" w:fill="D9E2F3" w:themeFill="accent1" w:themeFillTint="33"/>
            <w:vAlign w:val="center"/>
            <w:hideMark/>
          </w:tcPr>
          <w:p w14:paraId="725E5499"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CZ</w:t>
            </w:r>
          </w:p>
        </w:tc>
        <w:tc>
          <w:tcPr>
            <w:tcW w:w="649" w:type="dxa"/>
            <w:shd w:val="clear" w:color="auto" w:fill="D9E2F3" w:themeFill="accent1" w:themeFillTint="33"/>
            <w:vAlign w:val="center"/>
            <w:hideMark/>
          </w:tcPr>
          <w:p w14:paraId="27E0736F"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DE</w:t>
            </w:r>
          </w:p>
        </w:tc>
        <w:tc>
          <w:tcPr>
            <w:tcW w:w="665" w:type="dxa"/>
            <w:shd w:val="clear" w:color="auto" w:fill="D9E2F3" w:themeFill="accent1" w:themeFillTint="33"/>
            <w:vAlign w:val="center"/>
            <w:hideMark/>
          </w:tcPr>
          <w:p w14:paraId="68B93AEB"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DK</w:t>
            </w:r>
          </w:p>
        </w:tc>
        <w:tc>
          <w:tcPr>
            <w:tcW w:w="632" w:type="dxa"/>
            <w:shd w:val="clear" w:color="auto" w:fill="D9E2F3" w:themeFill="accent1" w:themeFillTint="33"/>
            <w:vAlign w:val="center"/>
            <w:hideMark/>
          </w:tcPr>
          <w:p w14:paraId="25164228"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EE</w:t>
            </w:r>
          </w:p>
        </w:tc>
        <w:tc>
          <w:tcPr>
            <w:tcW w:w="632" w:type="dxa"/>
            <w:shd w:val="clear" w:color="auto" w:fill="D9E2F3" w:themeFill="accent1" w:themeFillTint="33"/>
            <w:vAlign w:val="center"/>
            <w:hideMark/>
          </w:tcPr>
          <w:p w14:paraId="61F4CAE0"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EL</w:t>
            </w:r>
          </w:p>
        </w:tc>
        <w:tc>
          <w:tcPr>
            <w:tcW w:w="632" w:type="dxa"/>
            <w:shd w:val="clear" w:color="auto" w:fill="D9E2F3" w:themeFill="accent1" w:themeFillTint="33"/>
            <w:vAlign w:val="center"/>
            <w:hideMark/>
          </w:tcPr>
          <w:p w14:paraId="0717E51F"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ES</w:t>
            </w:r>
          </w:p>
        </w:tc>
        <w:tc>
          <w:tcPr>
            <w:tcW w:w="657" w:type="dxa"/>
            <w:shd w:val="clear" w:color="auto" w:fill="D9E2F3" w:themeFill="accent1" w:themeFillTint="33"/>
            <w:vAlign w:val="center"/>
          </w:tcPr>
          <w:p w14:paraId="3ABD7F66"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FI</w:t>
            </w:r>
          </w:p>
        </w:tc>
        <w:tc>
          <w:tcPr>
            <w:tcW w:w="665" w:type="dxa"/>
            <w:shd w:val="clear" w:color="auto" w:fill="D9E2F3" w:themeFill="accent1" w:themeFillTint="33"/>
            <w:vAlign w:val="center"/>
          </w:tcPr>
          <w:p w14:paraId="12CD3B2F"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FR</w:t>
            </w:r>
          </w:p>
        </w:tc>
        <w:tc>
          <w:tcPr>
            <w:tcW w:w="601" w:type="dxa"/>
            <w:shd w:val="clear" w:color="auto" w:fill="D9E2F3" w:themeFill="accent1" w:themeFillTint="33"/>
            <w:vAlign w:val="center"/>
          </w:tcPr>
          <w:p w14:paraId="6664265B"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HR</w:t>
            </w:r>
          </w:p>
        </w:tc>
        <w:tc>
          <w:tcPr>
            <w:tcW w:w="657" w:type="dxa"/>
            <w:shd w:val="clear" w:color="auto" w:fill="D9E2F3" w:themeFill="accent1" w:themeFillTint="33"/>
            <w:vAlign w:val="center"/>
          </w:tcPr>
          <w:p w14:paraId="2B205850"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HU</w:t>
            </w:r>
          </w:p>
        </w:tc>
      </w:tr>
      <w:tr w:rsidR="00047933" w:rsidRPr="001C633D" w14:paraId="6759D7DE" w14:textId="77777777" w:rsidTr="00221417">
        <w:trPr>
          <w:trHeight w:val="315"/>
          <w:jc w:val="center"/>
        </w:trPr>
        <w:tc>
          <w:tcPr>
            <w:tcW w:w="631" w:type="dxa"/>
            <w:vAlign w:val="center"/>
          </w:tcPr>
          <w:p w14:paraId="045133E4" w14:textId="5DEE0A04" w:rsidR="00047933" w:rsidRPr="001C633D" w:rsidRDefault="00C74E0D" w:rsidP="00221417">
            <w:pPr>
              <w:pStyle w:val="Paragraph"/>
              <w:spacing w:after="0" w:line="240" w:lineRule="auto"/>
              <w:jc w:val="center"/>
              <w:rPr>
                <w:noProof/>
                <w:sz w:val="22"/>
                <w:szCs w:val="22"/>
                <w:lang w:val="en-IE"/>
              </w:rPr>
            </w:pPr>
            <w:r>
              <w:rPr>
                <w:noProof/>
                <w:sz w:val="22"/>
                <w:szCs w:val="22"/>
                <w:lang w:val="en-IE"/>
              </w:rPr>
              <w:t>3.26</w:t>
            </w:r>
          </w:p>
        </w:tc>
        <w:tc>
          <w:tcPr>
            <w:tcW w:w="641" w:type="dxa"/>
            <w:vAlign w:val="center"/>
          </w:tcPr>
          <w:p w14:paraId="3A407663" w14:textId="100322EF" w:rsidR="00047933" w:rsidRPr="001C633D" w:rsidRDefault="007C1C05" w:rsidP="00221417">
            <w:pPr>
              <w:pStyle w:val="Paragraph"/>
              <w:spacing w:after="0" w:line="240" w:lineRule="auto"/>
              <w:jc w:val="center"/>
              <w:rPr>
                <w:noProof/>
                <w:sz w:val="22"/>
                <w:szCs w:val="22"/>
                <w:lang w:val="en-IE"/>
              </w:rPr>
            </w:pPr>
            <w:r>
              <w:rPr>
                <w:noProof/>
                <w:sz w:val="22"/>
                <w:szCs w:val="22"/>
                <w:lang w:val="en-IE"/>
              </w:rPr>
              <w:t>3.36</w:t>
            </w:r>
          </w:p>
        </w:tc>
        <w:tc>
          <w:tcPr>
            <w:tcW w:w="657" w:type="dxa"/>
            <w:vAlign w:val="center"/>
          </w:tcPr>
          <w:p w14:paraId="560A9585" w14:textId="0787EBC6" w:rsidR="00047933" w:rsidRPr="001C633D" w:rsidRDefault="007C1C05" w:rsidP="00221417">
            <w:pPr>
              <w:pStyle w:val="Paragraph"/>
              <w:spacing w:after="0" w:line="240" w:lineRule="auto"/>
              <w:jc w:val="center"/>
              <w:rPr>
                <w:noProof/>
                <w:sz w:val="22"/>
                <w:szCs w:val="22"/>
                <w:lang w:val="en-IE"/>
              </w:rPr>
            </w:pPr>
            <w:r>
              <w:rPr>
                <w:noProof/>
                <w:sz w:val="22"/>
                <w:szCs w:val="22"/>
                <w:lang w:val="en-IE"/>
              </w:rPr>
              <w:t>0.77</w:t>
            </w:r>
          </w:p>
        </w:tc>
        <w:tc>
          <w:tcPr>
            <w:tcW w:w="657" w:type="dxa"/>
            <w:vAlign w:val="center"/>
          </w:tcPr>
          <w:p w14:paraId="6F16FC2F" w14:textId="4F2FCC32" w:rsidR="00047933" w:rsidRPr="001C633D" w:rsidRDefault="004C2922" w:rsidP="00221417">
            <w:pPr>
              <w:pStyle w:val="Paragraph"/>
              <w:spacing w:after="0" w:line="240" w:lineRule="auto"/>
              <w:jc w:val="center"/>
              <w:rPr>
                <w:noProof/>
                <w:sz w:val="22"/>
                <w:szCs w:val="22"/>
                <w:lang w:val="en-IE"/>
              </w:rPr>
            </w:pPr>
            <w:r>
              <w:rPr>
                <w:noProof/>
                <w:sz w:val="22"/>
                <w:szCs w:val="22"/>
                <w:lang w:val="en-IE"/>
              </w:rPr>
              <w:t>0.65</w:t>
            </w:r>
          </w:p>
        </w:tc>
        <w:tc>
          <w:tcPr>
            <w:tcW w:w="640" w:type="dxa"/>
            <w:vAlign w:val="center"/>
          </w:tcPr>
          <w:p w14:paraId="5FD5945A" w14:textId="1F6E3196" w:rsidR="00047933" w:rsidRPr="001C633D" w:rsidRDefault="003C798F" w:rsidP="00221417">
            <w:pPr>
              <w:pStyle w:val="Paragraph"/>
              <w:spacing w:after="0" w:line="240" w:lineRule="auto"/>
              <w:jc w:val="center"/>
              <w:rPr>
                <w:noProof/>
                <w:sz w:val="22"/>
                <w:szCs w:val="22"/>
                <w:lang w:val="en-IE"/>
              </w:rPr>
            </w:pPr>
            <w:r>
              <w:rPr>
                <w:noProof/>
                <w:sz w:val="22"/>
                <w:szCs w:val="22"/>
                <w:lang w:val="en-IE"/>
              </w:rPr>
              <w:t>1.82</w:t>
            </w:r>
          </w:p>
        </w:tc>
        <w:tc>
          <w:tcPr>
            <w:tcW w:w="649" w:type="dxa"/>
            <w:vAlign w:val="center"/>
          </w:tcPr>
          <w:p w14:paraId="1FA93583" w14:textId="36FD973C" w:rsidR="00047933" w:rsidRPr="001C633D" w:rsidRDefault="00A24EEA" w:rsidP="00221417">
            <w:pPr>
              <w:pStyle w:val="Paragraph"/>
              <w:spacing w:after="0" w:line="240" w:lineRule="auto"/>
              <w:jc w:val="center"/>
              <w:rPr>
                <w:noProof/>
                <w:sz w:val="22"/>
                <w:szCs w:val="22"/>
                <w:lang w:val="en-IE"/>
              </w:rPr>
            </w:pPr>
            <w:r>
              <w:rPr>
                <w:noProof/>
                <w:sz w:val="22"/>
                <w:szCs w:val="22"/>
                <w:lang w:val="en-IE"/>
              </w:rPr>
              <w:t>3.13</w:t>
            </w:r>
          </w:p>
        </w:tc>
        <w:tc>
          <w:tcPr>
            <w:tcW w:w="665" w:type="dxa"/>
            <w:vAlign w:val="center"/>
          </w:tcPr>
          <w:p w14:paraId="39769CE3" w14:textId="17F89EED" w:rsidR="00047933" w:rsidRPr="001C633D" w:rsidRDefault="003E77F0" w:rsidP="00221417">
            <w:pPr>
              <w:pStyle w:val="Paragraph"/>
              <w:spacing w:after="0" w:line="240" w:lineRule="auto"/>
              <w:jc w:val="center"/>
              <w:rPr>
                <w:noProof/>
                <w:sz w:val="22"/>
                <w:szCs w:val="22"/>
                <w:lang w:val="en-IE"/>
              </w:rPr>
            </w:pPr>
            <w:r>
              <w:rPr>
                <w:noProof/>
                <w:sz w:val="22"/>
                <w:szCs w:val="22"/>
                <w:lang w:val="en-IE"/>
              </w:rPr>
              <w:t>3.01</w:t>
            </w:r>
          </w:p>
        </w:tc>
        <w:tc>
          <w:tcPr>
            <w:tcW w:w="632" w:type="dxa"/>
            <w:vAlign w:val="center"/>
          </w:tcPr>
          <w:p w14:paraId="166D7015" w14:textId="3108B2C0" w:rsidR="00047933" w:rsidRPr="001C633D" w:rsidRDefault="00982A59" w:rsidP="00221417">
            <w:pPr>
              <w:pStyle w:val="Paragraph"/>
              <w:spacing w:after="0" w:line="240" w:lineRule="auto"/>
              <w:jc w:val="center"/>
              <w:rPr>
                <w:noProof/>
                <w:sz w:val="22"/>
                <w:szCs w:val="22"/>
                <w:lang w:val="en-IE"/>
              </w:rPr>
            </w:pPr>
            <w:r>
              <w:rPr>
                <w:noProof/>
                <w:sz w:val="22"/>
                <w:szCs w:val="22"/>
                <w:lang w:val="en-IE"/>
              </w:rPr>
              <w:t>1.99</w:t>
            </w:r>
          </w:p>
        </w:tc>
        <w:tc>
          <w:tcPr>
            <w:tcW w:w="632" w:type="dxa"/>
            <w:vAlign w:val="center"/>
          </w:tcPr>
          <w:p w14:paraId="7F719145" w14:textId="6DAD3104" w:rsidR="00047933" w:rsidRPr="001C633D" w:rsidRDefault="00C00444" w:rsidP="00221417">
            <w:pPr>
              <w:pStyle w:val="Paragraph"/>
              <w:spacing w:after="0" w:line="240" w:lineRule="auto"/>
              <w:jc w:val="center"/>
              <w:rPr>
                <w:noProof/>
                <w:sz w:val="22"/>
                <w:szCs w:val="22"/>
                <w:lang w:val="en-IE"/>
              </w:rPr>
            </w:pPr>
            <w:r>
              <w:rPr>
                <w:noProof/>
                <w:sz w:val="22"/>
                <w:szCs w:val="22"/>
                <w:lang w:val="en-IE"/>
              </w:rPr>
              <w:t>1.54</w:t>
            </w:r>
          </w:p>
        </w:tc>
        <w:tc>
          <w:tcPr>
            <w:tcW w:w="632" w:type="dxa"/>
            <w:vAlign w:val="center"/>
          </w:tcPr>
          <w:p w14:paraId="42DEF462" w14:textId="04015204" w:rsidR="00047933" w:rsidRPr="001C633D" w:rsidRDefault="0061521D" w:rsidP="00221417">
            <w:pPr>
              <w:pStyle w:val="Paragraph"/>
              <w:spacing w:after="0" w:line="240" w:lineRule="auto"/>
              <w:jc w:val="center"/>
              <w:rPr>
                <w:noProof/>
                <w:sz w:val="22"/>
                <w:szCs w:val="22"/>
                <w:lang w:val="en-IE"/>
              </w:rPr>
            </w:pPr>
            <w:r>
              <w:rPr>
                <w:noProof/>
                <w:sz w:val="22"/>
                <w:szCs w:val="22"/>
                <w:lang w:val="en-IE"/>
              </w:rPr>
              <w:t>1.5</w:t>
            </w:r>
          </w:p>
        </w:tc>
        <w:tc>
          <w:tcPr>
            <w:tcW w:w="657" w:type="dxa"/>
            <w:vAlign w:val="center"/>
          </w:tcPr>
          <w:p w14:paraId="7E52383A" w14:textId="676C835F" w:rsidR="00047933" w:rsidRPr="001C633D" w:rsidRDefault="00205FA4" w:rsidP="00221417">
            <w:pPr>
              <w:pStyle w:val="Paragraph"/>
              <w:spacing w:after="0" w:line="240" w:lineRule="auto"/>
              <w:jc w:val="center"/>
              <w:rPr>
                <w:noProof/>
                <w:sz w:val="22"/>
                <w:szCs w:val="22"/>
                <w:lang w:val="en-IE"/>
              </w:rPr>
            </w:pPr>
            <w:r>
              <w:rPr>
                <w:noProof/>
                <w:sz w:val="22"/>
                <w:szCs w:val="22"/>
                <w:lang w:val="en-IE"/>
              </w:rPr>
              <w:t>3.22</w:t>
            </w:r>
          </w:p>
        </w:tc>
        <w:tc>
          <w:tcPr>
            <w:tcW w:w="665" w:type="dxa"/>
            <w:vAlign w:val="center"/>
          </w:tcPr>
          <w:p w14:paraId="3344071A" w14:textId="769AEE2C" w:rsidR="00047933" w:rsidRPr="001C633D" w:rsidRDefault="00B26CDC" w:rsidP="00221417">
            <w:pPr>
              <w:pStyle w:val="Paragraph"/>
              <w:spacing w:after="0" w:line="240" w:lineRule="auto"/>
              <w:jc w:val="center"/>
              <w:rPr>
                <w:noProof/>
                <w:sz w:val="22"/>
                <w:szCs w:val="22"/>
                <w:lang w:val="en-IE"/>
              </w:rPr>
            </w:pPr>
            <w:r>
              <w:rPr>
                <w:noProof/>
                <w:sz w:val="22"/>
                <w:szCs w:val="22"/>
                <w:lang w:val="en-IE"/>
              </w:rPr>
              <w:t>2.18</w:t>
            </w:r>
          </w:p>
        </w:tc>
        <w:tc>
          <w:tcPr>
            <w:tcW w:w="601" w:type="dxa"/>
            <w:vAlign w:val="center"/>
          </w:tcPr>
          <w:p w14:paraId="53D13800" w14:textId="659F5015" w:rsidR="00047933" w:rsidRPr="001C633D" w:rsidRDefault="00CC531E" w:rsidP="00221417">
            <w:pPr>
              <w:pStyle w:val="Paragraph"/>
              <w:spacing w:after="0" w:line="240" w:lineRule="auto"/>
              <w:jc w:val="center"/>
              <w:rPr>
                <w:noProof/>
                <w:sz w:val="22"/>
                <w:szCs w:val="22"/>
                <w:lang w:val="en-IE"/>
              </w:rPr>
            </w:pPr>
            <w:r>
              <w:rPr>
                <w:noProof/>
                <w:sz w:val="22"/>
                <w:szCs w:val="22"/>
                <w:lang w:val="en-IE"/>
              </w:rPr>
              <w:t>1.35</w:t>
            </w:r>
          </w:p>
        </w:tc>
        <w:tc>
          <w:tcPr>
            <w:tcW w:w="657" w:type="dxa"/>
            <w:vAlign w:val="center"/>
          </w:tcPr>
          <w:p w14:paraId="1C5E43C0" w14:textId="788DE481" w:rsidR="00047933" w:rsidRPr="001C633D" w:rsidRDefault="00B829F7" w:rsidP="00221417">
            <w:pPr>
              <w:pStyle w:val="Paragraph"/>
              <w:spacing w:after="0" w:line="240" w:lineRule="auto"/>
              <w:jc w:val="center"/>
              <w:rPr>
                <w:noProof/>
                <w:sz w:val="22"/>
                <w:szCs w:val="22"/>
                <w:lang w:val="en-IE"/>
              </w:rPr>
            </w:pPr>
            <w:r>
              <w:rPr>
                <w:noProof/>
                <w:sz w:val="22"/>
                <w:szCs w:val="22"/>
                <w:lang w:val="en-IE"/>
              </w:rPr>
              <w:t>1.31</w:t>
            </w:r>
          </w:p>
        </w:tc>
      </w:tr>
      <w:tr w:rsidR="00047933" w:rsidRPr="001C633D" w14:paraId="2233AD37" w14:textId="77777777" w:rsidTr="00221417">
        <w:trPr>
          <w:trHeight w:val="300"/>
          <w:jc w:val="center"/>
        </w:trPr>
        <w:tc>
          <w:tcPr>
            <w:tcW w:w="631" w:type="dxa"/>
            <w:shd w:val="clear" w:color="auto" w:fill="D9E2F3" w:themeFill="accent1" w:themeFillTint="33"/>
            <w:vAlign w:val="center"/>
          </w:tcPr>
          <w:p w14:paraId="7CBB458C"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IE</w:t>
            </w:r>
          </w:p>
        </w:tc>
        <w:tc>
          <w:tcPr>
            <w:tcW w:w="641" w:type="dxa"/>
            <w:shd w:val="clear" w:color="auto" w:fill="D9E2F3" w:themeFill="accent1" w:themeFillTint="33"/>
            <w:vAlign w:val="center"/>
          </w:tcPr>
          <w:p w14:paraId="37680D43"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IT</w:t>
            </w:r>
          </w:p>
        </w:tc>
        <w:tc>
          <w:tcPr>
            <w:tcW w:w="657" w:type="dxa"/>
            <w:shd w:val="clear" w:color="auto" w:fill="D9E2F3" w:themeFill="accent1" w:themeFillTint="33"/>
            <w:vAlign w:val="center"/>
          </w:tcPr>
          <w:p w14:paraId="2DD1917E"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LT</w:t>
            </w:r>
          </w:p>
        </w:tc>
        <w:tc>
          <w:tcPr>
            <w:tcW w:w="657" w:type="dxa"/>
            <w:shd w:val="clear" w:color="auto" w:fill="D9E2F3" w:themeFill="accent1" w:themeFillTint="33"/>
            <w:vAlign w:val="center"/>
          </w:tcPr>
          <w:p w14:paraId="5BC7538E"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LU</w:t>
            </w:r>
          </w:p>
        </w:tc>
        <w:tc>
          <w:tcPr>
            <w:tcW w:w="640" w:type="dxa"/>
            <w:shd w:val="clear" w:color="auto" w:fill="D9E2F3" w:themeFill="accent1" w:themeFillTint="33"/>
            <w:vAlign w:val="center"/>
          </w:tcPr>
          <w:p w14:paraId="08DD650D"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LV</w:t>
            </w:r>
          </w:p>
        </w:tc>
        <w:tc>
          <w:tcPr>
            <w:tcW w:w="649" w:type="dxa"/>
            <w:shd w:val="clear" w:color="auto" w:fill="D9E2F3" w:themeFill="accent1" w:themeFillTint="33"/>
            <w:vAlign w:val="center"/>
          </w:tcPr>
          <w:p w14:paraId="307A5DDE"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MT</w:t>
            </w:r>
          </w:p>
        </w:tc>
        <w:tc>
          <w:tcPr>
            <w:tcW w:w="665" w:type="dxa"/>
            <w:shd w:val="clear" w:color="auto" w:fill="D9E2F3" w:themeFill="accent1" w:themeFillTint="33"/>
            <w:vAlign w:val="center"/>
          </w:tcPr>
          <w:p w14:paraId="616FE5B0"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NL</w:t>
            </w:r>
          </w:p>
        </w:tc>
        <w:tc>
          <w:tcPr>
            <w:tcW w:w="632" w:type="dxa"/>
            <w:shd w:val="clear" w:color="auto" w:fill="D9E2F3" w:themeFill="accent1" w:themeFillTint="33"/>
            <w:vAlign w:val="center"/>
          </w:tcPr>
          <w:p w14:paraId="1CCB7B30"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PL</w:t>
            </w:r>
          </w:p>
        </w:tc>
        <w:tc>
          <w:tcPr>
            <w:tcW w:w="632" w:type="dxa"/>
            <w:shd w:val="clear" w:color="auto" w:fill="D9E2F3" w:themeFill="accent1" w:themeFillTint="33"/>
            <w:vAlign w:val="center"/>
          </w:tcPr>
          <w:p w14:paraId="4541A9A4"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PT</w:t>
            </w:r>
          </w:p>
        </w:tc>
        <w:tc>
          <w:tcPr>
            <w:tcW w:w="632" w:type="dxa"/>
            <w:shd w:val="clear" w:color="auto" w:fill="D9E2F3" w:themeFill="accent1" w:themeFillTint="33"/>
            <w:vAlign w:val="center"/>
          </w:tcPr>
          <w:p w14:paraId="0315E42E"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RO</w:t>
            </w:r>
          </w:p>
        </w:tc>
        <w:tc>
          <w:tcPr>
            <w:tcW w:w="657" w:type="dxa"/>
            <w:shd w:val="clear" w:color="auto" w:fill="D9E2F3" w:themeFill="accent1" w:themeFillTint="33"/>
            <w:vAlign w:val="center"/>
          </w:tcPr>
          <w:p w14:paraId="79DF65E4"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SE</w:t>
            </w:r>
          </w:p>
        </w:tc>
        <w:tc>
          <w:tcPr>
            <w:tcW w:w="665" w:type="dxa"/>
            <w:shd w:val="clear" w:color="auto" w:fill="D9E2F3" w:themeFill="accent1" w:themeFillTint="33"/>
            <w:vAlign w:val="center"/>
            <w:hideMark/>
          </w:tcPr>
          <w:p w14:paraId="0A54C9FB"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SI</w:t>
            </w:r>
          </w:p>
        </w:tc>
        <w:tc>
          <w:tcPr>
            <w:tcW w:w="601" w:type="dxa"/>
            <w:shd w:val="clear" w:color="auto" w:fill="D9E2F3" w:themeFill="accent1" w:themeFillTint="33"/>
            <w:vAlign w:val="center"/>
            <w:hideMark/>
          </w:tcPr>
          <w:p w14:paraId="71D546D2"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SK</w:t>
            </w:r>
          </w:p>
        </w:tc>
        <w:tc>
          <w:tcPr>
            <w:tcW w:w="657" w:type="dxa"/>
            <w:shd w:val="clear" w:color="auto" w:fill="D9E2F3" w:themeFill="accent1" w:themeFillTint="33"/>
            <w:vAlign w:val="center"/>
            <w:hideMark/>
          </w:tcPr>
          <w:p w14:paraId="1E0ADFAD" w14:textId="77777777" w:rsidR="00047933" w:rsidRPr="001C633D" w:rsidRDefault="00047933" w:rsidP="00221417">
            <w:pPr>
              <w:pStyle w:val="Paragraph"/>
              <w:spacing w:after="0" w:line="240" w:lineRule="auto"/>
              <w:jc w:val="center"/>
              <w:rPr>
                <w:b/>
                <w:noProof/>
                <w:sz w:val="22"/>
                <w:szCs w:val="22"/>
                <w:lang w:val="en-IE"/>
              </w:rPr>
            </w:pPr>
            <w:r w:rsidRPr="001C633D">
              <w:rPr>
                <w:b/>
                <w:noProof/>
                <w:sz w:val="22"/>
                <w:szCs w:val="22"/>
                <w:lang w:val="en-IE"/>
              </w:rPr>
              <w:t>EU</w:t>
            </w:r>
          </w:p>
        </w:tc>
      </w:tr>
      <w:tr w:rsidR="00047933" w:rsidRPr="00047933" w14:paraId="5923556B" w14:textId="77777777" w:rsidTr="00221417">
        <w:trPr>
          <w:trHeight w:val="315"/>
          <w:jc w:val="center"/>
        </w:trPr>
        <w:tc>
          <w:tcPr>
            <w:tcW w:w="631" w:type="dxa"/>
            <w:vAlign w:val="center"/>
          </w:tcPr>
          <w:p w14:paraId="3388E7C1" w14:textId="7E2AF2FA" w:rsidR="00047933" w:rsidRPr="009C0A42" w:rsidRDefault="00B052D7"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1.38</w:t>
            </w:r>
          </w:p>
        </w:tc>
        <w:tc>
          <w:tcPr>
            <w:tcW w:w="641" w:type="dxa"/>
            <w:vAlign w:val="center"/>
          </w:tcPr>
          <w:p w14:paraId="262FA99C" w14:textId="64B1B23B" w:rsidR="00047933" w:rsidRPr="009C0A42" w:rsidRDefault="00B052D7"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1.38</w:t>
            </w:r>
          </w:p>
        </w:tc>
        <w:tc>
          <w:tcPr>
            <w:tcW w:w="657" w:type="dxa"/>
            <w:vAlign w:val="center"/>
          </w:tcPr>
          <w:p w14:paraId="0D8A9EFD" w14:textId="30948E6B" w:rsidR="00047933" w:rsidRPr="009C0A42" w:rsidRDefault="0069156C"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1.04</w:t>
            </w:r>
          </w:p>
        </w:tc>
        <w:tc>
          <w:tcPr>
            <w:tcW w:w="657" w:type="dxa"/>
            <w:vAlign w:val="center"/>
          </w:tcPr>
          <w:p w14:paraId="1A02172B" w14:textId="2092DF29" w:rsidR="00047933" w:rsidRPr="009C0A42" w:rsidRDefault="00651880"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0.99</w:t>
            </w:r>
          </w:p>
        </w:tc>
        <w:tc>
          <w:tcPr>
            <w:tcW w:w="640" w:type="dxa"/>
            <w:vAlign w:val="center"/>
          </w:tcPr>
          <w:p w14:paraId="5D3F9C7E" w14:textId="04EDD596" w:rsidR="00047933" w:rsidRPr="009C0A42" w:rsidRDefault="00651880"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0.92</w:t>
            </w:r>
          </w:p>
        </w:tc>
        <w:tc>
          <w:tcPr>
            <w:tcW w:w="649" w:type="dxa"/>
            <w:vAlign w:val="center"/>
          </w:tcPr>
          <w:p w14:paraId="6C637FBD" w14:textId="7897BD5F" w:rsidR="00047933" w:rsidRPr="009C0A42" w:rsidRDefault="00C87907"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0.51</w:t>
            </w:r>
          </w:p>
        </w:tc>
        <w:tc>
          <w:tcPr>
            <w:tcW w:w="665" w:type="dxa"/>
            <w:vAlign w:val="center"/>
          </w:tcPr>
          <w:p w14:paraId="40285A10" w14:textId="49EA413C" w:rsidR="00047933" w:rsidRPr="009C0A42" w:rsidRDefault="00C87907"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2.29</w:t>
            </w:r>
          </w:p>
        </w:tc>
        <w:tc>
          <w:tcPr>
            <w:tcW w:w="632" w:type="dxa"/>
            <w:vAlign w:val="center"/>
          </w:tcPr>
          <w:p w14:paraId="671400EF" w14:textId="01228C66" w:rsidR="00047933" w:rsidRPr="009C0A42" w:rsidRDefault="00B220AE"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1.41</w:t>
            </w:r>
          </w:p>
        </w:tc>
        <w:tc>
          <w:tcPr>
            <w:tcW w:w="632" w:type="dxa"/>
            <w:vAlign w:val="center"/>
          </w:tcPr>
          <w:p w14:paraId="0574CAF6" w14:textId="5D170FA4" w:rsidR="00047933" w:rsidRPr="009C0A42" w:rsidRDefault="00B220AE"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1.72</w:t>
            </w:r>
          </w:p>
        </w:tc>
        <w:tc>
          <w:tcPr>
            <w:tcW w:w="632" w:type="dxa"/>
            <w:vAlign w:val="center"/>
          </w:tcPr>
          <w:p w14:paraId="6C9AF5B0" w14:textId="556E897F" w:rsidR="00047933" w:rsidRPr="009C0A42" w:rsidRDefault="00112A6C"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0.46</w:t>
            </w:r>
          </w:p>
        </w:tc>
        <w:tc>
          <w:tcPr>
            <w:tcW w:w="657" w:type="dxa"/>
            <w:vAlign w:val="center"/>
          </w:tcPr>
          <w:p w14:paraId="0FD0553B" w14:textId="493B8186" w:rsidR="00047933" w:rsidRPr="009C0A42" w:rsidRDefault="00112A6C"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3.57</w:t>
            </w:r>
          </w:p>
        </w:tc>
        <w:tc>
          <w:tcPr>
            <w:tcW w:w="665" w:type="dxa"/>
            <w:vAlign w:val="center"/>
          </w:tcPr>
          <w:p w14:paraId="46626850" w14:textId="12C092E4" w:rsidR="00047933" w:rsidRPr="009C0A42" w:rsidRDefault="0070735B"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2.16</w:t>
            </w:r>
          </w:p>
        </w:tc>
        <w:tc>
          <w:tcPr>
            <w:tcW w:w="601" w:type="dxa"/>
            <w:vAlign w:val="center"/>
          </w:tcPr>
          <w:p w14:paraId="4848A186" w14:textId="6424F441" w:rsidR="00047933" w:rsidRPr="009C0A42" w:rsidRDefault="0032702E" w:rsidP="00221417">
            <w:pPr>
              <w:suppressAutoHyphens w:val="0"/>
              <w:rPr>
                <w:rFonts w:ascii="Times New Roman" w:hAnsi="Times New Roman" w:cs="Times New Roman"/>
                <w:noProof/>
                <w:color w:val="000000"/>
              </w:rPr>
            </w:pPr>
            <w:r>
              <w:rPr>
                <w:rFonts w:ascii="Times New Roman" w:hAnsi="Times New Roman" w:cs="Times New Roman"/>
                <w:noProof/>
                <w:color w:val="000000"/>
              </w:rPr>
              <w:t>0.98</w:t>
            </w:r>
          </w:p>
        </w:tc>
        <w:tc>
          <w:tcPr>
            <w:tcW w:w="657" w:type="dxa"/>
            <w:vAlign w:val="center"/>
          </w:tcPr>
          <w:p w14:paraId="25697111" w14:textId="11A8D250" w:rsidR="00047933" w:rsidRPr="00047933" w:rsidRDefault="00BB7B69" w:rsidP="00221417">
            <w:pPr>
              <w:pStyle w:val="Paragraph"/>
              <w:spacing w:after="0" w:line="240" w:lineRule="auto"/>
              <w:jc w:val="center"/>
              <w:rPr>
                <w:rFonts w:eastAsia="Calibri"/>
                <w:b/>
                <w:bCs/>
                <w:noProof/>
                <w:color w:val="000000"/>
                <w:sz w:val="22"/>
                <w:szCs w:val="22"/>
              </w:rPr>
            </w:pPr>
            <w:r>
              <w:rPr>
                <w:rFonts w:eastAsia="Calibri"/>
                <w:b/>
                <w:bCs/>
                <w:noProof/>
                <w:color w:val="000000"/>
                <w:sz w:val="22"/>
                <w:szCs w:val="22"/>
              </w:rPr>
              <w:t>2.24</w:t>
            </w:r>
          </w:p>
        </w:tc>
      </w:tr>
    </w:tbl>
    <w:p w14:paraId="342FCF9B" w14:textId="77777777" w:rsidR="003D0D97" w:rsidRDefault="003D0D97">
      <w:pPr>
        <w:suppressAutoHyphens w:val="0"/>
        <w:rPr>
          <w:rFonts w:ascii="Times New Roman" w:hAnsi="Times New Roman" w:cs="Times New Roman"/>
          <w:noProof/>
          <w:lang w:val="en-IE"/>
        </w:rPr>
      </w:pPr>
      <w:bookmarkStart w:id="70" w:name="_Toc183515534"/>
    </w:p>
    <w:p w14:paraId="4FA052C7" w14:textId="6BCE2F16" w:rsidR="008D25F7" w:rsidRDefault="008D25F7">
      <w:pPr>
        <w:suppressAutoHyphens w:val="0"/>
        <w:rPr>
          <w:rFonts w:ascii="Times New Roman" w:hAnsi="Times New Roman" w:cs="Times New Roman"/>
          <w:noProof/>
          <w:lang w:val="en-IE"/>
        </w:rPr>
      </w:pPr>
      <w:r>
        <w:rPr>
          <w:rFonts w:ascii="Times New Roman" w:hAnsi="Times New Roman" w:cs="Times New Roman"/>
          <w:noProof/>
          <w:lang w:val="en-IE"/>
        </w:rPr>
        <w:br w:type="page"/>
      </w:r>
    </w:p>
    <w:p w14:paraId="69A746FC" w14:textId="4A978344" w:rsidR="00C1173C" w:rsidRPr="00007DF4" w:rsidRDefault="00F50AF8" w:rsidP="0065549F">
      <w:pPr>
        <w:pStyle w:val="Heading3"/>
        <w:spacing w:before="0" w:after="160" w:line="250" w:lineRule="auto"/>
        <w:rPr>
          <w:rFonts w:ascii="Times New Roman" w:hAnsi="Times New Roman"/>
          <w:b/>
          <w:bCs/>
          <w:noProof/>
          <w:color w:val="auto"/>
        </w:rPr>
      </w:pPr>
      <w:bookmarkStart w:id="71" w:name="_Toc185237881"/>
      <w:bookmarkStart w:id="72" w:name="_Toc185239884"/>
      <w:bookmarkStart w:id="73" w:name="_Toc185264647"/>
      <w:bookmarkStart w:id="74" w:name="_Toc185525740"/>
      <w:bookmarkStart w:id="75" w:name="_Toc185591280"/>
      <w:bookmarkStart w:id="76" w:name="_Toc220103448"/>
      <w:r w:rsidRPr="00007DF4">
        <w:rPr>
          <w:rFonts w:ascii="Times New Roman" w:hAnsi="Times New Roman"/>
          <w:b/>
          <w:bCs/>
          <w:noProof/>
          <w:color w:val="auto"/>
        </w:rPr>
        <w:t xml:space="preserve">KPI </w:t>
      </w:r>
      <w:r w:rsidR="007A4128" w:rsidRPr="00007DF4">
        <w:rPr>
          <w:rFonts w:ascii="Times New Roman" w:hAnsi="Times New Roman"/>
          <w:b/>
          <w:bCs/>
          <w:noProof/>
          <w:color w:val="auto"/>
        </w:rPr>
        <w:t>1</w:t>
      </w:r>
      <w:r w:rsidR="00255CB0">
        <w:rPr>
          <w:rFonts w:ascii="Times New Roman" w:hAnsi="Times New Roman"/>
          <w:b/>
          <w:bCs/>
          <w:noProof/>
          <w:color w:val="auto"/>
        </w:rPr>
        <w:t>3</w:t>
      </w:r>
      <w:r w:rsidRPr="00007DF4">
        <w:rPr>
          <w:rFonts w:ascii="Times New Roman" w:hAnsi="Times New Roman"/>
          <w:b/>
          <w:bCs/>
          <w:noProof/>
          <w:color w:val="auto"/>
        </w:rPr>
        <w:t>: Patent applications</w:t>
      </w:r>
      <w:bookmarkEnd w:id="70"/>
      <w:bookmarkEnd w:id="71"/>
      <w:bookmarkEnd w:id="72"/>
      <w:bookmarkEnd w:id="73"/>
      <w:bookmarkEnd w:id="74"/>
      <w:bookmarkEnd w:id="75"/>
      <w:bookmarkEnd w:id="76"/>
    </w:p>
    <w:p w14:paraId="515B174C" w14:textId="740F39D7" w:rsidR="00C1173C" w:rsidRPr="00486446" w:rsidRDefault="007D0E15" w:rsidP="006E0577">
      <w:pPr>
        <w:pStyle w:val="Paragraph"/>
        <w:spacing w:line="250" w:lineRule="auto"/>
        <w:rPr>
          <w:noProof/>
          <w:lang w:val="en-IE"/>
        </w:rPr>
      </w:pPr>
      <w:r w:rsidRPr="00486446">
        <w:rPr>
          <w:noProof/>
          <w:lang w:val="en-IE"/>
        </w:rPr>
        <w:t>KPI</w:t>
      </w:r>
      <w:r w:rsidR="00094D1A">
        <w:rPr>
          <w:noProof/>
          <w:lang w:val="en-IE"/>
        </w:rPr>
        <w:t xml:space="preserve"> 1</w:t>
      </w:r>
      <w:r w:rsidR="00255CB0">
        <w:rPr>
          <w:noProof/>
          <w:lang w:val="en-IE"/>
        </w:rPr>
        <w:t>3</w:t>
      </w:r>
      <w:r w:rsidRPr="00486446">
        <w:rPr>
          <w:noProof/>
          <w:lang w:val="en-IE"/>
        </w:rPr>
        <w:t xml:space="preserve"> tracks the number of patent applications per million inhabitants in</w:t>
      </w:r>
      <w:r w:rsidR="00A20041" w:rsidRPr="00486446">
        <w:rPr>
          <w:noProof/>
          <w:lang w:val="en-IE"/>
        </w:rPr>
        <w:t xml:space="preserve"> the EU, US, UK, Japan and China.</w:t>
      </w:r>
      <w:r w:rsidRPr="00486446">
        <w:rPr>
          <w:noProof/>
          <w:lang w:val="en-IE"/>
        </w:rPr>
        <w:t xml:space="preserve"> </w:t>
      </w:r>
      <w:r w:rsidR="00535A1A" w:rsidRPr="00486446">
        <w:rPr>
          <w:noProof/>
          <w:lang w:val="en-IE"/>
        </w:rPr>
        <w:t xml:space="preserve">Figure </w:t>
      </w:r>
      <w:r w:rsidR="00674235" w:rsidRPr="00486446">
        <w:rPr>
          <w:noProof/>
          <w:lang w:val="en-IE"/>
        </w:rPr>
        <w:t>14</w:t>
      </w:r>
      <w:r w:rsidR="00F50AF8" w:rsidRPr="00486446">
        <w:rPr>
          <w:noProof/>
          <w:lang w:val="en-IE"/>
        </w:rPr>
        <w:t xml:space="preserve"> shows </w:t>
      </w:r>
      <w:r w:rsidR="008C78B1" w:rsidRPr="00486446">
        <w:rPr>
          <w:noProof/>
          <w:lang w:val="en-IE"/>
        </w:rPr>
        <w:t>i</w:t>
      </w:r>
      <w:r w:rsidR="00F50AF8" w:rsidRPr="00486446">
        <w:rPr>
          <w:noProof/>
          <w:lang w:val="en-IE"/>
        </w:rPr>
        <w:t xml:space="preserve">) the number of patent applications to the European Patent Office (EPO) by EU applicants per million </w:t>
      </w:r>
      <w:r w:rsidR="00E37C34" w:rsidRPr="00486446">
        <w:rPr>
          <w:noProof/>
          <w:lang w:val="en-IE"/>
        </w:rPr>
        <w:t>inhabitants</w:t>
      </w:r>
      <w:r w:rsidR="008C78B1" w:rsidRPr="00486446">
        <w:rPr>
          <w:noProof/>
          <w:lang w:val="en-IE"/>
        </w:rPr>
        <w:t>;</w:t>
      </w:r>
      <w:r w:rsidR="00F50AF8" w:rsidRPr="00486446">
        <w:rPr>
          <w:noProof/>
          <w:lang w:val="en-IE"/>
        </w:rPr>
        <w:t xml:space="preserve"> and </w:t>
      </w:r>
      <w:r w:rsidR="008C78B1" w:rsidRPr="00486446">
        <w:rPr>
          <w:noProof/>
          <w:lang w:val="en-IE"/>
        </w:rPr>
        <w:t>ii</w:t>
      </w:r>
      <w:r w:rsidR="00F50AF8" w:rsidRPr="00486446">
        <w:rPr>
          <w:noProof/>
          <w:lang w:val="en-IE"/>
        </w:rPr>
        <w:t xml:space="preserve">) the number of patents filed under the Patent Cooperation Treaty (PCT) per million </w:t>
      </w:r>
      <w:r w:rsidR="00BC6E59" w:rsidRPr="00486446">
        <w:rPr>
          <w:noProof/>
          <w:lang w:val="en-IE"/>
        </w:rPr>
        <w:t xml:space="preserve">inhabitants </w:t>
      </w:r>
      <w:r w:rsidR="00F50AF8" w:rsidRPr="00486446">
        <w:rPr>
          <w:noProof/>
          <w:lang w:val="en-IE"/>
        </w:rPr>
        <w:t>by applicants’ country of residence.</w:t>
      </w:r>
    </w:p>
    <w:p w14:paraId="2E99B213" w14:textId="6532B2D3" w:rsidR="00C1173C" w:rsidRPr="00486446" w:rsidRDefault="00F50AF8" w:rsidP="006E0577">
      <w:pPr>
        <w:pStyle w:val="Paragraph"/>
        <w:spacing w:line="250" w:lineRule="auto"/>
        <w:rPr>
          <w:noProof/>
          <w:lang w:val="en-IE"/>
        </w:rPr>
      </w:pPr>
      <w:r w:rsidRPr="00486446">
        <w:rPr>
          <w:noProof/>
          <w:lang w:val="en-IE"/>
        </w:rPr>
        <w:t xml:space="preserve">The number of EPO and PCT patent applications should not be directly compared because each system provides </w:t>
      </w:r>
      <w:r w:rsidR="00CA746B" w:rsidRPr="00486446">
        <w:rPr>
          <w:noProof/>
          <w:lang w:val="en-IE"/>
        </w:rPr>
        <w:t>a</w:t>
      </w:r>
      <w:r w:rsidRPr="00486446">
        <w:rPr>
          <w:noProof/>
          <w:lang w:val="en-IE"/>
        </w:rPr>
        <w:t xml:space="preserve"> differ</w:t>
      </w:r>
      <w:r w:rsidR="00CA746B" w:rsidRPr="00486446">
        <w:rPr>
          <w:noProof/>
          <w:lang w:val="en-IE"/>
        </w:rPr>
        <w:t>ent</w:t>
      </w:r>
      <w:r w:rsidRPr="00486446">
        <w:rPr>
          <w:noProof/>
          <w:lang w:val="en-IE"/>
        </w:rPr>
        <w:t xml:space="preserve"> geographical scope of protection</w:t>
      </w:r>
      <w:r w:rsidR="00E86C7B">
        <w:rPr>
          <w:noProof/>
          <w:lang w:val="en-IE"/>
        </w:rPr>
        <w:t xml:space="preserve">. Nonetheless, </w:t>
      </w:r>
      <w:r w:rsidR="00521E04" w:rsidRPr="00486446">
        <w:rPr>
          <w:noProof/>
          <w:lang w:val="en-IE"/>
        </w:rPr>
        <w:t xml:space="preserve"> they </w:t>
      </w:r>
      <w:r w:rsidR="00000E01">
        <w:rPr>
          <w:noProof/>
          <w:lang w:val="en-IE"/>
        </w:rPr>
        <w:t>are</w:t>
      </w:r>
      <w:r w:rsidR="00521E04" w:rsidRPr="00486446">
        <w:rPr>
          <w:noProof/>
          <w:lang w:val="en-IE"/>
        </w:rPr>
        <w:t xml:space="preserve"> telling indicator</w:t>
      </w:r>
      <w:r w:rsidR="00475036" w:rsidRPr="00486446">
        <w:rPr>
          <w:noProof/>
          <w:lang w:val="en-IE"/>
        </w:rPr>
        <w:t>s</w:t>
      </w:r>
      <w:r w:rsidR="00521E04" w:rsidRPr="00486446">
        <w:rPr>
          <w:noProof/>
          <w:lang w:val="en-IE"/>
        </w:rPr>
        <w:t xml:space="preserve"> </w:t>
      </w:r>
      <w:r w:rsidR="00000E01">
        <w:rPr>
          <w:noProof/>
          <w:lang w:val="en-IE"/>
        </w:rPr>
        <w:t xml:space="preserve">of the degree of </w:t>
      </w:r>
      <w:r w:rsidR="00521E04" w:rsidRPr="00486446">
        <w:rPr>
          <w:noProof/>
          <w:lang w:val="en-IE"/>
        </w:rPr>
        <w:t>innovati</w:t>
      </w:r>
      <w:r w:rsidR="00000E01">
        <w:rPr>
          <w:noProof/>
          <w:lang w:val="en-IE"/>
        </w:rPr>
        <w:t>on</w:t>
      </w:r>
      <w:r w:rsidR="00521E04" w:rsidRPr="00486446">
        <w:rPr>
          <w:noProof/>
          <w:lang w:val="en-IE"/>
        </w:rPr>
        <w:t xml:space="preserve"> </w:t>
      </w:r>
      <w:r w:rsidR="00521096">
        <w:rPr>
          <w:noProof/>
          <w:lang w:val="en-IE"/>
        </w:rPr>
        <w:t>in</w:t>
      </w:r>
      <w:r w:rsidR="00521E04" w:rsidRPr="00486446">
        <w:rPr>
          <w:noProof/>
          <w:lang w:val="en-IE"/>
        </w:rPr>
        <w:t xml:space="preserve"> different countries</w:t>
      </w:r>
      <w:r w:rsidRPr="00486446">
        <w:rPr>
          <w:noProof/>
          <w:lang w:val="en-IE"/>
        </w:rPr>
        <w:t>.</w:t>
      </w:r>
    </w:p>
    <w:p w14:paraId="424A7D94" w14:textId="65032A6F" w:rsidR="002A14E1" w:rsidRDefault="002A14E1" w:rsidP="006E0577">
      <w:pPr>
        <w:pStyle w:val="Paragraph"/>
        <w:spacing w:line="250" w:lineRule="auto"/>
        <w:rPr>
          <w:noProof/>
          <w:color w:val="000000"/>
        </w:rPr>
      </w:pPr>
      <w:r w:rsidRPr="002A14E1">
        <w:rPr>
          <w:noProof/>
          <w:color w:val="000000"/>
        </w:rPr>
        <w:t>The number of PCT patent applications filed by EU applicants fell from 104 per million inhabitants in 2022 to 98 in 2023. Similar</w:t>
      </w:r>
      <w:r w:rsidR="004731E8">
        <w:rPr>
          <w:noProof/>
          <w:color w:val="000000"/>
        </w:rPr>
        <w:t>, patent applications fell</w:t>
      </w:r>
      <w:r w:rsidRPr="002A14E1">
        <w:rPr>
          <w:noProof/>
          <w:color w:val="000000"/>
        </w:rPr>
        <w:t xml:space="preserve"> in the UK, with even steeper drops </w:t>
      </w:r>
      <w:r w:rsidR="009008B0">
        <w:rPr>
          <w:noProof/>
          <w:color w:val="000000"/>
        </w:rPr>
        <w:t>seen</w:t>
      </w:r>
      <w:r w:rsidRPr="002A14E1">
        <w:rPr>
          <w:noProof/>
          <w:color w:val="000000"/>
        </w:rPr>
        <w:t xml:space="preserve"> in the United States, Japan and China. In 2023, EU applicants still filed fewer PCT patents per capita than Japan (358 per million) and the United States (156), but more than China (40) and the UK (80).</w:t>
      </w:r>
    </w:p>
    <w:p w14:paraId="08B7CB71" w14:textId="77777777" w:rsidR="000C0B93" w:rsidRDefault="000C0B93" w:rsidP="006E0577">
      <w:pPr>
        <w:pStyle w:val="Paragraph"/>
        <w:spacing w:line="250" w:lineRule="auto"/>
        <w:rPr>
          <w:noProof/>
          <w:color w:val="000000"/>
          <w:lang w:val="en-IE"/>
        </w:rPr>
      </w:pPr>
    </w:p>
    <w:p w14:paraId="7A2A1357" w14:textId="072AD0D7" w:rsidR="00180798" w:rsidRPr="00486446" w:rsidRDefault="00F50AF8" w:rsidP="006E0577">
      <w:pPr>
        <w:pStyle w:val="Paragraph"/>
        <w:spacing w:line="250" w:lineRule="auto"/>
        <w:rPr>
          <w:noProof/>
          <w:lang w:val="en-IE"/>
        </w:rPr>
      </w:pPr>
      <w:r w:rsidRPr="00486446">
        <w:rPr>
          <w:b/>
          <w:noProof/>
          <w:lang w:val="en-IE"/>
        </w:rPr>
        <w:t xml:space="preserve">Figure </w:t>
      </w:r>
      <w:r w:rsidR="00674235" w:rsidRPr="00486446">
        <w:rPr>
          <w:b/>
          <w:noProof/>
          <w:lang w:val="en-IE"/>
        </w:rPr>
        <w:t>1</w:t>
      </w:r>
      <w:r w:rsidR="00255CB0">
        <w:rPr>
          <w:b/>
          <w:noProof/>
          <w:lang w:val="en-IE"/>
        </w:rPr>
        <w:t>3</w:t>
      </w:r>
      <w:r w:rsidRPr="00486446">
        <w:rPr>
          <w:noProof/>
          <w:lang w:val="en-IE"/>
        </w:rPr>
        <w:t xml:space="preserve">: </w:t>
      </w:r>
      <w:r w:rsidR="00D607CF" w:rsidRPr="00486446">
        <w:rPr>
          <w:noProof/>
          <w:lang w:val="en-IE"/>
        </w:rPr>
        <w:t>Patent applications</w:t>
      </w:r>
      <w:r w:rsidR="00A20041" w:rsidRPr="00486446">
        <w:rPr>
          <w:noProof/>
          <w:lang w:val="en-IE"/>
        </w:rPr>
        <w:t xml:space="preserve"> </w:t>
      </w:r>
      <w:r w:rsidR="00E37C34" w:rsidRPr="00486446">
        <w:rPr>
          <w:noProof/>
          <w:lang w:val="en-IE"/>
        </w:rPr>
        <w:t xml:space="preserve">in </w:t>
      </w:r>
      <w:r w:rsidR="00A20041" w:rsidRPr="00486446">
        <w:rPr>
          <w:noProof/>
          <w:lang w:val="en-IE"/>
        </w:rPr>
        <w:t>the EU and other advanced economies</w:t>
      </w:r>
      <w:r w:rsidR="00E37C34" w:rsidRPr="00486446">
        <w:rPr>
          <w:noProof/>
          <w:lang w:val="en-IE"/>
        </w:rPr>
        <w:t>.</w:t>
      </w:r>
    </w:p>
    <w:p w14:paraId="5749ED79" w14:textId="5F86A583" w:rsidR="00C1173C" w:rsidRPr="00486446" w:rsidRDefault="00180798" w:rsidP="00180798">
      <w:pPr>
        <w:pStyle w:val="Figurecaption"/>
        <w:jc w:val="center"/>
        <w:rPr>
          <w:rFonts w:cs="Times New Roman"/>
          <w:noProof/>
          <w:lang w:val="fr-FR"/>
        </w:rPr>
      </w:pPr>
      <w:r w:rsidRPr="00486446">
        <w:rPr>
          <w:rFonts w:cs="Times New Roman"/>
          <w:noProof/>
          <w:lang w:eastAsia="en-GB"/>
        </w:rPr>
        <w:drawing>
          <wp:inline distT="0" distB="0" distL="0" distR="0" wp14:anchorId="21FEB5AC" wp14:editId="7D23BFEB">
            <wp:extent cx="5218077" cy="3025140"/>
            <wp:effectExtent l="0" t="0" r="1905" b="3810"/>
            <wp:docPr id="11969070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907013" name=""/>
                    <pic:cNvPicPr/>
                  </pic:nvPicPr>
                  <pic:blipFill rotWithShape="1">
                    <a:blip r:embed="rId70">
                      <a:extLst>
                        <a:ext uri="{96DAC541-7B7A-43D3-8B79-37D633B846F1}">
                          <asvg:svgBlip xmlns:asvg="http://schemas.microsoft.com/office/drawing/2016/SVG/main" r:embed="rId71"/>
                        </a:ext>
                      </a:extLst>
                    </a:blip>
                    <a:srcRect l="8958"/>
                    <a:stretch/>
                  </pic:blipFill>
                  <pic:spPr bwMode="auto">
                    <a:xfrm>
                      <a:off x="0" y="0"/>
                      <a:ext cx="5218077" cy="3025140"/>
                    </a:xfrm>
                    <a:prstGeom prst="rect">
                      <a:avLst/>
                    </a:prstGeom>
                    <a:ln>
                      <a:noFill/>
                    </a:ln>
                    <a:extLst>
                      <a:ext uri="{53640926-AAD7-44D8-BBD7-CCE9431645EC}">
                        <a14:shadowObscured xmlns:a14="http://schemas.microsoft.com/office/drawing/2010/main"/>
                      </a:ext>
                    </a:extLst>
                  </pic:spPr>
                </pic:pic>
              </a:graphicData>
            </a:graphic>
          </wp:inline>
        </w:drawing>
      </w:r>
    </w:p>
    <w:p w14:paraId="2950AEDC" w14:textId="347F8155" w:rsidR="00D607CF" w:rsidRPr="00486446" w:rsidRDefault="00F50AF8" w:rsidP="00D607CF">
      <w:pPr>
        <w:pStyle w:val="Source"/>
        <w:rPr>
          <w:noProof/>
          <w:color w:val="auto"/>
          <w:lang w:val="en-IE"/>
        </w:rPr>
      </w:pPr>
      <w:r w:rsidRPr="00486446">
        <w:rPr>
          <w:noProof/>
          <w:color w:val="auto"/>
          <w:lang w:val="en-IE"/>
        </w:rPr>
        <w:t xml:space="preserve">Source: </w:t>
      </w:r>
      <w:r w:rsidR="00D607CF" w:rsidRPr="00486446">
        <w:rPr>
          <w:noProof/>
          <w:color w:val="auto"/>
          <w:lang w:val="en-IE"/>
        </w:rPr>
        <w:t>Eurostat; OECD; World Bank</w:t>
      </w:r>
    </w:p>
    <w:p w14:paraId="7E062F8A" w14:textId="109A7298" w:rsidR="00C1173C" w:rsidRPr="00486446" w:rsidRDefault="00F50AF8" w:rsidP="00D607CF">
      <w:pPr>
        <w:pStyle w:val="Source"/>
        <w:rPr>
          <w:noProof/>
          <w:color w:val="auto"/>
          <w:sz w:val="24"/>
          <w:szCs w:val="24"/>
          <w:lang w:val="en-IE"/>
        </w:rPr>
      </w:pPr>
      <w:r w:rsidRPr="008A2EEA">
        <w:rPr>
          <w:noProof/>
          <w:color w:val="auto"/>
          <w:sz w:val="24"/>
          <w:szCs w:val="24"/>
          <w:lang w:val="en-IE"/>
        </w:rPr>
        <w:t>National data</w:t>
      </w:r>
      <w:r w:rsidR="008A2EEA" w:rsidRPr="008A2EEA">
        <w:rPr>
          <w:noProof/>
          <w:color w:val="auto"/>
          <w:sz w:val="24"/>
          <w:szCs w:val="24"/>
          <w:lang w:val="en-IE"/>
        </w:rPr>
        <w:t xml:space="preserve"> </w:t>
      </w:r>
      <w:r w:rsidR="00877529" w:rsidRPr="008A2EEA">
        <w:rPr>
          <w:noProof/>
          <w:color w:val="auto"/>
          <w:sz w:val="24"/>
          <w:szCs w:val="24"/>
          <w:lang w:val="en-IE"/>
        </w:rPr>
        <w:t>(2024)</w:t>
      </w:r>
      <w:r w:rsidR="00B52FF0">
        <w:rPr>
          <w:noProof/>
          <w:color w:val="auto"/>
          <w:sz w:val="24"/>
          <w:szCs w:val="24"/>
          <w:lang w:val="en-IE"/>
        </w:rPr>
        <w:t>,</w:t>
      </w:r>
      <w:r w:rsidR="008A2EEA" w:rsidRPr="008A2EEA">
        <w:rPr>
          <w:noProof/>
          <w:color w:val="auto"/>
          <w:sz w:val="24"/>
          <w:szCs w:val="24"/>
          <w:lang w:val="en-IE"/>
        </w:rPr>
        <w:t xml:space="preserve"> patent applications to the EPO per million inhabitants</w:t>
      </w:r>
    </w:p>
    <w:tbl>
      <w:tblPr>
        <w:tblStyle w:val="TableGrid"/>
        <w:tblW w:w="0" w:type="auto"/>
        <w:jc w:val="center"/>
        <w:tblLook w:val="04A0" w:firstRow="1" w:lastRow="0" w:firstColumn="1" w:lastColumn="0" w:noHBand="0" w:noVBand="1"/>
      </w:tblPr>
      <w:tblGrid>
        <w:gridCol w:w="631"/>
        <w:gridCol w:w="641"/>
        <w:gridCol w:w="657"/>
        <w:gridCol w:w="657"/>
        <w:gridCol w:w="640"/>
        <w:gridCol w:w="649"/>
        <w:gridCol w:w="665"/>
        <w:gridCol w:w="632"/>
        <w:gridCol w:w="632"/>
        <w:gridCol w:w="632"/>
        <w:gridCol w:w="657"/>
        <w:gridCol w:w="665"/>
        <w:gridCol w:w="601"/>
        <w:gridCol w:w="657"/>
      </w:tblGrid>
      <w:tr w:rsidR="00D400A2" w:rsidRPr="001C633D" w14:paraId="7A4C6258" w14:textId="77777777" w:rsidTr="00221417">
        <w:trPr>
          <w:trHeight w:val="300"/>
          <w:jc w:val="center"/>
        </w:trPr>
        <w:tc>
          <w:tcPr>
            <w:tcW w:w="631" w:type="dxa"/>
            <w:shd w:val="clear" w:color="auto" w:fill="D9E2F3" w:themeFill="accent1" w:themeFillTint="33"/>
            <w:vAlign w:val="center"/>
            <w:hideMark/>
          </w:tcPr>
          <w:p w14:paraId="5799E218"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 xml:space="preserve">AT </w:t>
            </w:r>
          </w:p>
        </w:tc>
        <w:tc>
          <w:tcPr>
            <w:tcW w:w="641" w:type="dxa"/>
            <w:shd w:val="clear" w:color="auto" w:fill="D9E2F3" w:themeFill="accent1" w:themeFillTint="33"/>
            <w:vAlign w:val="center"/>
            <w:hideMark/>
          </w:tcPr>
          <w:p w14:paraId="45839121"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BE</w:t>
            </w:r>
          </w:p>
        </w:tc>
        <w:tc>
          <w:tcPr>
            <w:tcW w:w="657" w:type="dxa"/>
            <w:shd w:val="clear" w:color="auto" w:fill="D9E2F3" w:themeFill="accent1" w:themeFillTint="33"/>
            <w:vAlign w:val="center"/>
            <w:hideMark/>
          </w:tcPr>
          <w:p w14:paraId="636373BB"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BG</w:t>
            </w:r>
          </w:p>
        </w:tc>
        <w:tc>
          <w:tcPr>
            <w:tcW w:w="657" w:type="dxa"/>
            <w:shd w:val="clear" w:color="auto" w:fill="D9E2F3" w:themeFill="accent1" w:themeFillTint="33"/>
            <w:vAlign w:val="center"/>
            <w:hideMark/>
          </w:tcPr>
          <w:p w14:paraId="795BB77A"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CY</w:t>
            </w:r>
          </w:p>
        </w:tc>
        <w:tc>
          <w:tcPr>
            <w:tcW w:w="640" w:type="dxa"/>
            <w:shd w:val="clear" w:color="auto" w:fill="D9E2F3" w:themeFill="accent1" w:themeFillTint="33"/>
            <w:vAlign w:val="center"/>
            <w:hideMark/>
          </w:tcPr>
          <w:p w14:paraId="4E9ACEC3"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CZ</w:t>
            </w:r>
          </w:p>
        </w:tc>
        <w:tc>
          <w:tcPr>
            <w:tcW w:w="649" w:type="dxa"/>
            <w:shd w:val="clear" w:color="auto" w:fill="D9E2F3" w:themeFill="accent1" w:themeFillTint="33"/>
            <w:vAlign w:val="center"/>
            <w:hideMark/>
          </w:tcPr>
          <w:p w14:paraId="23FAEA08"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DE</w:t>
            </w:r>
          </w:p>
        </w:tc>
        <w:tc>
          <w:tcPr>
            <w:tcW w:w="665" w:type="dxa"/>
            <w:shd w:val="clear" w:color="auto" w:fill="D9E2F3" w:themeFill="accent1" w:themeFillTint="33"/>
            <w:vAlign w:val="center"/>
            <w:hideMark/>
          </w:tcPr>
          <w:p w14:paraId="6BF0EA8D"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DK</w:t>
            </w:r>
          </w:p>
        </w:tc>
        <w:tc>
          <w:tcPr>
            <w:tcW w:w="632" w:type="dxa"/>
            <w:shd w:val="clear" w:color="auto" w:fill="D9E2F3" w:themeFill="accent1" w:themeFillTint="33"/>
            <w:vAlign w:val="center"/>
            <w:hideMark/>
          </w:tcPr>
          <w:p w14:paraId="14632587"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EE</w:t>
            </w:r>
          </w:p>
        </w:tc>
        <w:tc>
          <w:tcPr>
            <w:tcW w:w="632" w:type="dxa"/>
            <w:shd w:val="clear" w:color="auto" w:fill="D9E2F3" w:themeFill="accent1" w:themeFillTint="33"/>
            <w:vAlign w:val="center"/>
            <w:hideMark/>
          </w:tcPr>
          <w:p w14:paraId="3AA35AB9"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EL</w:t>
            </w:r>
          </w:p>
        </w:tc>
        <w:tc>
          <w:tcPr>
            <w:tcW w:w="632" w:type="dxa"/>
            <w:shd w:val="clear" w:color="auto" w:fill="D9E2F3" w:themeFill="accent1" w:themeFillTint="33"/>
            <w:vAlign w:val="center"/>
            <w:hideMark/>
          </w:tcPr>
          <w:p w14:paraId="27DC4B44"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ES</w:t>
            </w:r>
          </w:p>
        </w:tc>
        <w:tc>
          <w:tcPr>
            <w:tcW w:w="657" w:type="dxa"/>
            <w:shd w:val="clear" w:color="auto" w:fill="D9E2F3" w:themeFill="accent1" w:themeFillTint="33"/>
            <w:vAlign w:val="center"/>
          </w:tcPr>
          <w:p w14:paraId="4940444C"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FI</w:t>
            </w:r>
          </w:p>
        </w:tc>
        <w:tc>
          <w:tcPr>
            <w:tcW w:w="665" w:type="dxa"/>
            <w:shd w:val="clear" w:color="auto" w:fill="D9E2F3" w:themeFill="accent1" w:themeFillTint="33"/>
            <w:vAlign w:val="center"/>
          </w:tcPr>
          <w:p w14:paraId="4188F439"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FR</w:t>
            </w:r>
          </w:p>
        </w:tc>
        <w:tc>
          <w:tcPr>
            <w:tcW w:w="601" w:type="dxa"/>
            <w:shd w:val="clear" w:color="auto" w:fill="D9E2F3" w:themeFill="accent1" w:themeFillTint="33"/>
            <w:vAlign w:val="center"/>
          </w:tcPr>
          <w:p w14:paraId="3E0DF5AA"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HR</w:t>
            </w:r>
          </w:p>
        </w:tc>
        <w:tc>
          <w:tcPr>
            <w:tcW w:w="657" w:type="dxa"/>
            <w:shd w:val="clear" w:color="auto" w:fill="D9E2F3" w:themeFill="accent1" w:themeFillTint="33"/>
            <w:vAlign w:val="center"/>
          </w:tcPr>
          <w:p w14:paraId="3896551F" w14:textId="77777777" w:rsidR="00047933" w:rsidRPr="001C633D" w:rsidRDefault="00047933" w:rsidP="00221417">
            <w:pPr>
              <w:pStyle w:val="Paragraph"/>
              <w:spacing w:after="0" w:line="240" w:lineRule="auto"/>
              <w:jc w:val="center"/>
              <w:rPr>
                <w:noProof/>
                <w:sz w:val="22"/>
                <w:szCs w:val="22"/>
                <w:lang w:val="en-IE"/>
              </w:rPr>
            </w:pPr>
            <w:r w:rsidRPr="001C633D">
              <w:rPr>
                <w:noProof/>
                <w:sz w:val="22"/>
                <w:szCs w:val="22"/>
                <w:lang w:val="en-IE"/>
              </w:rPr>
              <w:t>HU</w:t>
            </w:r>
          </w:p>
        </w:tc>
      </w:tr>
      <w:tr w:rsidR="00D400A2" w:rsidRPr="001C633D" w14:paraId="56F00C68" w14:textId="77777777" w:rsidTr="00221417">
        <w:trPr>
          <w:trHeight w:val="315"/>
          <w:jc w:val="center"/>
        </w:trPr>
        <w:tc>
          <w:tcPr>
            <w:tcW w:w="631" w:type="dxa"/>
            <w:vAlign w:val="center"/>
          </w:tcPr>
          <w:p w14:paraId="5F65D33C" w14:textId="00DB0337" w:rsidR="00047933" w:rsidRPr="001C633D" w:rsidRDefault="00564F43" w:rsidP="002B5B6E">
            <w:pPr>
              <w:pStyle w:val="Paragraph"/>
              <w:spacing w:after="0" w:line="240" w:lineRule="auto"/>
              <w:jc w:val="center"/>
              <w:rPr>
                <w:noProof/>
                <w:sz w:val="22"/>
                <w:szCs w:val="22"/>
                <w:lang w:val="en-IE"/>
              </w:rPr>
            </w:pPr>
            <w:r>
              <w:rPr>
                <w:noProof/>
                <w:sz w:val="22"/>
                <w:szCs w:val="22"/>
                <w:lang w:val="en-IE"/>
              </w:rPr>
              <w:t>234</w:t>
            </w:r>
          </w:p>
        </w:tc>
        <w:tc>
          <w:tcPr>
            <w:tcW w:w="641" w:type="dxa"/>
            <w:vAlign w:val="center"/>
          </w:tcPr>
          <w:p w14:paraId="60659C02" w14:textId="0F66F141" w:rsidR="00047933" w:rsidRPr="001C633D" w:rsidRDefault="00615A18" w:rsidP="002B5B6E">
            <w:pPr>
              <w:pStyle w:val="Paragraph"/>
              <w:spacing w:after="0" w:line="240" w:lineRule="auto"/>
              <w:jc w:val="center"/>
              <w:rPr>
                <w:noProof/>
                <w:sz w:val="22"/>
                <w:szCs w:val="22"/>
                <w:lang w:val="en-IE"/>
              </w:rPr>
            </w:pPr>
            <w:r>
              <w:rPr>
                <w:noProof/>
                <w:sz w:val="22"/>
                <w:szCs w:val="22"/>
                <w:lang w:val="en-IE"/>
              </w:rPr>
              <w:t>221</w:t>
            </w:r>
          </w:p>
        </w:tc>
        <w:tc>
          <w:tcPr>
            <w:tcW w:w="657" w:type="dxa"/>
            <w:vAlign w:val="center"/>
          </w:tcPr>
          <w:p w14:paraId="351ED231" w14:textId="58C155C6" w:rsidR="00047933" w:rsidRPr="001C633D" w:rsidRDefault="00615A18" w:rsidP="002B5B6E">
            <w:pPr>
              <w:pStyle w:val="Paragraph"/>
              <w:spacing w:after="0" w:line="240" w:lineRule="auto"/>
              <w:jc w:val="center"/>
              <w:rPr>
                <w:noProof/>
                <w:sz w:val="22"/>
                <w:szCs w:val="22"/>
                <w:lang w:val="en-IE"/>
              </w:rPr>
            </w:pPr>
            <w:r>
              <w:rPr>
                <w:noProof/>
                <w:sz w:val="22"/>
                <w:szCs w:val="22"/>
                <w:lang w:val="en-IE"/>
              </w:rPr>
              <w:t>8</w:t>
            </w:r>
          </w:p>
        </w:tc>
        <w:tc>
          <w:tcPr>
            <w:tcW w:w="657" w:type="dxa"/>
            <w:vAlign w:val="center"/>
          </w:tcPr>
          <w:p w14:paraId="7A7276FE" w14:textId="1642BDBF" w:rsidR="00047933" w:rsidRPr="001C633D" w:rsidRDefault="00615A18" w:rsidP="002B5B6E">
            <w:pPr>
              <w:pStyle w:val="Paragraph"/>
              <w:spacing w:after="0" w:line="240" w:lineRule="auto"/>
              <w:jc w:val="center"/>
              <w:rPr>
                <w:noProof/>
                <w:sz w:val="22"/>
                <w:szCs w:val="22"/>
                <w:lang w:val="en-IE"/>
              </w:rPr>
            </w:pPr>
            <w:r>
              <w:rPr>
                <w:noProof/>
                <w:sz w:val="22"/>
                <w:szCs w:val="22"/>
                <w:lang w:val="en-IE"/>
              </w:rPr>
              <w:t>64</w:t>
            </w:r>
          </w:p>
        </w:tc>
        <w:tc>
          <w:tcPr>
            <w:tcW w:w="640" w:type="dxa"/>
            <w:vAlign w:val="center"/>
          </w:tcPr>
          <w:p w14:paraId="144BDC45" w14:textId="5DA00D45" w:rsidR="00047933" w:rsidRPr="001C633D" w:rsidRDefault="00615A18" w:rsidP="002B5B6E">
            <w:pPr>
              <w:pStyle w:val="Paragraph"/>
              <w:spacing w:after="0" w:line="240" w:lineRule="auto"/>
              <w:jc w:val="center"/>
              <w:rPr>
                <w:noProof/>
                <w:sz w:val="22"/>
                <w:szCs w:val="22"/>
                <w:lang w:val="en-IE"/>
              </w:rPr>
            </w:pPr>
            <w:r>
              <w:rPr>
                <w:noProof/>
                <w:sz w:val="22"/>
                <w:szCs w:val="22"/>
                <w:lang w:val="en-IE"/>
              </w:rPr>
              <w:t>23</w:t>
            </w:r>
          </w:p>
        </w:tc>
        <w:tc>
          <w:tcPr>
            <w:tcW w:w="649" w:type="dxa"/>
            <w:vAlign w:val="center"/>
          </w:tcPr>
          <w:p w14:paraId="3D4E0F6B" w14:textId="78CA66BF" w:rsidR="00047933" w:rsidRPr="001C633D" w:rsidRDefault="00777A31" w:rsidP="002B5B6E">
            <w:pPr>
              <w:pStyle w:val="Paragraph"/>
              <w:spacing w:after="0" w:line="240" w:lineRule="auto"/>
              <w:jc w:val="center"/>
              <w:rPr>
                <w:noProof/>
                <w:sz w:val="22"/>
                <w:szCs w:val="22"/>
                <w:lang w:val="en-IE"/>
              </w:rPr>
            </w:pPr>
            <w:r>
              <w:rPr>
                <w:noProof/>
                <w:sz w:val="22"/>
                <w:szCs w:val="22"/>
                <w:lang w:val="en-IE"/>
              </w:rPr>
              <w:t>299</w:t>
            </w:r>
          </w:p>
        </w:tc>
        <w:tc>
          <w:tcPr>
            <w:tcW w:w="665" w:type="dxa"/>
            <w:vAlign w:val="center"/>
          </w:tcPr>
          <w:p w14:paraId="76B2593B" w14:textId="185AE535" w:rsidR="00047933" w:rsidRPr="001C633D" w:rsidRDefault="00777A31" w:rsidP="002B5B6E">
            <w:pPr>
              <w:pStyle w:val="Paragraph"/>
              <w:spacing w:after="0" w:line="240" w:lineRule="auto"/>
              <w:jc w:val="center"/>
              <w:rPr>
                <w:noProof/>
                <w:sz w:val="22"/>
                <w:szCs w:val="22"/>
                <w:lang w:val="en-IE"/>
              </w:rPr>
            </w:pPr>
            <w:r>
              <w:rPr>
                <w:noProof/>
                <w:sz w:val="22"/>
                <w:szCs w:val="22"/>
                <w:lang w:val="en-IE"/>
              </w:rPr>
              <w:t>425</w:t>
            </w:r>
          </w:p>
        </w:tc>
        <w:tc>
          <w:tcPr>
            <w:tcW w:w="632" w:type="dxa"/>
            <w:vAlign w:val="center"/>
          </w:tcPr>
          <w:p w14:paraId="331612B6" w14:textId="098978D1" w:rsidR="00047933" w:rsidRPr="001C633D" w:rsidRDefault="00777A31" w:rsidP="002B5B6E">
            <w:pPr>
              <w:pStyle w:val="Paragraph"/>
              <w:spacing w:after="0" w:line="240" w:lineRule="auto"/>
              <w:jc w:val="center"/>
              <w:rPr>
                <w:noProof/>
                <w:sz w:val="22"/>
                <w:szCs w:val="22"/>
                <w:lang w:val="en-IE"/>
              </w:rPr>
            </w:pPr>
            <w:r>
              <w:rPr>
                <w:noProof/>
                <w:sz w:val="22"/>
                <w:szCs w:val="22"/>
                <w:lang w:val="en-IE"/>
              </w:rPr>
              <w:t>53</w:t>
            </w:r>
          </w:p>
        </w:tc>
        <w:tc>
          <w:tcPr>
            <w:tcW w:w="632" w:type="dxa"/>
            <w:vAlign w:val="center"/>
          </w:tcPr>
          <w:p w14:paraId="70D8A7B5" w14:textId="73D5C3AA" w:rsidR="00047933" w:rsidRPr="001C633D" w:rsidRDefault="00777A31" w:rsidP="002B5B6E">
            <w:pPr>
              <w:pStyle w:val="Paragraph"/>
              <w:spacing w:after="0" w:line="240" w:lineRule="auto"/>
              <w:jc w:val="center"/>
              <w:rPr>
                <w:noProof/>
                <w:sz w:val="22"/>
                <w:szCs w:val="22"/>
                <w:lang w:val="en-IE"/>
              </w:rPr>
            </w:pPr>
            <w:r>
              <w:rPr>
                <w:noProof/>
                <w:sz w:val="22"/>
                <w:szCs w:val="22"/>
                <w:lang w:val="en-IE"/>
              </w:rPr>
              <w:t>10</w:t>
            </w:r>
          </w:p>
        </w:tc>
        <w:tc>
          <w:tcPr>
            <w:tcW w:w="632" w:type="dxa"/>
            <w:vAlign w:val="center"/>
          </w:tcPr>
          <w:p w14:paraId="42A6B18E" w14:textId="0A2F8260" w:rsidR="00047933" w:rsidRPr="001C633D" w:rsidRDefault="00D400A2" w:rsidP="002B5B6E">
            <w:pPr>
              <w:pStyle w:val="Paragraph"/>
              <w:spacing w:after="0" w:line="240" w:lineRule="auto"/>
              <w:jc w:val="center"/>
              <w:rPr>
                <w:noProof/>
                <w:sz w:val="22"/>
                <w:szCs w:val="22"/>
                <w:lang w:val="en-IE"/>
              </w:rPr>
            </w:pPr>
            <w:r>
              <w:rPr>
                <w:noProof/>
                <w:sz w:val="22"/>
                <w:szCs w:val="22"/>
                <w:lang w:val="en-IE"/>
              </w:rPr>
              <w:t>45</w:t>
            </w:r>
          </w:p>
        </w:tc>
        <w:tc>
          <w:tcPr>
            <w:tcW w:w="657" w:type="dxa"/>
            <w:vAlign w:val="center"/>
          </w:tcPr>
          <w:p w14:paraId="0FF67685" w14:textId="710E3E05" w:rsidR="00047933" w:rsidRPr="001C633D" w:rsidRDefault="00D400A2" w:rsidP="002B5B6E">
            <w:pPr>
              <w:pStyle w:val="Paragraph"/>
              <w:spacing w:after="0" w:line="240" w:lineRule="auto"/>
              <w:jc w:val="center"/>
              <w:rPr>
                <w:noProof/>
                <w:sz w:val="22"/>
                <w:szCs w:val="22"/>
                <w:lang w:val="en-IE"/>
              </w:rPr>
            </w:pPr>
            <w:r>
              <w:rPr>
                <w:noProof/>
                <w:sz w:val="22"/>
                <w:szCs w:val="22"/>
                <w:lang w:val="en-IE"/>
              </w:rPr>
              <w:t>428</w:t>
            </w:r>
          </w:p>
        </w:tc>
        <w:tc>
          <w:tcPr>
            <w:tcW w:w="665" w:type="dxa"/>
            <w:vAlign w:val="center"/>
          </w:tcPr>
          <w:p w14:paraId="7D2D8F4D" w14:textId="59BE8221" w:rsidR="00047933" w:rsidRPr="001C633D" w:rsidRDefault="00D400A2" w:rsidP="002B5B6E">
            <w:pPr>
              <w:pStyle w:val="Paragraph"/>
              <w:spacing w:after="0" w:line="240" w:lineRule="auto"/>
              <w:jc w:val="center"/>
              <w:rPr>
                <w:noProof/>
                <w:sz w:val="22"/>
                <w:szCs w:val="22"/>
                <w:lang w:val="en-IE"/>
              </w:rPr>
            </w:pPr>
            <w:r>
              <w:rPr>
                <w:noProof/>
                <w:sz w:val="22"/>
                <w:szCs w:val="22"/>
                <w:lang w:val="en-IE"/>
              </w:rPr>
              <w:t>160</w:t>
            </w:r>
          </w:p>
        </w:tc>
        <w:tc>
          <w:tcPr>
            <w:tcW w:w="601" w:type="dxa"/>
            <w:vAlign w:val="center"/>
          </w:tcPr>
          <w:p w14:paraId="57DF65A5" w14:textId="7C10BFCE" w:rsidR="00047933" w:rsidRPr="001C633D" w:rsidRDefault="00D400A2" w:rsidP="002B5B6E">
            <w:pPr>
              <w:pStyle w:val="Paragraph"/>
              <w:spacing w:after="0" w:line="240" w:lineRule="auto"/>
              <w:jc w:val="center"/>
              <w:rPr>
                <w:noProof/>
                <w:sz w:val="22"/>
                <w:szCs w:val="22"/>
                <w:lang w:val="en-IE"/>
              </w:rPr>
            </w:pPr>
            <w:r>
              <w:rPr>
                <w:noProof/>
                <w:sz w:val="22"/>
                <w:szCs w:val="22"/>
                <w:lang w:val="en-IE"/>
              </w:rPr>
              <w:t>10</w:t>
            </w:r>
          </w:p>
        </w:tc>
        <w:tc>
          <w:tcPr>
            <w:tcW w:w="657" w:type="dxa"/>
            <w:vAlign w:val="center"/>
          </w:tcPr>
          <w:p w14:paraId="304B61B4" w14:textId="669B025C" w:rsidR="00047933" w:rsidRPr="001C633D" w:rsidRDefault="00E6630E" w:rsidP="002B5B6E">
            <w:pPr>
              <w:pStyle w:val="Paragraph"/>
              <w:spacing w:after="0" w:line="240" w:lineRule="auto"/>
              <w:jc w:val="center"/>
              <w:rPr>
                <w:noProof/>
                <w:sz w:val="22"/>
                <w:szCs w:val="22"/>
                <w:lang w:val="en-IE"/>
              </w:rPr>
            </w:pPr>
            <w:r>
              <w:rPr>
                <w:noProof/>
                <w:sz w:val="22"/>
                <w:szCs w:val="22"/>
                <w:lang w:val="en-IE"/>
              </w:rPr>
              <w:t>15</w:t>
            </w:r>
          </w:p>
        </w:tc>
      </w:tr>
      <w:tr w:rsidR="00D400A2" w:rsidRPr="001C633D" w14:paraId="3745E2DB" w14:textId="77777777" w:rsidTr="00221417">
        <w:trPr>
          <w:trHeight w:val="300"/>
          <w:jc w:val="center"/>
        </w:trPr>
        <w:tc>
          <w:tcPr>
            <w:tcW w:w="631" w:type="dxa"/>
            <w:shd w:val="clear" w:color="auto" w:fill="D9E2F3" w:themeFill="accent1" w:themeFillTint="33"/>
            <w:vAlign w:val="center"/>
          </w:tcPr>
          <w:p w14:paraId="5218DFB3"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IE</w:t>
            </w:r>
          </w:p>
        </w:tc>
        <w:tc>
          <w:tcPr>
            <w:tcW w:w="641" w:type="dxa"/>
            <w:shd w:val="clear" w:color="auto" w:fill="D9E2F3" w:themeFill="accent1" w:themeFillTint="33"/>
            <w:vAlign w:val="center"/>
          </w:tcPr>
          <w:p w14:paraId="1F4AC1C7"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IT</w:t>
            </w:r>
          </w:p>
        </w:tc>
        <w:tc>
          <w:tcPr>
            <w:tcW w:w="657" w:type="dxa"/>
            <w:shd w:val="clear" w:color="auto" w:fill="D9E2F3" w:themeFill="accent1" w:themeFillTint="33"/>
            <w:vAlign w:val="center"/>
          </w:tcPr>
          <w:p w14:paraId="11F8AA6A"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LT</w:t>
            </w:r>
          </w:p>
        </w:tc>
        <w:tc>
          <w:tcPr>
            <w:tcW w:w="657" w:type="dxa"/>
            <w:shd w:val="clear" w:color="auto" w:fill="D9E2F3" w:themeFill="accent1" w:themeFillTint="33"/>
            <w:vAlign w:val="center"/>
          </w:tcPr>
          <w:p w14:paraId="0BAE640D"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LU</w:t>
            </w:r>
          </w:p>
        </w:tc>
        <w:tc>
          <w:tcPr>
            <w:tcW w:w="640" w:type="dxa"/>
            <w:shd w:val="clear" w:color="auto" w:fill="D9E2F3" w:themeFill="accent1" w:themeFillTint="33"/>
            <w:vAlign w:val="center"/>
          </w:tcPr>
          <w:p w14:paraId="3C40FB66"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LV</w:t>
            </w:r>
          </w:p>
        </w:tc>
        <w:tc>
          <w:tcPr>
            <w:tcW w:w="649" w:type="dxa"/>
            <w:shd w:val="clear" w:color="auto" w:fill="D9E2F3" w:themeFill="accent1" w:themeFillTint="33"/>
            <w:vAlign w:val="center"/>
          </w:tcPr>
          <w:p w14:paraId="23F94622"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MT</w:t>
            </w:r>
          </w:p>
        </w:tc>
        <w:tc>
          <w:tcPr>
            <w:tcW w:w="665" w:type="dxa"/>
            <w:shd w:val="clear" w:color="auto" w:fill="D9E2F3" w:themeFill="accent1" w:themeFillTint="33"/>
            <w:vAlign w:val="center"/>
          </w:tcPr>
          <w:p w14:paraId="2D04442B"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NL</w:t>
            </w:r>
          </w:p>
        </w:tc>
        <w:tc>
          <w:tcPr>
            <w:tcW w:w="632" w:type="dxa"/>
            <w:shd w:val="clear" w:color="auto" w:fill="D9E2F3" w:themeFill="accent1" w:themeFillTint="33"/>
            <w:vAlign w:val="center"/>
          </w:tcPr>
          <w:p w14:paraId="17B7F9D8"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PL</w:t>
            </w:r>
          </w:p>
        </w:tc>
        <w:tc>
          <w:tcPr>
            <w:tcW w:w="632" w:type="dxa"/>
            <w:shd w:val="clear" w:color="auto" w:fill="D9E2F3" w:themeFill="accent1" w:themeFillTint="33"/>
            <w:vAlign w:val="center"/>
          </w:tcPr>
          <w:p w14:paraId="07F88D3E"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PT</w:t>
            </w:r>
          </w:p>
        </w:tc>
        <w:tc>
          <w:tcPr>
            <w:tcW w:w="632" w:type="dxa"/>
            <w:shd w:val="clear" w:color="auto" w:fill="D9E2F3" w:themeFill="accent1" w:themeFillTint="33"/>
            <w:vAlign w:val="center"/>
          </w:tcPr>
          <w:p w14:paraId="654F38B8"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RO</w:t>
            </w:r>
          </w:p>
        </w:tc>
        <w:tc>
          <w:tcPr>
            <w:tcW w:w="657" w:type="dxa"/>
            <w:shd w:val="clear" w:color="auto" w:fill="D9E2F3" w:themeFill="accent1" w:themeFillTint="33"/>
            <w:vAlign w:val="center"/>
          </w:tcPr>
          <w:p w14:paraId="2B3FE9B3"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SE</w:t>
            </w:r>
          </w:p>
        </w:tc>
        <w:tc>
          <w:tcPr>
            <w:tcW w:w="665" w:type="dxa"/>
            <w:shd w:val="clear" w:color="auto" w:fill="D9E2F3" w:themeFill="accent1" w:themeFillTint="33"/>
            <w:vAlign w:val="center"/>
            <w:hideMark/>
          </w:tcPr>
          <w:p w14:paraId="4DF53F5C"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SI</w:t>
            </w:r>
          </w:p>
        </w:tc>
        <w:tc>
          <w:tcPr>
            <w:tcW w:w="601" w:type="dxa"/>
            <w:shd w:val="clear" w:color="auto" w:fill="D9E2F3" w:themeFill="accent1" w:themeFillTint="33"/>
            <w:vAlign w:val="center"/>
            <w:hideMark/>
          </w:tcPr>
          <w:p w14:paraId="548C8343" w14:textId="77777777" w:rsidR="00047933" w:rsidRPr="001C633D" w:rsidRDefault="00047933" w:rsidP="002B5B6E">
            <w:pPr>
              <w:pStyle w:val="Paragraph"/>
              <w:spacing w:after="0" w:line="240" w:lineRule="auto"/>
              <w:jc w:val="center"/>
              <w:rPr>
                <w:noProof/>
                <w:sz w:val="22"/>
                <w:szCs w:val="22"/>
                <w:lang w:val="en-IE"/>
              </w:rPr>
            </w:pPr>
            <w:r w:rsidRPr="001C633D">
              <w:rPr>
                <w:noProof/>
                <w:sz w:val="22"/>
                <w:szCs w:val="22"/>
                <w:lang w:val="en-IE"/>
              </w:rPr>
              <w:t>SK</w:t>
            </w:r>
          </w:p>
        </w:tc>
        <w:tc>
          <w:tcPr>
            <w:tcW w:w="657" w:type="dxa"/>
            <w:shd w:val="clear" w:color="auto" w:fill="D9E2F3" w:themeFill="accent1" w:themeFillTint="33"/>
            <w:vAlign w:val="center"/>
            <w:hideMark/>
          </w:tcPr>
          <w:p w14:paraId="2D948F30" w14:textId="77777777" w:rsidR="00047933" w:rsidRPr="001C633D" w:rsidRDefault="00047933" w:rsidP="002B5B6E">
            <w:pPr>
              <w:pStyle w:val="Paragraph"/>
              <w:spacing w:after="0" w:line="240" w:lineRule="auto"/>
              <w:jc w:val="center"/>
              <w:rPr>
                <w:b/>
                <w:noProof/>
                <w:sz w:val="22"/>
                <w:szCs w:val="22"/>
                <w:lang w:val="en-IE"/>
              </w:rPr>
            </w:pPr>
            <w:r w:rsidRPr="001C633D">
              <w:rPr>
                <w:b/>
                <w:noProof/>
                <w:sz w:val="22"/>
                <w:szCs w:val="22"/>
                <w:lang w:val="en-IE"/>
              </w:rPr>
              <w:t>EU</w:t>
            </w:r>
          </w:p>
        </w:tc>
      </w:tr>
      <w:tr w:rsidR="00D400A2" w:rsidRPr="00047933" w14:paraId="04997344" w14:textId="77777777" w:rsidTr="00221417">
        <w:trPr>
          <w:trHeight w:val="315"/>
          <w:jc w:val="center"/>
        </w:trPr>
        <w:tc>
          <w:tcPr>
            <w:tcW w:w="631" w:type="dxa"/>
            <w:vAlign w:val="center"/>
          </w:tcPr>
          <w:p w14:paraId="0F1CAACD" w14:textId="5549B3AC" w:rsidR="00047933" w:rsidRPr="009C0A42" w:rsidRDefault="00E6630E" w:rsidP="002B5B6E">
            <w:pPr>
              <w:pStyle w:val="Paragraph"/>
              <w:spacing w:after="0" w:line="240" w:lineRule="auto"/>
              <w:jc w:val="center"/>
              <w:rPr>
                <w:rFonts w:eastAsia="Calibri"/>
                <w:noProof/>
                <w:color w:val="000000"/>
                <w:sz w:val="22"/>
                <w:szCs w:val="22"/>
              </w:rPr>
            </w:pPr>
            <w:r>
              <w:rPr>
                <w:rFonts w:eastAsia="Calibri"/>
                <w:noProof/>
                <w:color w:val="000000"/>
                <w:sz w:val="22"/>
                <w:szCs w:val="22"/>
              </w:rPr>
              <w:t>209</w:t>
            </w:r>
          </w:p>
        </w:tc>
        <w:tc>
          <w:tcPr>
            <w:tcW w:w="641" w:type="dxa"/>
            <w:vAlign w:val="center"/>
          </w:tcPr>
          <w:p w14:paraId="59D139A3" w14:textId="2D8BCE58" w:rsidR="00047933" w:rsidRPr="009C0A42" w:rsidRDefault="00F67969" w:rsidP="002B5B6E">
            <w:pPr>
              <w:pStyle w:val="Paragraph"/>
              <w:spacing w:after="0" w:line="240" w:lineRule="auto"/>
              <w:jc w:val="center"/>
              <w:rPr>
                <w:rFonts w:eastAsia="Calibri"/>
                <w:noProof/>
                <w:color w:val="000000"/>
                <w:sz w:val="22"/>
                <w:szCs w:val="22"/>
              </w:rPr>
            </w:pPr>
            <w:r>
              <w:rPr>
                <w:rFonts w:eastAsia="Calibri"/>
                <w:noProof/>
                <w:color w:val="000000"/>
                <w:sz w:val="22"/>
                <w:szCs w:val="22"/>
              </w:rPr>
              <w:t>82</w:t>
            </w:r>
          </w:p>
        </w:tc>
        <w:tc>
          <w:tcPr>
            <w:tcW w:w="657" w:type="dxa"/>
            <w:vAlign w:val="center"/>
          </w:tcPr>
          <w:p w14:paraId="4A9D00C6" w14:textId="67C7B1BE" w:rsidR="00047933" w:rsidRPr="009C0A42" w:rsidRDefault="00F67969" w:rsidP="002B5B6E">
            <w:pPr>
              <w:pStyle w:val="Paragraph"/>
              <w:spacing w:after="0" w:line="240" w:lineRule="auto"/>
              <w:jc w:val="center"/>
              <w:rPr>
                <w:rFonts w:eastAsia="Calibri"/>
                <w:noProof/>
                <w:color w:val="000000"/>
                <w:sz w:val="22"/>
                <w:szCs w:val="22"/>
              </w:rPr>
            </w:pPr>
            <w:r>
              <w:rPr>
                <w:rFonts w:eastAsia="Calibri"/>
                <w:noProof/>
                <w:color w:val="000000"/>
                <w:sz w:val="22"/>
                <w:szCs w:val="22"/>
              </w:rPr>
              <w:t>25</w:t>
            </w:r>
          </w:p>
        </w:tc>
        <w:tc>
          <w:tcPr>
            <w:tcW w:w="657" w:type="dxa"/>
            <w:vAlign w:val="center"/>
          </w:tcPr>
          <w:p w14:paraId="04338E9D" w14:textId="7312D510" w:rsidR="00047933" w:rsidRPr="009C0A42" w:rsidRDefault="00F67969" w:rsidP="002B5B6E">
            <w:pPr>
              <w:pStyle w:val="Paragraph"/>
              <w:spacing w:after="0" w:line="240" w:lineRule="auto"/>
              <w:jc w:val="center"/>
              <w:rPr>
                <w:rFonts w:eastAsia="Calibri"/>
                <w:noProof/>
                <w:color w:val="000000"/>
                <w:sz w:val="22"/>
                <w:szCs w:val="22"/>
              </w:rPr>
            </w:pPr>
            <w:r>
              <w:rPr>
                <w:rFonts w:eastAsia="Calibri"/>
                <w:noProof/>
                <w:color w:val="000000"/>
                <w:sz w:val="22"/>
                <w:szCs w:val="22"/>
              </w:rPr>
              <w:t>457</w:t>
            </w:r>
          </w:p>
        </w:tc>
        <w:tc>
          <w:tcPr>
            <w:tcW w:w="640" w:type="dxa"/>
            <w:vAlign w:val="center"/>
          </w:tcPr>
          <w:p w14:paraId="48F2D8FA" w14:textId="266BC5DA" w:rsidR="00047933" w:rsidRPr="009C0A42" w:rsidRDefault="00F67969" w:rsidP="002B5B6E">
            <w:pPr>
              <w:pStyle w:val="Paragraph"/>
              <w:spacing w:after="0" w:line="240" w:lineRule="auto"/>
              <w:jc w:val="center"/>
              <w:rPr>
                <w:rFonts w:eastAsia="Calibri"/>
                <w:noProof/>
                <w:color w:val="000000"/>
                <w:sz w:val="22"/>
                <w:szCs w:val="22"/>
              </w:rPr>
            </w:pPr>
            <w:r>
              <w:rPr>
                <w:rFonts w:eastAsia="Calibri"/>
                <w:noProof/>
                <w:color w:val="000000"/>
                <w:sz w:val="22"/>
                <w:szCs w:val="22"/>
              </w:rPr>
              <w:t>19</w:t>
            </w:r>
          </w:p>
        </w:tc>
        <w:tc>
          <w:tcPr>
            <w:tcW w:w="649" w:type="dxa"/>
            <w:vAlign w:val="center"/>
          </w:tcPr>
          <w:p w14:paraId="277AD4A6" w14:textId="4A657FDE" w:rsidR="00047933" w:rsidRPr="009C0A42" w:rsidRDefault="00F67969" w:rsidP="002B5B6E">
            <w:pPr>
              <w:pStyle w:val="Paragraph"/>
              <w:spacing w:after="0" w:line="240" w:lineRule="auto"/>
              <w:jc w:val="center"/>
              <w:rPr>
                <w:rFonts w:eastAsia="Calibri"/>
                <w:noProof/>
                <w:color w:val="000000"/>
                <w:sz w:val="22"/>
                <w:szCs w:val="22"/>
              </w:rPr>
            </w:pPr>
            <w:r>
              <w:rPr>
                <w:rFonts w:eastAsia="Calibri"/>
                <w:noProof/>
                <w:color w:val="000000"/>
                <w:sz w:val="22"/>
                <w:szCs w:val="22"/>
              </w:rPr>
              <w:t>110</w:t>
            </w:r>
          </w:p>
        </w:tc>
        <w:tc>
          <w:tcPr>
            <w:tcW w:w="665" w:type="dxa"/>
            <w:vAlign w:val="center"/>
          </w:tcPr>
          <w:p w14:paraId="2E3CB860" w14:textId="17DF545B" w:rsidR="00047933" w:rsidRPr="009C0A42" w:rsidRDefault="00F67969" w:rsidP="002B5B6E">
            <w:pPr>
              <w:pStyle w:val="Paragraph"/>
              <w:spacing w:after="0" w:line="240" w:lineRule="auto"/>
              <w:jc w:val="center"/>
              <w:rPr>
                <w:rFonts w:eastAsia="Calibri"/>
                <w:noProof/>
                <w:color w:val="000000"/>
                <w:sz w:val="22"/>
                <w:szCs w:val="22"/>
              </w:rPr>
            </w:pPr>
            <w:r>
              <w:rPr>
                <w:rFonts w:eastAsia="Calibri"/>
                <w:noProof/>
                <w:color w:val="000000"/>
                <w:sz w:val="22"/>
                <w:szCs w:val="22"/>
              </w:rPr>
              <w:t>393</w:t>
            </w:r>
          </w:p>
        </w:tc>
        <w:tc>
          <w:tcPr>
            <w:tcW w:w="632" w:type="dxa"/>
            <w:vAlign w:val="center"/>
          </w:tcPr>
          <w:p w14:paraId="6A7A0D12" w14:textId="73304C3C" w:rsidR="00047933" w:rsidRPr="009C0A42" w:rsidRDefault="002B5B6E" w:rsidP="002B5B6E">
            <w:pPr>
              <w:pStyle w:val="Paragraph"/>
              <w:spacing w:after="0" w:line="240" w:lineRule="auto"/>
              <w:jc w:val="center"/>
              <w:rPr>
                <w:rFonts w:eastAsia="Calibri"/>
                <w:noProof/>
                <w:color w:val="000000"/>
                <w:sz w:val="22"/>
                <w:szCs w:val="22"/>
              </w:rPr>
            </w:pPr>
            <w:r>
              <w:rPr>
                <w:rFonts w:eastAsia="Calibri"/>
                <w:noProof/>
                <w:color w:val="000000"/>
                <w:sz w:val="22"/>
                <w:szCs w:val="22"/>
              </w:rPr>
              <w:t>19</w:t>
            </w:r>
          </w:p>
        </w:tc>
        <w:tc>
          <w:tcPr>
            <w:tcW w:w="632" w:type="dxa"/>
            <w:vAlign w:val="center"/>
          </w:tcPr>
          <w:p w14:paraId="67544F57" w14:textId="4308F1EF" w:rsidR="00047933" w:rsidRPr="009C0A42" w:rsidRDefault="002B5B6E" w:rsidP="002B5B6E">
            <w:pPr>
              <w:pStyle w:val="Paragraph"/>
              <w:spacing w:after="0" w:line="240" w:lineRule="auto"/>
              <w:jc w:val="center"/>
              <w:rPr>
                <w:rFonts w:eastAsia="Calibri"/>
                <w:noProof/>
                <w:color w:val="000000"/>
                <w:sz w:val="22"/>
                <w:szCs w:val="22"/>
              </w:rPr>
            </w:pPr>
            <w:r>
              <w:rPr>
                <w:rFonts w:eastAsia="Calibri"/>
                <w:noProof/>
                <w:color w:val="000000"/>
                <w:sz w:val="22"/>
                <w:szCs w:val="22"/>
              </w:rPr>
              <w:t>33</w:t>
            </w:r>
          </w:p>
        </w:tc>
        <w:tc>
          <w:tcPr>
            <w:tcW w:w="632" w:type="dxa"/>
            <w:vAlign w:val="center"/>
          </w:tcPr>
          <w:p w14:paraId="2874BAB6" w14:textId="7AF0DA32" w:rsidR="00047933" w:rsidRPr="009C0A42" w:rsidRDefault="002B5B6E" w:rsidP="002B5B6E">
            <w:pPr>
              <w:pStyle w:val="Paragraph"/>
              <w:spacing w:after="0" w:line="240" w:lineRule="auto"/>
              <w:jc w:val="center"/>
              <w:rPr>
                <w:rFonts w:eastAsia="Calibri"/>
                <w:noProof/>
                <w:color w:val="000000"/>
                <w:sz w:val="22"/>
                <w:szCs w:val="22"/>
              </w:rPr>
            </w:pPr>
            <w:r>
              <w:rPr>
                <w:rFonts w:eastAsia="Calibri"/>
                <w:noProof/>
                <w:color w:val="000000"/>
                <w:sz w:val="22"/>
                <w:szCs w:val="22"/>
              </w:rPr>
              <w:t>3</w:t>
            </w:r>
          </w:p>
        </w:tc>
        <w:tc>
          <w:tcPr>
            <w:tcW w:w="657" w:type="dxa"/>
            <w:vAlign w:val="center"/>
          </w:tcPr>
          <w:p w14:paraId="212BA67F" w14:textId="4B10D200" w:rsidR="00047933" w:rsidRPr="009C0A42" w:rsidRDefault="002B5B6E" w:rsidP="002B5B6E">
            <w:pPr>
              <w:pStyle w:val="Paragraph"/>
              <w:spacing w:after="0" w:line="240" w:lineRule="auto"/>
              <w:jc w:val="center"/>
              <w:rPr>
                <w:rFonts w:eastAsia="Calibri"/>
                <w:noProof/>
                <w:color w:val="000000"/>
                <w:sz w:val="22"/>
                <w:szCs w:val="22"/>
              </w:rPr>
            </w:pPr>
            <w:r>
              <w:rPr>
                <w:rFonts w:eastAsia="Calibri"/>
                <w:noProof/>
                <w:color w:val="000000"/>
                <w:sz w:val="22"/>
                <w:szCs w:val="22"/>
              </w:rPr>
              <w:t>468</w:t>
            </w:r>
          </w:p>
        </w:tc>
        <w:tc>
          <w:tcPr>
            <w:tcW w:w="665" w:type="dxa"/>
            <w:vAlign w:val="center"/>
          </w:tcPr>
          <w:p w14:paraId="229F0977" w14:textId="3046683E" w:rsidR="00047933" w:rsidRPr="009C0A42" w:rsidRDefault="002B5B6E" w:rsidP="002B5B6E">
            <w:pPr>
              <w:pStyle w:val="Paragraph"/>
              <w:spacing w:after="0" w:line="240" w:lineRule="auto"/>
              <w:jc w:val="center"/>
              <w:rPr>
                <w:rFonts w:eastAsia="Calibri"/>
                <w:noProof/>
                <w:color w:val="000000"/>
                <w:sz w:val="22"/>
                <w:szCs w:val="22"/>
              </w:rPr>
            </w:pPr>
            <w:r>
              <w:rPr>
                <w:rFonts w:eastAsia="Calibri"/>
                <w:noProof/>
                <w:color w:val="000000"/>
                <w:sz w:val="22"/>
                <w:szCs w:val="22"/>
              </w:rPr>
              <w:t>73</w:t>
            </w:r>
          </w:p>
        </w:tc>
        <w:tc>
          <w:tcPr>
            <w:tcW w:w="601" w:type="dxa"/>
            <w:vAlign w:val="center"/>
          </w:tcPr>
          <w:p w14:paraId="4A3ADDF7" w14:textId="1CCA3B1A" w:rsidR="00047933" w:rsidRPr="009C0A42" w:rsidRDefault="002B5B6E" w:rsidP="0065549F">
            <w:pPr>
              <w:suppressAutoHyphens w:val="0"/>
              <w:jc w:val="center"/>
              <w:rPr>
                <w:rFonts w:ascii="Times New Roman" w:hAnsi="Times New Roman" w:cs="Times New Roman"/>
                <w:noProof/>
                <w:color w:val="000000"/>
              </w:rPr>
            </w:pPr>
            <w:r>
              <w:rPr>
                <w:rFonts w:ascii="Times New Roman" w:hAnsi="Times New Roman" w:cs="Times New Roman"/>
                <w:noProof/>
                <w:color w:val="000000"/>
              </w:rPr>
              <w:t>11</w:t>
            </w:r>
          </w:p>
        </w:tc>
        <w:tc>
          <w:tcPr>
            <w:tcW w:w="657" w:type="dxa"/>
            <w:vAlign w:val="center"/>
          </w:tcPr>
          <w:p w14:paraId="4F622E5D" w14:textId="14255685" w:rsidR="00047933" w:rsidRPr="00047933" w:rsidRDefault="00615A18" w:rsidP="002B5B6E">
            <w:pPr>
              <w:pStyle w:val="Paragraph"/>
              <w:spacing w:after="0" w:line="240" w:lineRule="auto"/>
              <w:jc w:val="center"/>
              <w:rPr>
                <w:rFonts w:eastAsia="Calibri"/>
                <w:b/>
                <w:bCs/>
                <w:noProof/>
                <w:color w:val="000000"/>
                <w:sz w:val="22"/>
                <w:szCs w:val="22"/>
              </w:rPr>
            </w:pPr>
            <w:r>
              <w:rPr>
                <w:rFonts w:eastAsia="Calibri"/>
                <w:b/>
                <w:bCs/>
                <w:noProof/>
                <w:color w:val="000000"/>
                <w:sz w:val="22"/>
                <w:szCs w:val="22"/>
              </w:rPr>
              <w:t>152</w:t>
            </w:r>
          </w:p>
        </w:tc>
      </w:tr>
    </w:tbl>
    <w:p w14:paraId="5A5660A5" w14:textId="77777777" w:rsidR="00425CCB" w:rsidRPr="00486446" w:rsidRDefault="00425CCB">
      <w:pPr>
        <w:rPr>
          <w:rFonts w:ascii="Times New Roman" w:eastAsia="Times New Roman" w:hAnsi="Times New Roman" w:cs="Times New Roman"/>
          <w:noProof/>
          <w:sz w:val="20"/>
          <w:szCs w:val="20"/>
          <w:shd w:val="clear" w:color="auto" w:fill="FFFFFF"/>
          <w:lang w:val="en-IE"/>
        </w:rPr>
      </w:pPr>
    </w:p>
    <w:p w14:paraId="015C17BE" w14:textId="77777777" w:rsidR="00E20F68" w:rsidRPr="00486446" w:rsidRDefault="00E20F68">
      <w:pPr>
        <w:rPr>
          <w:rFonts w:ascii="Times New Roman" w:eastAsia="Times New Roman" w:hAnsi="Times New Roman" w:cs="Times New Roman"/>
          <w:noProof/>
          <w:sz w:val="20"/>
          <w:szCs w:val="20"/>
          <w:shd w:val="clear" w:color="auto" w:fill="FFFFFF"/>
          <w:lang w:val="en-IE"/>
        </w:rPr>
      </w:pPr>
    </w:p>
    <w:p w14:paraId="534BBF35" w14:textId="77777777" w:rsidR="00A97CEC" w:rsidRDefault="00A97CEC">
      <w:pPr>
        <w:suppressAutoHyphens w:val="0"/>
        <w:rPr>
          <w:rFonts w:ascii="Times New Roman" w:eastAsia="MS Gothic" w:hAnsi="Times New Roman" w:cs="Times New Roman"/>
          <w:b/>
          <w:bCs/>
          <w:noProof/>
          <w:sz w:val="24"/>
          <w:szCs w:val="24"/>
        </w:rPr>
      </w:pPr>
      <w:bookmarkStart w:id="77" w:name="_Toc185237885"/>
      <w:bookmarkStart w:id="78" w:name="_Toc185239888"/>
      <w:bookmarkStart w:id="79" w:name="_Toc185264651"/>
      <w:bookmarkStart w:id="80" w:name="_Toc185525744"/>
      <w:bookmarkStart w:id="81" w:name="_Toc185591284"/>
      <w:r>
        <w:rPr>
          <w:rFonts w:ascii="Times New Roman" w:hAnsi="Times New Roman"/>
          <w:b/>
          <w:bCs/>
          <w:noProof/>
        </w:rPr>
        <w:br w:type="page"/>
      </w:r>
    </w:p>
    <w:p w14:paraId="54AC1952" w14:textId="102AE453" w:rsidR="00BB1E2F" w:rsidRPr="00007DF4" w:rsidRDefault="00BB1E2F" w:rsidP="0065549F">
      <w:pPr>
        <w:pStyle w:val="Heading3"/>
        <w:spacing w:before="0" w:after="160" w:line="250" w:lineRule="auto"/>
        <w:rPr>
          <w:rFonts w:ascii="Times New Roman" w:hAnsi="Times New Roman"/>
          <w:b/>
          <w:bCs/>
          <w:noProof/>
          <w:color w:val="auto"/>
        </w:rPr>
      </w:pPr>
      <w:bookmarkStart w:id="82" w:name="_Toc220103449"/>
      <w:r w:rsidRPr="00007DF4">
        <w:rPr>
          <w:rFonts w:ascii="Times New Roman" w:hAnsi="Times New Roman"/>
          <w:b/>
          <w:bCs/>
          <w:noProof/>
          <w:color w:val="auto"/>
        </w:rPr>
        <w:t>KPI 1</w:t>
      </w:r>
      <w:r w:rsidR="00255CB0">
        <w:rPr>
          <w:rFonts w:ascii="Times New Roman" w:hAnsi="Times New Roman"/>
          <w:b/>
          <w:bCs/>
          <w:noProof/>
          <w:color w:val="auto"/>
        </w:rPr>
        <w:t>4</w:t>
      </w:r>
      <w:r w:rsidRPr="00007DF4">
        <w:rPr>
          <w:rFonts w:ascii="Times New Roman" w:hAnsi="Times New Roman"/>
          <w:b/>
          <w:bCs/>
          <w:noProof/>
          <w:color w:val="auto"/>
        </w:rPr>
        <w:t>: Digital technologies adoption by companies</w:t>
      </w:r>
      <w:bookmarkEnd w:id="77"/>
      <w:bookmarkEnd w:id="78"/>
      <w:bookmarkEnd w:id="79"/>
      <w:bookmarkEnd w:id="80"/>
      <w:bookmarkEnd w:id="81"/>
      <w:bookmarkEnd w:id="82"/>
      <w:r w:rsidRPr="00007DF4">
        <w:rPr>
          <w:rFonts w:ascii="Times New Roman" w:hAnsi="Times New Roman"/>
          <w:b/>
          <w:bCs/>
          <w:noProof/>
          <w:color w:val="auto"/>
        </w:rPr>
        <w:t xml:space="preserve"> </w:t>
      </w:r>
    </w:p>
    <w:p w14:paraId="6480A479" w14:textId="0804C05D" w:rsidR="00053573" w:rsidRPr="00486446" w:rsidRDefault="00C57BAE" w:rsidP="006E0577">
      <w:pPr>
        <w:pStyle w:val="Paragraph"/>
        <w:spacing w:line="250" w:lineRule="auto"/>
        <w:rPr>
          <w:noProof/>
          <w:lang w:val="en-IE"/>
        </w:rPr>
      </w:pPr>
      <w:r w:rsidRPr="00486446">
        <w:rPr>
          <w:noProof/>
          <w:lang w:val="en-IE"/>
        </w:rPr>
        <w:t>KPI 1</w:t>
      </w:r>
      <w:r w:rsidR="00255CB0">
        <w:rPr>
          <w:noProof/>
          <w:lang w:val="en-IE"/>
        </w:rPr>
        <w:t>4</w:t>
      </w:r>
      <w:r w:rsidR="00BB1E2F" w:rsidRPr="00486446">
        <w:rPr>
          <w:noProof/>
          <w:lang w:val="en-IE"/>
        </w:rPr>
        <w:t xml:space="preserve"> measures the degree </w:t>
      </w:r>
      <w:r w:rsidR="000B2A04">
        <w:rPr>
          <w:noProof/>
          <w:lang w:val="en-IE"/>
        </w:rPr>
        <w:t>to which</w:t>
      </w:r>
      <w:r w:rsidR="00BB1E2F" w:rsidRPr="00486446">
        <w:rPr>
          <w:noProof/>
          <w:lang w:val="en-IE"/>
        </w:rPr>
        <w:t xml:space="preserve"> companies</w:t>
      </w:r>
      <w:r w:rsidR="000B2A04">
        <w:rPr>
          <w:noProof/>
          <w:lang w:val="en-IE"/>
        </w:rPr>
        <w:t xml:space="preserve"> are</w:t>
      </w:r>
      <w:r w:rsidR="00BB1E2F" w:rsidRPr="00486446">
        <w:rPr>
          <w:noProof/>
          <w:lang w:val="en-IE"/>
        </w:rPr>
        <w:t xml:space="preserve"> adopti</w:t>
      </w:r>
      <w:r w:rsidR="000B2A04">
        <w:rPr>
          <w:noProof/>
          <w:lang w:val="en-IE"/>
        </w:rPr>
        <w:t>ng</w:t>
      </w:r>
      <w:r w:rsidR="00BB1E2F" w:rsidRPr="00486446">
        <w:rPr>
          <w:noProof/>
          <w:lang w:val="en-IE"/>
        </w:rPr>
        <w:t xml:space="preserve"> </w:t>
      </w:r>
      <w:r w:rsidR="00E20F68" w:rsidRPr="00486446">
        <w:rPr>
          <w:noProof/>
          <w:lang w:val="en-IE"/>
        </w:rPr>
        <w:t xml:space="preserve">three key </w:t>
      </w:r>
      <w:r w:rsidR="00BB1E2F" w:rsidRPr="00486446">
        <w:rPr>
          <w:noProof/>
          <w:lang w:val="en-IE"/>
        </w:rPr>
        <w:t xml:space="preserve">digital technologies: </w:t>
      </w:r>
      <w:r w:rsidR="00E20F68" w:rsidRPr="00486446">
        <w:rPr>
          <w:noProof/>
          <w:lang w:val="en-IE"/>
        </w:rPr>
        <w:t xml:space="preserve">artificial intelligence (AI), </w:t>
      </w:r>
      <w:r w:rsidR="00BB1E2F" w:rsidRPr="00486446">
        <w:rPr>
          <w:noProof/>
          <w:lang w:val="en-IE"/>
        </w:rPr>
        <w:t>data analytics</w:t>
      </w:r>
      <w:r w:rsidR="00E20F68" w:rsidRPr="00486446">
        <w:rPr>
          <w:noProof/>
          <w:lang w:val="en-IE"/>
        </w:rPr>
        <w:t xml:space="preserve">, and </w:t>
      </w:r>
      <w:r w:rsidR="00BB1E2F" w:rsidRPr="00486446">
        <w:rPr>
          <w:noProof/>
          <w:lang w:val="en-IE"/>
        </w:rPr>
        <w:t>cloud</w:t>
      </w:r>
      <w:r w:rsidR="00E20F68" w:rsidRPr="00486446">
        <w:rPr>
          <w:noProof/>
          <w:lang w:val="en-IE"/>
        </w:rPr>
        <w:t>.</w:t>
      </w:r>
    </w:p>
    <w:p w14:paraId="42BC42F9" w14:textId="27FACE2B" w:rsidR="00BB1E2F" w:rsidRPr="00730C28" w:rsidRDefault="00F44B40" w:rsidP="006E0577">
      <w:pPr>
        <w:pStyle w:val="Source"/>
        <w:spacing w:line="250" w:lineRule="auto"/>
        <w:rPr>
          <w:noProof/>
          <w:sz w:val="24"/>
          <w:szCs w:val="24"/>
          <w:lang w:val="en-IE"/>
        </w:rPr>
      </w:pPr>
      <w:r w:rsidRPr="00730C28">
        <w:rPr>
          <w:noProof/>
          <w:sz w:val="24"/>
          <w:szCs w:val="24"/>
          <w:lang w:val="en-IE"/>
        </w:rPr>
        <w:t xml:space="preserve">The AI series </w:t>
      </w:r>
      <w:r w:rsidR="000B2A04">
        <w:rPr>
          <w:noProof/>
          <w:sz w:val="24"/>
          <w:szCs w:val="24"/>
          <w:lang w:val="en-IE"/>
        </w:rPr>
        <w:t>tracks</w:t>
      </w:r>
      <w:r w:rsidRPr="00730C28">
        <w:rPr>
          <w:noProof/>
          <w:sz w:val="24"/>
          <w:szCs w:val="24"/>
          <w:lang w:val="en-IE"/>
        </w:rPr>
        <w:t xml:space="preserve"> the percentage of businesses</w:t>
      </w:r>
      <w:r w:rsidRPr="00730C28">
        <w:rPr>
          <w:noProof/>
          <w:sz w:val="24"/>
          <w:szCs w:val="24"/>
        </w:rPr>
        <w:t xml:space="preserve"> </w:t>
      </w:r>
      <w:r w:rsidRPr="00730C28">
        <w:rPr>
          <w:noProof/>
          <w:sz w:val="24"/>
          <w:szCs w:val="24"/>
          <w:lang w:val="en-IE"/>
        </w:rPr>
        <w:t>employing 10 or more people</w:t>
      </w:r>
      <w:r w:rsidR="00133A90">
        <w:rPr>
          <w:noProof/>
          <w:sz w:val="24"/>
          <w:szCs w:val="24"/>
        </w:rPr>
        <w:t xml:space="preserve"> </w:t>
      </w:r>
      <w:r w:rsidRPr="00730C28">
        <w:rPr>
          <w:noProof/>
          <w:sz w:val="24"/>
          <w:szCs w:val="24"/>
          <w:lang w:val="en-IE"/>
        </w:rPr>
        <w:t xml:space="preserve">using at least one AI technology. </w:t>
      </w:r>
      <w:r w:rsidR="00BB1E2F" w:rsidRPr="00730C28">
        <w:rPr>
          <w:noProof/>
          <w:sz w:val="24"/>
          <w:szCs w:val="24"/>
          <w:lang w:val="en-IE"/>
        </w:rPr>
        <w:t xml:space="preserve">The data analytics series shows the percentage of businesses using data analytics tools. The cloud series </w:t>
      </w:r>
      <w:r w:rsidR="000840EF">
        <w:rPr>
          <w:noProof/>
          <w:sz w:val="24"/>
          <w:szCs w:val="24"/>
          <w:lang w:val="en-IE"/>
        </w:rPr>
        <w:t>track</w:t>
      </w:r>
      <w:r w:rsidR="00BB1E2F" w:rsidRPr="00730C28">
        <w:rPr>
          <w:noProof/>
          <w:sz w:val="24"/>
          <w:szCs w:val="24"/>
          <w:lang w:val="en-IE"/>
        </w:rPr>
        <w:t xml:space="preserve">s the percentage of businesses purchasing at least one </w:t>
      </w:r>
      <w:r w:rsidR="00EE2D43" w:rsidRPr="00EE2D43">
        <w:rPr>
          <w:noProof/>
          <w:sz w:val="24"/>
          <w:szCs w:val="24"/>
        </w:rPr>
        <w:t>intermediate or sophisticated cloud computing service</w:t>
      </w:r>
      <w:r w:rsidR="00BB1E2F" w:rsidRPr="00730C28">
        <w:rPr>
          <w:noProof/>
          <w:sz w:val="24"/>
          <w:szCs w:val="24"/>
          <w:lang w:val="en-IE"/>
        </w:rPr>
        <w:t>. The indicator is calculated for all businesses in manufacturing and service sectors, excluding the financial sector.</w:t>
      </w:r>
    </w:p>
    <w:p w14:paraId="2603B756" w14:textId="092B7842" w:rsidR="00F44B40" w:rsidRPr="00730C28" w:rsidRDefault="009E63D4" w:rsidP="006E0577">
      <w:pPr>
        <w:pStyle w:val="Source"/>
        <w:spacing w:line="250" w:lineRule="auto"/>
        <w:rPr>
          <w:noProof/>
          <w:color w:val="auto"/>
          <w:sz w:val="24"/>
          <w:szCs w:val="24"/>
          <w:lang w:val="en-IE"/>
        </w:rPr>
      </w:pPr>
      <w:r w:rsidRPr="00F97AA7">
        <w:rPr>
          <w:noProof/>
          <w:color w:val="auto"/>
          <w:sz w:val="24"/>
          <w:szCs w:val="24"/>
        </w:rPr>
        <w:t>By 202</w:t>
      </w:r>
      <w:r w:rsidR="006F0B84">
        <w:rPr>
          <w:noProof/>
          <w:color w:val="auto"/>
          <w:sz w:val="24"/>
          <w:szCs w:val="24"/>
        </w:rPr>
        <w:t>5</w:t>
      </w:r>
      <w:r w:rsidRPr="00F97AA7">
        <w:rPr>
          <w:noProof/>
          <w:color w:val="auto"/>
          <w:sz w:val="24"/>
          <w:szCs w:val="24"/>
        </w:rPr>
        <w:t xml:space="preserve">, </w:t>
      </w:r>
      <w:r w:rsidR="008234D6">
        <w:rPr>
          <w:noProof/>
          <w:color w:val="auto"/>
          <w:sz w:val="24"/>
          <w:szCs w:val="24"/>
        </w:rPr>
        <w:t>the rate of</w:t>
      </w:r>
      <w:r w:rsidRPr="00F97AA7">
        <w:rPr>
          <w:noProof/>
          <w:color w:val="auto"/>
          <w:sz w:val="24"/>
          <w:szCs w:val="24"/>
        </w:rPr>
        <w:t xml:space="preserve"> adoption of AI, cloud and/or </w:t>
      </w:r>
      <w:r w:rsidR="5F1F6E3E" w:rsidRPr="3A1B578A">
        <w:rPr>
          <w:noProof/>
          <w:color w:val="auto"/>
          <w:sz w:val="24"/>
          <w:szCs w:val="24"/>
        </w:rPr>
        <w:t>dataanalytics</w:t>
      </w:r>
      <w:r w:rsidRPr="00F97AA7">
        <w:rPr>
          <w:noProof/>
          <w:color w:val="auto"/>
          <w:sz w:val="24"/>
          <w:szCs w:val="24"/>
        </w:rPr>
        <w:t xml:space="preserve"> by businesses </w:t>
      </w:r>
      <w:r w:rsidR="00E3333F">
        <w:rPr>
          <w:noProof/>
          <w:color w:val="auto"/>
          <w:sz w:val="24"/>
          <w:szCs w:val="24"/>
        </w:rPr>
        <w:t xml:space="preserve">in the </w:t>
      </w:r>
      <w:r w:rsidR="00E3333F" w:rsidRPr="00F97AA7">
        <w:rPr>
          <w:noProof/>
          <w:color w:val="auto"/>
          <w:sz w:val="24"/>
          <w:szCs w:val="24"/>
        </w:rPr>
        <w:t xml:space="preserve">EU </w:t>
      </w:r>
      <w:r w:rsidRPr="00F97AA7">
        <w:rPr>
          <w:noProof/>
          <w:color w:val="auto"/>
          <w:sz w:val="24"/>
          <w:szCs w:val="24"/>
        </w:rPr>
        <w:t xml:space="preserve">had improved, but </w:t>
      </w:r>
      <w:r w:rsidR="00E3333F">
        <w:rPr>
          <w:noProof/>
          <w:color w:val="auto"/>
          <w:sz w:val="24"/>
          <w:szCs w:val="24"/>
        </w:rPr>
        <w:t>it</w:t>
      </w:r>
      <w:r w:rsidRPr="00F97AA7">
        <w:rPr>
          <w:noProof/>
          <w:color w:val="auto"/>
          <w:sz w:val="24"/>
          <w:szCs w:val="24"/>
        </w:rPr>
        <w:t xml:space="preserve"> remains well below the 75% target for 2030</w:t>
      </w:r>
      <w:r w:rsidR="005B0C0C" w:rsidRPr="00F97AA7">
        <w:rPr>
          <w:noProof/>
          <w:color w:val="auto"/>
          <w:sz w:val="24"/>
          <w:szCs w:val="24"/>
        </w:rPr>
        <w:t>.</w:t>
      </w:r>
      <w:r w:rsidRPr="00F97AA7">
        <w:rPr>
          <w:noProof/>
          <w:color w:val="auto"/>
          <w:sz w:val="24"/>
          <w:szCs w:val="24"/>
        </w:rPr>
        <w:t xml:space="preserve"> </w:t>
      </w:r>
    </w:p>
    <w:p w14:paraId="61ADDA44" w14:textId="395463DC" w:rsidR="00CC12B5" w:rsidRPr="00486446" w:rsidRDefault="00BB1E2F" w:rsidP="006E0577">
      <w:pPr>
        <w:pStyle w:val="Paragraph"/>
        <w:spacing w:line="250" w:lineRule="auto"/>
        <w:rPr>
          <w:noProof/>
          <w:lang w:val="en-IE"/>
        </w:rPr>
      </w:pPr>
      <w:r w:rsidRPr="00486446">
        <w:rPr>
          <w:b/>
          <w:bCs/>
          <w:noProof/>
          <w:lang w:val="en-IE"/>
        </w:rPr>
        <w:t>Figure 1</w:t>
      </w:r>
      <w:r w:rsidR="00255CB0">
        <w:rPr>
          <w:b/>
          <w:bCs/>
          <w:noProof/>
          <w:lang w:val="en-IE"/>
        </w:rPr>
        <w:t>4</w:t>
      </w:r>
      <w:r w:rsidR="003C4574" w:rsidRPr="00486446">
        <w:rPr>
          <w:b/>
          <w:bCs/>
          <w:noProof/>
          <w:lang w:val="en-IE"/>
        </w:rPr>
        <w:t>a</w:t>
      </w:r>
      <w:r w:rsidRPr="00486446">
        <w:rPr>
          <w:noProof/>
          <w:lang w:val="en-IE"/>
        </w:rPr>
        <w:t xml:space="preserve">: </w:t>
      </w:r>
      <w:r w:rsidR="00F2513D" w:rsidRPr="00486446">
        <w:rPr>
          <w:noProof/>
          <w:lang w:val="en-IE"/>
        </w:rPr>
        <w:t>Digital technologies adoption by companies</w:t>
      </w:r>
      <w:r w:rsidR="003C4574" w:rsidRPr="00486446">
        <w:rPr>
          <w:noProof/>
          <w:lang w:val="en-IE"/>
        </w:rPr>
        <w:t xml:space="preserve"> in the Member States</w:t>
      </w:r>
      <w:r w:rsidR="0040726C" w:rsidRPr="00486446">
        <w:rPr>
          <w:noProof/>
          <w:lang w:val="en-IE"/>
        </w:rPr>
        <w:t>.</w:t>
      </w:r>
    </w:p>
    <w:p w14:paraId="4F6AC5CB" w14:textId="06A8142C" w:rsidR="00937B80" w:rsidRPr="00486446" w:rsidRDefault="00DE5AA0" w:rsidP="001F0685">
      <w:pPr>
        <w:pStyle w:val="Paragraph"/>
        <w:jc w:val="left"/>
        <w:rPr>
          <w:noProof/>
          <w:lang w:val="en-IE"/>
        </w:rPr>
      </w:pPr>
      <w:r>
        <w:rPr>
          <w:noProof/>
          <w:lang w:eastAsia="en-GB"/>
        </w:rPr>
        <w:drawing>
          <wp:inline distT="0" distB="0" distL="0" distR="0" wp14:anchorId="2AF2535F" wp14:editId="714F3B09">
            <wp:extent cx="5731510" cy="2758440"/>
            <wp:effectExtent l="0" t="0" r="2540" b="3810"/>
            <wp:docPr id="14528569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56982"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5731510" cy="2758440"/>
                    </a:xfrm>
                    <a:prstGeom prst="rect">
                      <a:avLst/>
                    </a:prstGeom>
                  </pic:spPr>
                </pic:pic>
              </a:graphicData>
            </a:graphic>
          </wp:inline>
        </w:drawing>
      </w:r>
    </w:p>
    <w:p w14:paraId="46C72999" w14:textId="7587D1F9" w:rsidR="008C3A12" w:rsidRPr="00486446" w:rsidRDefault="003C4574" w:rsidP="006E0577">
      <w:pPr>
        <w:pStyle w:val="Paragraph"/>
        <w:spacing w:line="250" w:lineRule="auto"/>
        <w:rPr>
          <w:noProof/>
          <w:lang w:val="en-IE"/>
        </w:rPr>
      </w:pPr>
      <w:r w:rsidRPr="00486446">
        <w:rPr>
          <w:b/>
          <w:bCs/>
          <w:noProof/>
          <w:lang w:val="en-IE"/>
        </w:rPr>
        <w:t>Figure 1</w:t>
      </w:r>
      <w:r w:rsidR="00255CB0">
        <w:rPr>
          <w:b/>
          <w:bCs/>
          <w:noProof/>
          <w:lang w:val="en-IE"/>
        </w:rPr>
        <w:t>4</w:t>
      </w:r>
      <w:r w:rsidRPr="00486446">
        <w:rPr>
          <w:b/>
          <w:bCs/>
          <w:noProof/>
          <w:lang w:val="en-IE"/>
        </w:rPr>
        <w:t>b</w:t>
      </w:r>
      <w:r w:rsidRPr="00486446">
        <w:rPr>
          <w:noProof/>
          <w:lang w:val="en-IE"/>
        </w:rPr>
        <w:t xml:space="preserve">: </w:t>
      </w:r>
      <w:r w:rsidR="00180E5D">
        <w:rPr>
          <w:noProof/>
          <w:lang w:val="en-IE"/>
        </w:rPr>
        <w:t xml:space="preserve">Evolution of the </w:t>
      </w:r>
      <w:r w:rsidRPr="00486446">
        <w:rPr>
          <w:noProof/>
          <w:lang w:val="en-IE"/>
        </w:rPr>
        <w:t>EU average digital technologies adoption by companies.</w:t>
      </w:r>
    </w:p>
    <w:p w14:paraId="4956FD88" w14:textId="0DD9343A" w:rsidR="003C4574" w:rsidRPr="00486446" w:rsidRDefault="00144563" w:rsidP="00302A3D">
      <w:pPr>
        <w:pStyle w:val="Source"/>
        <w:jc w:val="center"/>
        <w:rPr>
          <w:noProof/>
          <w:color w:val="auto"/>
          <w:lang w:val="en-IE"/>
        </w:rPr>
      </w:pPr>
      <w:r>
        <w:rPr>
          <w:noProof/>
          <w:lang w:eastAsia="en-GB"/>
        </w:rPr>
        <w:drawing>
          <wp:inline distT="0" distB="0" distL="0" distR="0" wp14:anchorId="05CC92B5" wp14:editId="1424D3DE">
            <wp:extent cx="5381625" cy="2324100"/>
            <wp:effectExtent l="0" t="0" r="9525" b="0"/>
            <wp:docPr id="20849715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971567" name=""/>
                    <pic:cNvPicPr/>
                  </pic:nvPicPr>
                  <pic:blipFill>
                    <a:blip r:embed="rId74">
                      <a:extLst>
                        <a:ext uri="{96DAC541-7B7A-43D3-8B79-37D633B846F1}">
                          <asvg:svgBlip xmlns:asvg="http://schemas.microsoft.com/office/drawing/2016/SVG/main" r:embed="rId75"/>
                        </a:ext>
                      </a:extLst>
                    </a:blip>
                    <a:stretch>
                      <a:fillRect/>
                    </a:stretch>
                  </pic:blipFill>
                  <pic:spPr>
                    <a:xfrm>
                      <a:off x="0" y="0"/>
                      <a:ext cx="5381625" cy="2324100"/>
                    </a:xfrm>
                    <a:prstGeom prst="rect">
                      <a:avLst/>
                    </a:prstGeom>
                  </pic:spPr>
                </pic:pic>
              </a:graphicData>
            </a:graphic>
          </wp:inline>
        </w:drawing>
      </w:r>
      <w:r w:rsidDel="00144563">
        <w:rPr>
          <w:noProof/>
        </w:rPr>
        <w:t xml:space="preserve"> </w:t>
      </w:r>
    </w:p>
    <w:p w14:paraId="5CD72DE5" w14:textId="6B31E0EF" w:rsidR="00A97CEC" w:rsidRDefault="00BB1E2F" w:rsidP="00A97CEC">
      <w:pPr>
        <w:pStyle w:val="Source"/>
        <w:rPr>
          <w:rFonts w:eastAsia="MS Gothic"/>
          <w:b/>
          <w:bCs/>
          <w:noProof/>
          <w:sz w:val="24"/>
          <w:szCs w:val="24"/>
        </w:rPr>
      </w:pPr>
      <w:r w:rsidRPr="00486446">
        <w:rPr>
          <w:noProof/>
          <w:color w:val="auto"/>
          <w:lang w:val="en-IE"/>
        </w:rPr>
        <w:t xml:space="preserve">Source: </w:t>
      </w:r>
      <w:r w:rsidR="00F2513D" w:rsidRPr="00486446">
        <w:rPr>
          <w:noProof/>
          <w:color w:val="auto"/>
          <w:lang w:val="en-IE"/>
        </w:rPr>
        <w:t>European Commission</w:t>
      </w:r>
      <w:r w:rsidR="00110FC6">
        <w:rPr>
          <w:noProof/>
          <w:color w:val="auto"/>
          <w:lang w:val="en-IE"/>
        </w:rPr>
        <w:t xml:space="preserve"> services</w:t>
      </w:r>
      <w:r w:rsidR="00F2513D" w:rsidRPr="00486446">
        <w:rPr>
          <w:noProof/>
          <w:color w:val="auto"/>
          <w:lang w:val="en-IE"/>
        </w:rPr>
        <w:t>, Digital Economy and Society Index</w:t>
      </w:r>
      <w:bookmarkStart w:id="83" w:name="_Toc183515546"/>
      <w:bookmarkStart w:id="84" w:name="_Toc185237887"/>
      <w:bookmarkStart w:id="85" w:name="_Toc185239890"/>
      <w:bookmarkStart w:id="86" w:name="_Toc185264653"/>
      <w:bookmarkStart w:id="87" w:name="_Toc185525746"/>
      <w:bookmarkStart w:id="88" w:name="_Toc185591286"/>
      <w:r w:rsidR="00A97CEC">
        <w:rPr>
          <w:b/>
          <w:bCs/>
          <w:noProof/>
          <w:color w:val="auto"/>
        </w:rPr>
        <w:br w:type="page"/>
      </w:r>
    </w:p>
    <w:p w14:paraId="34E83665" w14:textId="768F429A" w:rsidR="00053573" w:rsidRPr="00007DF4" w:rsidRDefault="00053573" w:rsidP="0065549F">
      <w:pPr>
        <w:pStyle w:val="Heading3"/>
        <w:spacing w:before="0" w:after="160" w:line="250" w:lineRule="auto"/>
        <w:rPr>
          <w:rFonts w:ascii="Times New Roman" w:hAnsi="Times New Roman"/>
          <w:b/>
          <w:bCs/>
          <w:noProof/>
          <w:color w:val="auto"/>
        </w:rPr>
      </w:pPr>
      <w:bookmarkStart w:id="89" w:name="_Toc220103450"/>
      <w:r w:rsidRPr="00007DF4">
        <w:rPr>
          <w:rFonts w:ascii="Times New Roman" w:hAnsi="Times New Roman"/>
          <w:b/>
          <w:bCs/>
          <w:noProof/>
          <w:color w:val="auto"/>
        </w:rPr>
        <w:t>KPI 1</w:t>
      </w:r>
      <w:r w:rsidR="00255CB0">
        <w:rPr>
          <w:rFonts w:ascii="Times New Roman" w:hAnsi="Times New Roman"/>
          <w:b/>
          <w:bCs/>
          <w:noProof/>
          <w:color w:val="auto"/>
        </w:rPr>
        <w:t>5</w:t>
      </w:r>
      <w:r w:rsidRPr="00007DF4">
        <w:rPr>
          <w:rFonts w:ascii="Times New Roman" w:hAnsi="Times New Roman"/>
          <w:b/>
          <w:bCs/>
          <w:noProof/>
          <w:color w:val="auto"/>
        </w:rPr>
        <w:t>: Employment rate</w:t>
      </w:r>
      <w:bookmarkEnd w:id="83"/>
      <w:bookmarkEnd w:id="84"/>
      <w:bookmarkEnd w:id="85"/>
      <w:bookmarkEnd w:id="86"/>
      <w:bookmarkEnd w:id="87"/>
      <w:bookmarkEnd w:id="88"/>
      <w:bookmarkEnd w:id="89"/>
      <w:r w:rsidRPr="00007DF4">
        <w:rPr>
          <w:rFonts w:ascii="Times New Roman" w:hAnsi="Times New Roman"/>
          <w:b/>
          <w:bCs/>
          <w:noProof/>
          <w:color w:val="auto"/>
        </w:rPr>
        <w:t xml:space="preserve"> </w:t>
      </w:r>
    </w:p>
    <w:p w14:paraId="4B7B9D9A" w14:textId="13F38E36" w:rsidR="00053573" w:rsidRPr="00486446" w:rsidRDefault="00D962B1" w:rsidP="006E0577">
      <w:pPr>
        <w:pStyle w:val="Paragraph"/>
        <w:spacing w:line="250" w:lineRule="auto"/>
        <w:rPr>
          <w:noProof/>
          <w:lang w:val="en-IE"/>
        </w:rPr>
      </w:pPr>
      <w:r w:rsidRPr="00486446">
        <w:rPr>
          <w:noProof/>
          <w:lang w:val="en-IE"/>
        </w:rPr>
        <w:t>KPI 1</w:t>
      </w:r>
      <w:r w:rsidR="00255CB0">
        <w:rPr>
          <w:noProof/>
          <w:lang w:val="en-IE"/>
        </w:rPr>
        <w:t>5</w:t>
      </w:r>
      <w:r w:rsidR="00053573" w:rsidRPr="00486446">
        <w:rPr>
          <w:noProof/>
          <w:lang w:val="en-IE"/>
        </w:rPr>
        <w:t xml:space="preserve"> shows the trends in employment rates of people </w:t>
      </w:r>
      <w:r w:rsidR="0070142C">
        <w:rPr>
          <w:noProof/>
          <w:lang w:val="en-IE"/>
        </w:rPr>
        <w:t>of working</w:t>
      </w:r>
      <w:r w:rsidR="00FF5C5A">
        <w:rPr>
          <w:noProof/>
          <w:lang w:val="en-IE"/>
        </w:rPr>
        <w:t xml:space="preserve">- </w:t>
      </w:r>
      <w:r w:rsidR="00053573" w:rsidRPr="00486446">
        <w:rPr>
          <w:noProof/>
          <w:lang w:val="en-IE"/>
        </w:rPr>
        <w:t>age</w:t>
      </w:r>
      <w:r w:rsidR="0070142C">
        <w:rPr>
          <w:noProof/>
          <w:lang w:val="en-IE"/>
        </w:rPr>
        <w:t xml:space="preserve"> between</w:t>
      </w:r>
      <w:r w:rsidR="00053573" w:rsidRPr="00486446">
        <w:rPr>
          <w:noProof/>
          <w:lang w:val="en-IE"/>
        </w:rPr>
        <w:t xml:space="preserve"> 20 to 64 in the EU, </w:t>
      </w:r>
      <w:r w:rsidRPr="00486446">
        <w:rPr>
          <w:noProof/>
          <w:lang w:val="en-IE"/>
        </w:rPr>
        <w:t xml:space="preserve">US, UK and </w:t>
      </w:r>
      <w:r w:rsidR="00053573" w:rsidRPr="00486446">
        <w:rPr>
          <w:noProof/>
          <w:lang w:val="en-IE"/>
        </w:rPr>
        <w:t>Japan.</w:t>
      </w:r>
    </w:p>
    <w:p w14:paraId="70060D93" w14:textId="771BAE2B" w:rsidR="00D962B1" w:rsidRDefault="00730C28" w:rsidP="006E0577">
      <w:pPr>
        <w:spacing w:after="160" w:line="250" w:lineRule="auto"/>
        <w:jc w:val="both"/>
        <w:rPr>
          <w:rFonts w:ascii="Times New Roman" w:eastAsia="Times New Roman" w:hAnsi="Times New Roman" w:cs="Times New Roman"/>
          <w:noProof/>
          <w:sz w:val="24"/>
          <w:szCs w:val="24"/>
          <w:shd w:val="clear" w:color="auto" w:fill="FFFFFF"/>
          <w:lang w:val="en-IE"/>
        </w:rPr>
      </w:pPr>
      <w:r w:rsidRPr="0065549F">
        <w:rPr>
          <w:rFonts w:ascii="Times New Roman" w:eastAsia="Times New Roman" w:hAnsi="Times New Roman" w:cs="Times New Roman"/>
          <w:noProof/>
          <w:sz w:val="24"/>
          <w:szCs w:val="24"/>
          <w:shd w:val="clear" w:color="auto" w:fill="FFFFFF"/>
          <w:lang w:val="en-IE"/>
        </w:rPr>
        <w:t xml:space="preserve">Employment rates </w:t>
      </w:r>
      <w:r>
        <w:rPr>
          <w:rFonts w:ascii="Times New Roman" w:eastAsia="Times New Roman" w:hAnsi="Times New Roman" w:cs="Times New Roman"/>
          <w:noProof/>
          <w:sz w:val="24"/>
          <w:szCs w:val="24"/>
          <w:shd w:val="clear" w:color="auto" w:fill="FFFFFF"/>
          <w:lang w:val="en-IE"/>
        </w:rPr>
        <w:t xml:space="preserve">in the EU </w:t>
      </w:r>
      <w:r w:rsidRPr="0065549F">
        <w:rPr>
          <w:rFonts w:ascii="Times New Roman" w:eastAsia="Times New Roman" w:hAnsi="Times New Roman" w:cs="Times New Roman"/>
          <w:noProof/>
          <w:sz w:val="24"/>
          <w:szCs w:val="24"/>
          <w:shd w:val="clear" w:color="auto" w:fill="FFFFFF"/>
          <w:lang w:val="en-IE"/>
        </w:rPr>
        <w:t xml:space="preserve">are steadily increasing and on track to meet the EU’s headline target of 78% in 2030. The EU employment rate reached a record high of 75.8% in 2024, driven partly by increasing participation of older people, women and migrants in the work force. This performance is mostly in line with the US, but below </w:t>
      </w:r>
      <w:r w:rsidR="00B52AB2">
        <w:rPr>
          <w:rFonts w:ascii="Times New Roman" w:eastAsia="Times New Roman" w:hAnsi="Times New Roman" w:cs="Times New Roman"/>
          <w:noProof/>
          <w:sz w:val="24"/>
          <w:szCs w:val="24"/>
          <w:shd w:val="clear" w:color="auto" w:fill="FFFFFF"/>
          <w:lang w:val="en-IE"/>
        </w:rPr>
        <w:t xml:space="preserve">the </w:t>
      </w:r>
      <w:r w:rsidRPr="0065549F">
        <w:rPr>
          <w:rFonts w:ascii="Times New Roman" w:eastAsia="Times New Roman" w:hAnsi="Times New Roman" w:cs="Times New Roman"/>
          <w:noProof/>
          <w:sz w:val="24"/>
          <w:szCs w:val="24"/>
          <w:shd w:val="clear" w:color="auto" w:fill="FFFFFF"/>
          <w:lang w:val="en-IE"/>
        </w:rPr>
        <w:t xml:space="preserve">trends </w:t>
      </w:r>
      <w:r w:rsidR="00B52AB2">
        <w:rPr>
          <w:rFonts w:ascii="Times New Roman" w:eastAsia="Times New Roman" w:hAnsi="Times New Roman" w:cs="Times New Roman"/>
          <w:noProof/>
          <w:sz w:val="24"/>
          <w:szCs w:val="24"/>
          <w:shd w:val="clear" w:color="auto" w:fill="FFFFFF"/>
          <w:lang w:val="en-IE"/>
        </w:rPr>
        <w:t xml:space="preserve">seen </w:t>
      </w:r>
      <w:r w:rsidRPr="0065549F">
        <w:rPr>
          <w:rFonts w:ascii="Times New Roman" w:eastAsia="Times New Roman" w:hAnsi="Times New Roman" w:cs="Times New Roman"/>
          <w:noProof/>
          <w:sz w:val="24"/>
          <w:szCs w:val="24"/>
          <w:shd w:val="clear" w:color="auto" w:fill="FFFFFF"/>
          <w:lang w:val="en-IE"/>
        </w:rPr>
        <w:t>in Japan and the UK.</w:t>
      </w:r>
    </w:p>
    <w:p w14:paraId="1160EC94" w14:textId="77777777" w:rsidR="000C0B93" w:rsidRDefault="000C0B93" w:rsidP="006E0577">
      <w:pPr>
        <w:spacing w:after="160" w:line="250" w:lineRule="auto"/>
        <w:jc w:val="both"/>
        <w:rPr>
          <w:rFonts w:ascii="Times New Roman" w:eastAsia="Times New Roman" w:hAnsi="Times New Roman" w:cs="Times New Roman"/>
          <w:noProof/>
          <w:sz w:val="24"/>
          <w:szCs w:val="24"/>
          <w:shd w:val="clear" w:color="auto" w:fill="FFFFFF"/>
          <w:lang w:val="en-IE"/>
        </w:rPr>
      </w:pPr>
    </w:p>
    <w:p w14:paraId="2951EA04" w14:textId="01A379C0" w:rsidR="00D24C27" w:rsidRPr="00486446" w:rsidRDefault="00053573" w:rsidP="006E0577">
      <w:pPr>
        <w:pStyle w:val="Figurecaption"/>
        <w:spacing w:line="250" w:lineRule="auto"/>
        <w:jc w:val="both"/>
        <w:rPr>
          <w:rFonts w:eastAsia="Times New Roman" w:cs="Times New Roman"/>
          <w:iCs w:val="0"/>
          <w:noProof/>
          <w:szCs w:val="24"/>
          <w:lang w:val="en-IE"/>
        </w:rPr>
      </w:pPr>
      <w:r w:rsidRPr="00486446">
        <w:rPr>
          <w:rFonts w:cs="Times New Roman"/>
          <w:b/>
          <w:bCs/>
          <w:noProof/>
          <w:lang w:val="en-IE"/>
        </w:rPr>
        <w:t>Figure 1</w:t>
      </w:r>
      <w:r w:rsidR="00255CB0">
        <w:rPr>
          <w:rFonts w:cs="Times New Roman"/>
          <w:b/>
          <w:bCs/>
          <w:noProof/>
          <w:lang w:val="en-IE"/>
        </w:rPr>
        <w:t>5</w:t>
      </w:r>
      <w:r w:rsidRPr="00486446">
        <w:rPr>
          <w:rFonts w:cs="Times New Roman"/>
          <w:noProof/>
          <w:lang w:val="en-IE"/>
        </w:rPr>
        <w:t xml:space="preserve">: </w:t>
      </w:r>
      <w:r w:rsidRPr="00486446">
        <w:rPr>
          <w:rFonts w:eastAsia="Times New Roman" w:cs="Times New Roman"/>
          <w:iCs w:val="0"/>
          <w:noProof/>
          <w:szCs w:val="24"/>
          <w:lang w:val="en-IE"/>
        </w:rPr>
        <w:t>Employment rate</w:t>
      </w:r>
      <w:r w:rsidR="00D962B1" w:rsidRPr="00486446">
        <w:rPr>
          <w:rFonts w:eastAsia="Times New Roman" w:cs="Times New Roman"/>
          <w:iCs w:val="0"/>
          <w:noProof/>
          <w:szCs w:val="24"/>
          <w:lang w:val="en-IE"/>
        </w:rPr>
        <w:t xml:space="preserve"> in the EU and other advanced economies.</w:t>
      </w:r>
    </w:p>
    <w:p w14:paraId="28B95A22" w14:textId="45E3DDF5" w:rsidR="00221B7C" w:rsidRPr="00486446" w:rsidRDefault="00B70108" w:rsidP="00F67DF7">
      <w:pPr>
        <w:pStyle w:val="Source"/>
        <w:jc w:val="center"/>
        <w:rPr>
          <w:noProof/>
          <w:color w:val="auto"/>
          <w:lang w:val="fr-FR"/>
        </w:rPr>
      </w:pPr>
      <w:r>
        <w:rPr>
          <w:noProof/>
          <w:lang w:eastAsia="en-GB"/>
        </w:rPr>
        <w:drawing>
          <wp:inline distT="0" distB="0" distL="0" distR="0" wp14:anchorId="6E7023F8" wp14:editId="4C1D59B0">
            <wp:extent cx="5731510" cy="3340100"/>
            <wp:effectExtent l="0" t="0" r="2540" b="0"/>
            <wp:docPr id="1910618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1829" name=""/>
                    <pic:cNvPicPr/>
                  </pic:nvPicPr>
                  <pic:blipFill>
                    <a:blip r:embed="rId76">
                      <a:extLst>
                        <a:ext uri="{96DAC541-7B7A-43D3-8B79-37D633B846F1}">
                          <asvg:svgBlip xmlns:asvg="http://schemas.microsoft.com/office/drawing/2016/SVG/main" r:embed="rId77"/>
                        </a:ext>
                      </a:extLst>
                    </a:blip>
                    <a:stretch>
                      <a:fillRect/>
                    </a:stretch>
                  </pic:blipFill>
                  <pic:spPr>
                    <a:xfrm>
                      <a:off x="0" y="0"/>
                      <a:ext cx="5731510" cy="3340100"/>
                    </a:xfrm>
                    <a:prstGeom prst="rect">
                      <a:avLst/>
                    </a:prstGeom>
                  </pic:spPr>
                </pic:pic>
              </a:graphicData>
            </a:graphic>
          </wp:inline>
        </w:drawing>
      </w:r>
    </w:p>
    <w:p w14:paraId="2D197BF2" w14:textId="2B90A883" w:rsidR="00053573" w:rsidRPr="00486446" w:rsidRDefault="00053573" w:rsidP="0065549F">
      <w:pPr>
        <w:pStyle w:val="Source"/>
        <w:spacing w:line="250" w:lineRule="auto"/>
        <w:rPr>
          <w:noProof/>
          <w:color w:val="auto"/>
          <w:lang w:val="fr-FR"/>
        </w:rPr>
      </w:pPr>
      <w:r w:rsidRPr="00486446">
        <w:rPr>
          <w:noProof/>
          <w:color w:val="auto"/>
          <w:lang w:val="fr-FR"/>
        </w:rPr>
        <w:t xml:space="preserve">Sources: </w:t>
      </w:r>
      <w:r w:rsidR="00F30626">
        <w:rPr>
          <w:noProof/>
          <w:color w:val="auto"/>
          <w:lang w:val="fr-FR"/>
        </w:rPr>
        <w:t xml:space="preserve">EU: </w:t>
      </w:r>
      <w:r w:rsidRPr="00486446">
        <w:rPr>
          <w:noProof/>
          <w:color w:val="auto"/>
          <w:lang w:val="fr-FR"/>
        </w:rPr>
        <w:t>Eurostat</w:t>
      </w:r>
      <w:r w:rsidR="00E74915" w:rsidRPr="00486446">
        <w:rPr>
          <w:noProof/>
          <w:color w:val="auto"/>
          <w:lang w:val="fr-FR"/>
        </w:rPr>
        <w:t>; EU</w:t>
      </w:r>
      <w:r w:rsidRPr="00486446">
        <w:rPr>
          <w:noProof/>
          <w:color w:val="auto"/>
          <w:lang w:val="fr-FR"/>
        </w:rPr>
        <w:t xml:space="preserve"> Labour Force Survey </w:t>
      </w:r>
      <w:r w:rsidR="00E74915" w:rsidRPr="00486446">
        <w:rPr>
          <w:noProof/>
          <w:color w:val="auto"/>
          <w:lang w:val="fr-FR"/>
        </w:rPr>
        <w:t>(2024)</w:t>
      </w:r>
      <w:r w:rsidR="00F30626">
        <w:rPr>
          <w:noProof/>
          <w:color w:val="auto"/>
          <w:lang w:val="fr-FR"/>
        </w:rPr>
        <w:t xml:space="preserve">; </w:t>
      </w:r>
      <w:r w:rsidR="00D379B4">
        <w:rPr>
          <w:noProof/>
          <w:color w:val="auto"/>
          <w:lang w:val="fr-FR"/>
        </w:rPr>
        <w:t>Japan, UK, USA:</w:t>
      </w:r>
      <w:r w:rsidR="00410B86">
        <w:rPr>
          <w:noProof/>
          <w:color w:val="auto"/>
          <w:lang w:val="fr-FR"/>
        </w:rPr>
        <w:t xml:space="preserve"> Labour Force Survey</w:t>
      </w:r>
    </w:p>
    <w:p w14:paraId="4492D49D" w14:textId="5924FB47" w:rsidR="00053573" w:rsidRPr="00486446" w:rsidRDefault="00053573" w:rsidP="0065549F">
      <w:pPr>
        <w:spacing w:after="160" w:line="250" w:lineRule="auto"/>
        <w:jc w:val="both"/>
        <w:rPr>
          <w:rFonts w:ascii="Times New Roman" w:eastAsia="Times New Roman" w:hAnsi="Times New Roman" w:cs="Times New Roman"/>
          <w:noProof/>
          <w:sz w:val="24"/>
          <w:szCs w:val="24"/>
          <w:lang w:val="en-IE"/>
        </w:rPr>
      </w:pPr>
      <w:r w:rsidRPr="00486446">
        <w:rPr>
          <w:rFonts w:ascii="Times New Roman" w:eastAsia="Times New Roman" w:hAnsi="Times New Roman" w:cs="Times New Roman"/>
          <w:noProof/>
          <w:sz w:val="24"/>
          <w:szCs w:val="24"/>
          <w:lang w:val="en-IE"/>
        </w:rPr>
        <w:t>National data</w:t>
      </w:r>
      <w:r w:rsidR="00807E10" w:rsidRPr="00486446">
        <w:rPr>
          <w:rFonts w:ascii="Times New Roman" w:eastAsia="Times New Roman" w:hAnsi="Times New Roman" w:cs="Times New Roman"/>
          <w:noProof/>
          <w:sz w:val="24"/>
          <w:szCs w:val="24"/>
          <w:lang w:val="en-IE"/>
        </w:rPr>
        <w:t xml:space="preserve"> (</w:t>
      </w:r>
      <w:r w:rsidRPr="00486446">
        <w:rPr>
          <w:rFonts w:ascii="Times New Roman" w:eastAsia="Times New Roman" w:hAnsi="Times New Roman" w:cs="Times New Roman"/>
          <w:noProof/>
          <w:sz w:val="24"/>
          <w:szCs w:val="24"/>
          <w:lang w:val="en-IE"/>
        </w:rPr>
        <w:t>202</w:t>
      </w:r>
      <w:r w:rsidR="00807E10" w:rsidRPr="00486446">
        <w:rPr>
          <w:rFonts w:ascii="Times New Roman" w:eastAsia="Times New Roman" w:hAnsi="Times New Roman" w:cs="Times New Roman"/>
          <w:noProof/>
          <w:sz w:val="24"/>
          <w:szCs w:val="24"/>
          <w:lang w:val="en-IE"/>
        </w:rPr>
        <w:t>4)</w:t>
      </w:r>
    </w:p>
    <w:tbl>
      <w:tblPr>
        <w:tblStyle w:val="TableGrid"/>
        <w:tblW w:w="0" w:type="auto"/>
        <w:jc w:val="center"/>
        <w:tblLook w:val="04A0" w:firstRow="1" w:lastRow="0" w:firstColumn="1" w:lastColumn="0" w:noHBand="0" w:noVBand="1"/>
      </w:tblPr>
      <w:tblGrid>
        <w:gridCol w:w="631"/>
        <w:gridCol w:w="641"/>
        <w:gridCol w:w="657"/>
        <w:gridCol w:w="657"/>
        <w:gridCol w:w="640"/>
        <w:gridCol w:w="649"/>
        <w:gridCol w:w="665"/>
        <w:gridCol w:w="632"/>
        <w:gridCol w:w="632"/>
        <w:gridCol w:w="632"/>
        <w:gridCol w:w="657"/>
        <w:gridCol w:w="665"/>
        <w:gridCol w:w="601"/>
        <w:gridCol w:w="657"/>
      </w:tblGrid>
      <w:tr w:rsidR="004D69DD" w:rsidRPr="001C633D" w14:paraId="33E9BA88" w14:textId="77777777" w:rsidTr="00221417">
        <w:trPr>
          <w:trHeight w:val="300"/>
          <w:jc w:val="center"/>
        </w:trPr>
        <w:tc>
          <w:tcPr>
            <w:tcW w:w="631" w:type="dxa"/>
            <w:shd w:val="clear" w:color="auto" w:fill="D9E2F3" w:themeFill="accent1" w:themeFillTint="33"/>
            <w:vAlign w:val="center"/>
            <w:hideMark/>
          </w:tcPr>
          <w:p w14:paraId="005DB344"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 xml:space="preserve">AT </w:t>
            </w:r>
          </w:p>
        </w:tc>
        <w:tc>
          <w:tcPr>
            <w:tcW w:w="641" w:type="dxa"/>
            <w:shd w:val="clear" w:color="auto" w:fill="D9E2F3" w:themeFill="accent1" w:themeFillTint="33"/>
            <w:vAlign w:val="center"/>
            <w:hideMark/>
          </w:tcPr>
          <w:p w14:paraId="25B2F6A5"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BE</w:t>
            </w:r>
          </w:p>
        </w:tc>
        <w:tc>
          <w:tcPr>
            <w:tcW w:w="657" w:type="dxa"/>
            <w:shd w:val="clear" w:color="auto" w:fill="D9E2F3" w:themeFill="accent1" w:themeFillTint="33"/>
            <w:vAlign w:val="center"/>
            <w:hideMark/>
          </w:tcPr>
          <w:p w14:paraId="5DACE199"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BG</w:t>
            </w:r>
          </w:p>
        </w:tc>
        <w:tc>
          <w:tcPr>
            <w:tcW w:w="657" w:type="dxa"/>
            <w:shd w:val="clear" w:color="auto" w:fill="D9E2F3" w:themeFill="accent1" w:themeFillTint="33"/>
            <w:vAlign w:val="center"/>
            <w:hideMark/>
          </w:tcPr>
          <w:p w14:paraId="4C5781A6"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CY</w:t>
            </w:r>
          </w:p>
        </w:tc>
        <w:tc>
          <w:tcPr>
            <w:tcW w:w="640" w:type="dxa"/>
            <w:shd w:val="clear" w:color="auto" w:fill="D9E2F3" w:themeFill="accent1" w:themeFillTint="33"/>
            <w:vAlign w:val="center"/>
            <w:hideMark/>
          </w:tcPr>
          <w:p w14:paraId="541599B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CZ</w:t>
            </w:r>
          </w:p>
        </w:tc>
        <w:tc>
          <w:tcPr>
            <w:tcW w:w="649" w:type="dxa"/>
            <w:shd w:val="clear" w:color="auto" w:fill="D9E2F3" w:themeFill="accent1" w:themeFillTint="33"/>
            <w:vAlign w:val="center"/>
            <w:hideMark/>
          </w:tcPr>
          <w:p w14:paraId="5BB5F3B7"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DE</w:t>
            </w:r>
          </w:p>
        </w:tc>
        <w:tc>
          <w:tcPr>
            <w:tcW w:w="665" w:type="dxa"/>
            <w:shd w:val="clear" w:color="auto" w:fill="D9E2F3" w:themeFill="accent1" w:themeFillTint="33"/>
            <w:vAlign w:val="center"/>
            <w:hideMark/>
          </w:tcPr>
          <w:p w14:paraId="6E539A34"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DK</w:t>
            </w:r>
          </w:p>
        </w:tc>
        <w:tc>
          <w:tcPr>
            <w:tcW w:w="632" w:type="dxa"/>
            <w:shd w:val="clear" w:color="auto" w:fill="D9E2F3" w:themeFill="accent1" w:themeFillTint="33"/>
            <w:vAlign w:val="center"/>
            <w:hideMark/>
          </w:tcPr>
          <w:p w14:paraId="184FBE38"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EE</w:t>
            </w:r>
          </w:p>
        </w:tc>
        <w:tc>
          <w:tcPr>
            <w:tcW w:w="632" w:type="dxa"/>
            <w:shd w:val="clear" w:color="auto" w:fill="D9E2F3" w:themeFill="accent1" w:themeFillTint="33"/>
            <w:vAlign w:val="center"/>
            <w:hideMark/>
          </w:tcPr>
          <w:p w14:paraId="4641319A"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EL</w:t>
            </w:r>
          </w:p>
        </w:tc>
        <w:tc>
          <w:tcPr>
            <w:tcW w:w="632" w:type="dxa"/>
            <w:shd w:val="clear" w:color="auto" w:fill="D9E2F3" w:themeFill="accent1" w:themeFillTint="33"/>
            <w:vAlign w:val="center"/>
            <w:hideMark/>
          </w:tcPr>
          <w:p w14:paraId="4E18B0D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ES</w:t>
            </w:r>
          </w:p>
        </w:tc>
        <w:tc>
          <w:tcPr>
            <w:tcW w:w="657" w:type="dxa"/>
            <w:shd w:val="clear" w:color="auto" w:fill="D9E2F3" w:themeFill="accent1" w:themeFillTint="33"/>
            <w:vAlign w:val="center"/>
          </w:tcPr>
          <w:p w14:paraId="244433E5"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FI</w:t>
            </w:r>
          </w:p>
        </w:tc>
        <w:tc>
          <w:tcPr>
            <w:tcW w:w="665" w:type="dxa"/>
            <w:shd w:val="clear" w:color="auto" w:fill="D9E2F3" w:themeFill="accent1" w:themeFillTint="33"/>
            <w:vAlign w:val="center"/>
          </w:tcPr>
          <w:p w14:paraId="6787963B"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FR</w:t>
            </w:r>
          </w:p>
        </w:tc>
        <w:tc>
          <w:tcPr>
            <w:tcW w:w="601" w:type="dxa"/>
            <w:shd w:val="clear" w:color="auto" w:fill="D9E2F3" w:themeFill="accent1" w:themeFillTint="33"/>
            <w:vAlign w:val="center"/>
          </w:tcPr>
          <w:p w14:paraId="579B3E8F"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HR</w:t>
            </w:r>
          </w:p>
        </w:tc>
        <w:tc>
          <w:tcPr>
            <w:tcW w:w="657" w:type="dxa"/>
            <w:shd w:val="clear" w:color="auto" w:fill="D9E2F3" w:themeFill="accent1" w:themeFillTint="33"/>
            <w:vAlign w:val="center"/>
          </w:tcPr>
          <w:p w14:paraId="79BBC7B7"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HU</w:t>
            </w:r>
          </w:p>
        </w:tc>
      </w:tr>
      <w:tr w:rsidR="004D69DD" w:rsidRPr="001C633D" w14:paraId="1C703A6E" w14:textId="77777777" w:rsidTr="00221417">
        <w:trPr>
          <w:trHeight w:val="315"/>
          <w:jc w:val="center"/>
        </w:trPr>
        <w:tc>
          <w:tcPr>
            <w:tcW w:w="631" w:type="dxa"/>
            <w:vAlign w:val="center"/>
          </w:tcPr>
          <w:p w14:paraId="28A5C169" w14:textId="44298877" w:rsidR="004D69DD" w:rsidRPr="00FE62C5" w:rsidRDefault="00FE62C5" w:rsidP="00FE62C5">
            <w:pPr>
              <w:pStyle w:val="Paragraph"/>
              <w:spacing w:after="0" w:line="240" w:lineRule="auto"/>
              <w:jc w:val="center"/>
              <w:rPr>
                <w:noProof/>
                <w:sz w:val="22"/>
                <w:szCs w:val="22"/>
                <w:lang w:val="en-IE"/>
              </w:rPr>
            </w:pPr>
            <w:r w:rsidRPr="0065549F">
              <w:rPr>
                <w:noProof/>
                <w:sz w:val="22"/>
                <w:szCs w:val="22"/>
                <w:lang w:val="en-IE"/>
              </w:rPr>
              <w:t>77.4</w:t>
            </w:r>
          </w:p>
        </w:tc>
        <w:tc>
          <w:tcPr>
            <w:tcW w:w="641" w:type="dxa"/>
            <w:vAlign w:val="center"/>
          </w:tcPr>
          <w:p w14:paraId="79F98FFD" w14:textId="1E2EEF2C" w:rsidR="004D69DD" w:rsidRPr="00FE62C5" w:rsidRDefault="00C76DDE" w:rsidP="00FE62C5">
            <w:pPr>
              <w:pStyle w:val="Paragraph"/>
              <w:spacing w:after="0" w:line="240" w:lineRule="auto"/>
              <w:jc w:val="center"/>
              <w:rPr>
                <w:noProof/>
                <w:sz w:val="22"/>
                <w:szCs w:val="22"/>
                <w:lang w:val="en-IE"/>
              </w:rPr>
            </w:pPr>
            <w:r w:rsidRPr="0065549F">
              <w:rPr>
                <w:noProof/>
                <w:sz w:val="22"/>
                <w:szCs w:val="22"/>
                <w:lang w:val="en-IE"/>
              </w:rPr>
              <w:t>72.3</w:t>
            </w:r>
          </w:p>
        </w:tc>
        <w:tc>
          <w:tcPr>
            <w:tcW w:w="657" w:type="dxa"/>
            <w:vAlign w:val="center"/>
          </w:tcPr>
          <w:p w14:paraId="7615DB9C" w14:textId="62CF48CF" w:rsidR="004D69DD" w:rsidRPr="00FE62C5" w:rsidRDefault="00C76DDE" w:rsidP="00FE62C5">
            <w:pPr>
              <w:pStyle w:val="Paragraph"/>
              <w:spacing w:after="0" w:line="240" w:lineRule="auto"/>
              <w:jc w:val="center"/>
              <w:rPr>
                <w:noProof/>
                <w:sz w:val="22"/>
                <w:szCs w:val="22"/>
                <w:lang w:val="en-IE"/>
              </w:rPr>
            </w:pPr>
            <w:r w:rsidRPr="0065549F">
              <w:rPr>
                <w:noProof/>
                <w:sz w:val="22"/>
                <w:szCs w:val="22"/>
                <w:lang w:val="en-IE"/>
              </w:rPr>
              <w:t>76.8</w:t>
            </w:r>
          </w:p>
        </w:tc>
        <w:tc>
          <w:tcPr>
            <w:tcW w:w="657" w:type="dxa"/>
            <w:vAlign w:val="center"/>
          </w:tcPr>
          <w:p w14:paraId="3F96F5DE" w14:textId="70AED270" w:rsidR="004D69DD" w:rsidRPr="00FE62C5" w:rsidRDefault="00E124D9" w:rsidP="00FE62C5">
            <w:pPr>
              <w:pStyle w:val="Paragraph"/>
              <w:spacing w:after="0" w:line="240" w:lineRule="auto"/>
              <w:jc w:val="center"/>
              <w:rPr>
                <w:noProof/>
                <w:sz w:val="22"/>
                <w:szCs w:val="22"/>
                <w:lang w:val="en-IE"/>
              </w:rPr>
            </w:pPr>
            <w:r w:rsidRPr="0065549F">
              <w:rPr>
                <w:noProof/>
                <w:sz w:val="22"/>
                <w:szCs w:val="22"/>
                <w:lang w:val="en-IE"/>
              </w:rPr>
              <w:t>79.8</w:t>
            </w:r>
          </w:p>
        </w:tc>
        <w:tc>
          <w:tcPr>
            <w:tcW w:w="640" w:type="dxa"/>
            <w:vAlign w:val="center"/>
          </w:tcPr>
          <w:p w14:paraId="1D632BC7" w14:textId="01A081E0" w:rsidR="004D69DD" w:rsidRPr="00FE62C5" w:rsidRDefault="00C76DDE" w:rsidP="00FE62C5">
            <w:pPr>
              <w:pStyle w:val="Paragraph"/>
              <w:spacing w:after="0" w:line="240" w:lineRule="auto"/>
              <w:jc w:val="center"/>
              <w:rPr>
                <w:noProof/>
                <w:sz w:val="22"/>
                <w:szCs w:val="22"/>
                <w:lang w:val="en-IE"/>
              </w:rPr>
            </w:pPr>
            <w:r w:rsidRPr="0065549F">
              <w:rPr>
                <w:noProof/>
                <w:sz w:val="22"/>
                <w:szCs w:val="22"/>
                <w:lang w:val="en-IE"/>
              </w:rPr>
              <w:t>82.3</w:t>
            </w:r>
          </w:p>
        </w:tc>
        <w:tc>
          <w:tcPr>
            <w:tcW w:w="649" w:type="dxa"/>
            <w:vAlign w:val="center"/>
          </w:tcPr>
          <w:p w14:paraId="00933AE0" w14:textId="57C5AE3C" w:rsidR="004D69DD" w:rsidRPr="00FE62C5" w:rsidRDefault="00C76DDE" w:rsidP="00FE62C5">
            <w:pPr>
              <w:pStyle w:val="Paragraph"/>
              <w:spacing w:after="0" w:line="240" w:lineRule="auto"/>
              <w:jc w:val="center"/>
              <w:rPr>
                <w:noProof/>
                <w:sz w:val="22"/>
                <w:szCs w:val="22"/>
                <w:lang w:val="en-IE"/>
              </w:rPr>
            </w:pPr>
            <w:r w:rsidRPr="0065549F">
              <w:rPr>
                <w:noProof/>
                <w:sz w:val="22"/>
                <w:szCs w:val="22"/>
                <w:lang w:val="en-IE"/>
              </w:rPr>
              <w:t>81.3</w:t>
            </w:r>
          </w:p>
        </w:tc>
        <w:tc>
          <w:tcPr>
            <w:tcW w:w="665" w:type="dxa"/>
            <w:vAlign w:val="center"/>
          </w:tcPr>
          <w:p w14:paraId="2B466517" w14:textId="3AA04C67" w:rsidR="004D69DD" w:rsidRPr="00FE62C5" w:rsidRDefault="00C76DDE" w:rsidP="00FE62C5">
            <w:pPr>
              <w:pStyle w:val="Paragraph"/>
              <w:spacing w:after="0" w:line="240" w:lineRule="auto"/>
              <w:jc w:val="center"/>
              <w:rPr>
                <w:noProof/>
                <w:sz w:val="22"/>
                <w:szCs w:val="22"/>
                <w:lang w:val="en-IE"/>
              </w:rPr>
            </w:pPr>
            <w:r w:rsidRPr="0065549F">
              <w:rPr>
                <w:noProof/>
                <w:sz w:val="22"/>
                <w:szCs w:val="22"/>
                <w:lang w:val="en-IE"/>
              </w:rPr>
              <w:t>80.2</w:t>
            </w:r>
          </w:p>
        </w:tc>
        <w:tc>
          <w:tcPr>
            <w:tcW w:w="632" w:type="dxa"/>
            <w:vAlign w:val="center"/>
          </w:tcPr>
          <w:p w14:paraId="46A0E24C" w14:textId="65638E87" w:rsidR="004D69DD" w:rsidRPr="00FE62C5" w:rsidRDefault="005B7464" w:rsidP="00FE62C5">
            <w:pPr>
              <w:pStyle w:val="Paragraph"/>
              <w:spacing w:after="0" w:line="240" w:lineRule="auto"/>
              <w:jc w:val="center"/>
              <w:rPr>
                <w:noProof/>
                <w:sz w:val="22"/>
                <w:szCs w:val="22"/>
                <w:lang w:val="en-IE"/>
              </w:rPr>
            </w:pPr>
            <w:r w:rsidRPr="0065549F">
              <w:rPr>
                <w:noProof/>
                <w:sz w:val="22"/>
                <w:szCs w:val="22"/>
                <w:lang w:val="en-IE"/>
              </w:rPr>
              <w:t>81.8</w:t>
            </w:r>
          </w:p>
        </w:tc>
        <w:tc>
          <w:tcPr>
            <w:tcW w:w="632" w:type="dxa"/>
            <w:vAlign w:val="center"/>
          </w:tcPr>
          <w:p w14:paraId="251652C4" w14:textId="20B5C8ED" w:rsidR="004D69DD" w:rsidRPr="00FE62C5" w:rsidRDefault="005B7464" w:rsidP="00FE62C5">
            <w:pPr>
              <w:pStyle w:val="Paragraph"/>
              <w:spacing w:after="0" w:line="240" w:lineRule="auto"/>
              <w:jc w:val="center"/>
              <w:rPr>
                <w:noProof/>
                <w:sz w:val="22"/>
                <w:szCs w:val="22"/>
                <w:lang w:val="en-IE"/>
              </w:rPr>
            </w:pPr>
            <w:r w:rsidRPr="0065549F">
              <w:rPr>
                <w:noProof/>
                <w:sz w:val="22"/>
                <w:szCs w:val="22"/>
                <w:lang w:val="en-IE"/>
              </w:rPr>
              <w:t>69.3</w:t>
            </w:r>
          </w:p>
        </w:tc>
        <w:tc>
          <w:tcPr>
            <w:tcW w:w="632" w:type="dxa"/>
            <w:vAlign w:val="center"/>
          </w:tcPr>
          <w:p w14:paraId="64720091" w14:textId="29EDD485" w:rsidR="004D69DD" w:rsidRPr="00FE62C5" w:rsidRDefault="005B7464" w:rsidP="00FE62C5">
            <w:pPr>
              <w:pStyle w:val="Paragraph"/>
              <w:spacing w:after="0" w:line="240" w:lineRule="auto"/>
              <w:jc w:val="center"/>
              <w:rPr>
                <w:noProof/>
                <w:sz w:val="22"/>
                <w:szCs w:val="22"/>
                <w:lang w:val="en-IE"/>
              </w:rPr>
            </w:pPr>
            <w:r w:rsidRPr="0065549F">
              <w:rPr>
                <w:noProof/>
                <w:sz w:val="22"/>
                <w:szCs w:val="22"/>
                <w:lang w:val="en-IE"/>
              </w:rPr>
              <w:t>71.4</w:t>
            </w:r>
          </w:p>
        </w:tc>
        <w:tc>
          <w:tcPr>
            <w:tcW w:w="657" w:type="dxa"/>
            <w:vAlign w:val="center"/>
          </w:tcPr>
          <w:p w14:paraId="048CB2F1" w14:textId="1FFEFDE7" w:rsidR="004D69DD" w:rsidRPr="00FE62C5" w:rsidRDefault="00FE62C5" w:rsidP="00FE62C5">
            <w:pPr>
              <w:pStyle w:val="Paragraph"/>
              <w:spacing w:after="0" w:line="240" w:lineRule="auto"/>
              <w:jc w:val="center"/>
              <w:rPr>
                <w:noProof/>
                <w:sz w:val="22"/>
                <w:szCs w:val="22"/>
                <w:lang w:val="en-IE"/>
              </w:rPr>
            </w:pPr>
            <w:r w:rsidRPr="0065549F">
              <w:rPr>
                <w:noProof/>
                <w:sz w:val="22"/>
                <w:szCs w:val="22"/>
                <w:lang w:val="en-IE"/>
              </w:rPr>
              <w:t>77.0</w:t>
            </w:r>
          </w:p>
        </w:tc>
        <w:tc>
          <w:tcPr>
            <w:tcW w:w="665" w:type="dxa"/>
            <w:vAlign w:val="center"/>
          </w:tcPr>
          <w:p w14:paraId="24B9691F" w14:textId="2A32460D" w:rsidR="004D69DD" w:rsidRPr="00FE62C5" w:rsidRDefault="005B7464" w:rsidP="00FE62C5">
            <w:pPr>
              <w:pStyle w:val="Paragraph"/>
              <w:spacing w:after="0" w:line="240" w:lineRule="auto"/>
              <w:jc w:val="center"/>
              <w:rPr>
                <w:noProof/>
                <w:sz w:val="22"/>
                <w:szCs w:val="22"/>
                <w:lang w:val="en-IE"/>
              </w:rPr>
            </w:pPr>
            <w:r w:rsidRPr="0065549F">
              <w:rPr>
                <w:noProof/>
                <w:sz w:val="22"/>
                <w:szCs w:val="22"/>
                <w:lang w:val="en-IE"/>
              </w:rPr>
              <w:t>75.1</w:t>
            </w:r>
          </w:p>
        </w:tc>
        <w:tc>
          <w:tcPr>
            <w:tcW w:w="601" w:type="dxa"/>
            <w:vAlign w:val="center"/>
          </w:tcPr>
          <w:p w14:paraId="78028C1F" w14:textId="061FAA77" w:rsidR="004D69DD" w:rsidRPr="00FE62C5" w:rsidRDefault="005B7464" w:rsidP="00FE62C5">
            <w:pPr>
              <w:pStyle w:val="Paragraph"/>
              <w:spacing w:after="0" w:line="240" w:lineRule="auto"/>
              <w:jc w:val="center"/>
              <w:rPr>
                <w:noProof/>
                <w:sz w:val="22"/>
                <w:szCs w:val="22"/>
                <w:lang w:val="en-IE"/>
              </w:rPr>
            </w:pPr>
            <w:r w:rsidRPr="0065549F">
              <w:rPr>
                <w:noProof/>
                <w:sz w:val="22"/>
                <w:szCs w:val="22"/>
                <w:lang w:val="en-IE"/>
              </w:rPr>
              <w:t>73.6</w:t>
            </w:r>
          </w:p>
        </w:tc>
        <w:tc>
          <w:tcPr>
            <w:tcW w:w="657" w:type="dxa"/>
            <w:vAlign w:val="center"/>
          </w:tcPr>
          <w:p w14:paraId="14C67481" w14:textId="26382FE7" w:rsidR="004D69DD" w:rsidRPr="00FE62C5" w:rsidRDefault="00E124D9" w:rsidP="00FE62C5">
            <w:pPr>
              <w:pStyle w:val="Paragraph"/>
              <w:spacing w:after="0" w:line="240" w:lineRule="auto"/>
              <w:jc w:val="center"/>
              <w:rPr>
                <w:noProof/>
                <w:sz w:val="22"/>
                <w:szCs w:val="22"/>
                <w:lang w:val="en-IE"/>
              </w:rPr>
            </w:pPr>
            <w:r w:rsidRPr="0065549F">
              <w:rPr>
                <w:noProof/>
                <w:sz w:val="22"/>
                <w:szCs w:val="22"/>
                <w:lang w:val="en-IE"/>
              </w:rPr>
              <w:t>81.1</w:t>
            </w:r>
          </w:p>
        </w:tc>
      </w:tr>
      <w:tr w:rsidR="004D69DD" w:rsidRPr="001C633D" w14:paraId="079631FB" w14:textId="77777777" w:rsidTr="00221417">
        <w:trPr>
          <w:trHeight w:val="300"/>
          <w:jc w:val="center"/>
        </w:trPr>
        <w:tc>
          <w:tcPr>
            <w:tcW w:w="631" w:type="dxa"/>
            <w:shd w:val="clear" w:color="auto" w:fill="D9E2F3" w:themeFill="accent1" w:themeFillTint="33"/>
            <w:vAlign w:val="center"/>
          </w:tcPr>
          <w:p w14:paraId="187E3EF7"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IE</w:t>
            </w:r>
          </w:p>
        </w:tc>
        <w:tc>
          <w:tcPr>
            <w:tcW w:w="641" w:type="dxa"/>
            <w:shd w:val="clear" w:color="auto" w:fill="D9E2F3" w:themeFill="accent1" w:themeFillTint="33"/>
            <w:vAlign w:val="center"/>
          </w:tcPr>
          <w:p w14:paraId="3E425BA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IT</w:t>
            </w:r>
          </w:p>
        </w:tc>
        <w:tc>
          <w:tcPr>
            <w:tcW w:w="657" w:type="dxa"/>
            <w:shd w:val="clear" w:color="auto" w:fill="D9E2F3" w:themeFill="accent1" w:themeFillTint="33"/>
            <w:vAlign w:val="center"/>
          </w:tcPr>
          <w:p w14:paraId="12C1F76C"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LT</w:t>
            </w:r>
          </w:p>
        </w:tc>
        <w:tc>
          <w:tcPr>
            <w:tcW w:w="657" w:type="dxa"/>
            <w:shd w:val="clear" w:color="auto" w:fill="D9E2F3" w:themeFill="accent1" w:themeFillTint="33"/>
            <w:vAlign w:val="center"/>
          </w:tcPr>
          <w:p w14:paraId="363DAC19"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LU</w:t>
            </w:r>
          </w:p>
        </w:tc>
        <w:tc>
          <w:tcPr>
            <w:tcW w:w="640" w:type="dxa"/>
            <w:shd w:val="clear" w:color="auto" w:fill="D9E2F3" w:themeFill="accent1" w:themeFillTint="33"/>
            <w:vAlign w:val="center"/>
          </w:tcPr>
          <w:p w14:paraId="770007F5"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LV</w:t>
            </w:r>
          </w:p>
        </w:tc>
        <w:tc>
          <w:tcPr>
            <w:tcW w:w="649" w:type="dxa"/>
            <w:shd w:val="clear" w:color="auto" w:fill="D9E2F3" w:themeFill="accent1" w:themeFillTint="33"/>
            <w:vAlign w:val="center"/>
          </w:tcPr>
          <w:p w14:paraId="573E29C7"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MT</w:t>
            </w:r>
          </w:p>
        </w:tc>
        <w:tc>
          <w:tcPr>
            <w:tcW w:w="665" w:type="dxa"/>
            <w:shd w:val="clear" w:color="auto" w:fill="D9E2F3" w:themeFill="accent1" w:themeFillTint="33"/>
            <w:vAlign w:val="center"/>
          </w:tcPr>
          <w:p w14:paraId="06D5A72A"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NL</w:t>
            </w:r>
          </w:p>
        </w:tc>
        <w:tc>
          <w:tcPr>
            <w:tcW w:w="632" w:type="dxa"/>
            <w:shd w:val="clear" w:color="auto" w:fill="D9E2F3" w:themeFill="accent1" w:themeFillTint="33"/>
            <w:vAlign w:val="center"/>
          </w:tcPr>
          <w:p w14:paraId="4D7AB100"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PL</w:t>
            </w:r>
          </w:p>
        </w:tc>
        <w:tc>
          <w:tcPr>
            <w:tcW w:w="632" w:type="dxa"/>
            <w:shd w:val="clear" w:color="auto" w:fill="D9E2F3" w:themeFill="accent1" w:themeFillTint="33"/>
            <w:vAlign w:val="center"/>
          </w:tcPr>
          <w:p w14:paraId="76E5366C"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PT</w:t>
            </w:r>
          </w:p>
        </w:tc>
        <w:tc>
          <w:tcPr>
            <w:tcW w:w="632" w:type="dxa"/>
            <w:shd w:val="clear" w:color="auto" w:fill="D9E2F3" w:themeFill="accent1" w:themeFillTint="33"/>
            <w:vAlign w:val="center"/>
          </w:tcPr>
          <w:p w14:paraId="5265BCE0"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RO</w:t>
            </w:r>
          </w:p>
        </w:tc>
        <w:tc>
          <w:tcPr>
            <w:tcW w:w="657" w:type="dxa"/>
            <w:shd w:val="clear" w:color="auto" w:fill="D9E2F3" w:themeFill="accent1" w:themeFillTint="33"/>
            <w:vAlign w:val="center"/>
          </w:tcPr>
          <w:p w14:paraId="240BD018"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SE</w:t>
            </w:r>
          </w:p>
        </w:tc>
        <w:tc>
          <w:tcPr>
            <w:tcW w:w="665" w:type="dxa"/>
            <w:shd w:val="clear" w:color="auto" w:fill="D9E2F3" w:themeFill="accent1" w:themeFillTint="33"/>
            <w:vAlign w:val="center"/>
            <w:hideMark/>
          </w:tcPr>
          <w:p w14:paraId="743ADFB7"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SI</w:t>
            </w:r>
          </w:p>
        </w:tc>
        <w:tc>
          <w:tcPr>
            <w:tcW w:w="601" w:type="dxa"/>
            <w:shd w:val="clear" w:color="auto" w:fill="D9E2F3" w:themeFill="accent1" w:themeFillTint="33"/>
            <w:vAlign w:val="center"/>
            <w:hideMark/>
          </w:tcPr>
          <w:p w14:paraId="11A555C3"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SK</w:t>
            </w:r>
          </w:p>
        </w:tc>
        <w:tc>
          <w:tcPr>
            <w:tcW w:w="657" w:type="dxa"/>
            <w:shd w:val="clear" w:color="auto" w:fill="D9E2F3" w:themeFill="accent1" w:themeFillTint="33"/>
            <w:vAlign w:val="center"/>
            <w:hideMark/>
          </w:tcPr>
          <w:p w14:paraId="0ED7CB12" w14:textId="77777777" w:rsidR="004D69DD" w:rsidRPr="003F3CF5" w:rsidRDefault="004D69DD" w:rsidP="00221417">
            <w:pPr>
              <w:pStyle w:val="Paragraph"/>
              <w:spacing w:after="0" w:line="240" w:lineRule="auto"/>
              <w:jc w:val="center"/>
              <w:rPr>
                <w:b/>
                <w:bCs/>
                <w:noProof/>
                <w:sz w:val="22"/>
                <w:szCs w:val="22"/>
                <w:lang w:val="en-IE"/>
              </w:rPr>
            </w:pPr>
            <w:r w:rsidRPr="003F3CF5">
              <w:rPr>
                <w:b/>
                <w:bCs/>
                <w:noProof/>
                <w:sz w:val="22"/>
                <w:szCs w:val="22"/>
                <w:lang w:val="en-IE"/>
              </w:rPr>
              <w:t>EU</w:t>
            </w:r>
          </w:p>
        </w:tc>
      </w:tr>
      <w:tr w:rsidR="004D69DD" w:rsidRPr="00047933" w14:paraId="7D6C08EF" w14:textId="77777777" w:rsidTr="00221417">
        <w:trPr>
          <w:trHeight w:val="315"/>
          <w:jc w:val="center"/>
        </w:trPr>
        <w:tc>
          <w:tcPr>
            <w:tcW w:w="631" w:type="dxa"/>
            <w:vAlign w:val="center"/>
          </w:tcPr>
          <w:p w14:paraId="280825C1" w14:textId="5CB230E6" w:rsidR="004D69DD" w:rsidRPr="0065549F" w:rsidRDefault="005B7464" w:rsidP="00FE62C5">
            <w:pPr>
              <w:pStyle w:val="Paragraph"/>
              <w:spacing w:after="0" w:line="240" w:lineRule="auto"/>
              <w:jc w:val="center"/>
              <w:rPr>
                <w:noProof/>
                <w:sz w:val="22"/>
                <w:szCs w:val="22"/>
                <w:lang w:val="en-IE"/>
              </w:rPr>
            </w:pPr>
            <w:r w:rsidRPr="0065549F">
              <w:rPr>
                <w:noProof/>
                <w:sz w:val="22"/>
                <w:szCs w:val="22"/>
                <w:lang w:val="en-IE"/>
              </w:rPr>
              <w:t>79.8</w:t>
            </w:r>
          </w:p>
        </w:tc>
        <w:tc>
          <w:tcPr>
            <w:tcW w:w="641" w:type="dxa"/>
            <w:vAlign w:val="center"/>
          </w:tcPr>
          <w:p w14:paraId="5B9D2019" w14:textId="2EC25FEB" w:rsidR="004D69DD" w:rsidRPr="0065549F" w:rsidRDefault="005B7464" w:rsidP="00FE62C5">
            <w:pPr>
              <w:pStyle w:val="Paragraph"/>
              <w:spacing w:after="0" w:line="240" w:lineRule="auto"/>
              <w:jc w:val="center"/>
              <w:rPr>
                <w:noProof/>
                <w:sz w:val="22"/>
                <w:szCs w:val="22"/>
                <w:lang w:val="en-IE"/>
              </w:rPr>
            </w:pPr>
            <w:r w:rsidRPr="0065549F">
              <w:rPr>
                <w:noProof/>
                <w:sz w:val="22"/>
                <w:szCs w:val="22"/>
                <w:lang w:val="en-IE"/>
              </w:rPr>
              <w:t>67.1</w:t>
            </w:r>
          </w:p>
        </w:tc>
        <w:tc>
          <w:tcPr>
            <w:tcW w:w="657" w:type="dxa"/>
            <w:vAlign w:val="center"/>
          </w:tcPr>
          <w:p w14:paraId="35E547C2" w14:textId="4EE080FF" w:rsidR="004D69DD" w:rsidRPr="0065549F" w:rsidRDefault="00E124D9" w:rsidP="00FE62C5">
            <w:pPr>
              <w:pStyle w:val="Paragraph"/>
              <w:spacing w:after="0" w:line="240" w:lineRule="auto"/>
              <w:jc w:val="center"/>
              <w:rPr>
                <w:noProof/>
                <w:sz w:val="22"/>
                <w:szCs w:val="22"/>
                <w:lang w:val="en-IE"/>
              </w:rPr>
            </w:pPr>
            <w:r w:rsidRPr="0065549F">
              <w:rPr>
                <w:noProof/>
                <w:sz w:val="22"/>
                <w:szCs w:val="22"/>
                <w:lang w:val="en-IE"/>
              </w:rPr>
              <w:t>79.2</w:t>
            </w:r>
          </w:p>
        </w:tc>
        <w:tc>
          <w:tcPr>
            <w:tcW w:w="657" w:type="dxa"/>
            <w:vAlign w:val="center"/>
          </w:tcPr>
          <w:p w14:paraId="37FEADCD" w14:textId="5C3D14AA" w:rsidR="004D69DD" w:rsidRPr="0065549F" w:rsidRDefault="00E124D9" w:rsidP="00FE62C5">
            <w:pPr>
              <w:pStyle w:val="Paragraph"/>
              <w:spacing w:after="0" w:line="240" w:lineRule="auto"/>
              <w:jc w:val="center"/>
              <w:rPr>
                <w:noProof/>
                <w:sz w:val="22"/>
                <w:szCs w:val="22"/>
                <w:lang w:val="en-IE"/>
              </w:rPr>
            </w:pPr>
            <w:r w:rsidRPr="0065549F">
              <w:rPr>
                <w:noProof/>
                <w:sz w:val="22"/>
                <w:szCs w:val="22"/>
                <w:lang w:val="en-IE"/>
              </w:rPr>
              <w:t>74.2</w:t>
            </w:r>
          </w:p>
        </w:tc>
        <w:tc>
          <w:tcPr>
            <w:tcW w:w="640" w:type="dxa"/>
            <w:vAlign w:val="center"/>
          </w:tcPr>
          <w:p w14:paraId="405E6086" w14:textId="69975468" w:rsidR="004D69DD" w:rsidRPr="0065549F" w:rsidRDefault="00E124D9" w:rsidP="00FE62C5">
            <w:pPr>
              <w:pStyle w:val="Paragraph"/>
              <w:spacing w:after="0" w:line="240" w:lineRule="auto"/>
              <w:jc w:val="center"/>
              <w:rPr>
                <w:noProof/>
                <w:sz w:val="22"/>
                <w:szCs w:val="22"/>
                <w:lang w:val="en-IE"/>
              </w:rPr>
            </w:pPr>
            <w:r w:rsidRPr="0065549F">
              <w:rPr>
                <w:noProof/>
                <w:sz w:val="22"/>
                <w:szCs w:val="22"/>
                <w:lang w:val="en-IE"/>
              </w:rPr>
              <w:t>77.4</w:t>
            </w:r>
          </w:p>
        </w:tc>
        <w:tc>
          <w:tcPr>
            <w:tcW w:w="649" w:type="dxa"/>
            <w:vAlign w:val="center"/>
          </w:tcPr>
          <w:p w14:paraId="7FA9C05B" w14:textId="29940260" w:rsidR="004D69DD" w:rsidRPr="0065549F" w:rsidRDefault="00E124D9" w:rsidP="00FE62C5">
            <w:pPr>
              <w:pStyle w:val="Paragraph"/>
              <w:spacing w:after="0" w:line="240" w:lineRule="auto"/>
              <w:jc w:val="center"/>
              <w:rPr>
                <w:noProof/>
                <w:sz w:val="22"/>
                <w:szCs w:val="22"/>
                <w:lang w:val="en-IE"/>
              </w:rPr>
            </w:pPr>
            <w:r w:rsidRPr="0065549F">
              <w:rPr>
                <w:noProof/>
                <w:sz w:val="22"/>
                <w:szCs w:val="22"/>
                <w:lang w:val="en-IE"/>
              </w:rPr>
              <w:t>83.0</w:t>
            </w:r>
          </w:p>
        </w:tc>
        <w:tc>
          <w:tcPr>
            <w:tcW w:w="665" w:type="dxa"/>
            <w:vAlign w:val="center"/>
          </w:tcPr>
          <w:p w14:paraId="2E454E6F" w14:textId="364AD1D5" w:rsidR="004D69DD" w:rsidRPr="0065549F" w:rsidRDefault="00E124D9" w:rsidP="00FE62C5">
            <w:pPr>
              <w:pStyle w:val="Paragraph"/>
              <w:spacing w:after="0" w:line="240" w:lineRule="auto"/>
              <w:jc w:val="center"/>
              <w:rPr>
                <w:noProof/>
                <w:sz w:val="22"/>
                <w:szCs w:val="22"/>
                <w:lang w:val="en-IE"/>
              </w:rPr>
            </w:pPr>
            <w:r w:rsidRPr="0065549F">
              <w:rPr>
                <w:noProof/>
                <w:sz w:val="22"/>
                <w:szCs w:val="22"/>
                <w:lang w:val="en-IE"/>
              </w:rPr>
              <w:t>83.5</w:t>
            </w:r>
          </w:p>
        </w:tc>
        <w:tc>
          <w:tcPr>
            <w:tcW w:w="632" w:type="dxa"/>
            <w:vAlign w:val="center"/>
          </w:tcPr>
          <w:p w14:paraId="33DEB70A" w14:textId="0EAC2765" w:rsidR="004D69DD" w:rsidRPr="0065549F" w:rsidRDefault="00FE62C5" w:rsidP="00FE62C5">
            <w:pPr>
              <w:pStyle w:val="Paragraph"/>
              <w:spacing w:after="0" w:line="240" w:lineRule="auto"/>
              <w:jc w:val="center"/>
              <w:rPr>
                <w:noProof/>
                <w:sz w:val="22"/>
                <w:szCs w:val="22"/>
                <w:lang w:val="en-IE"/>
              </w:rPr>
            </w:pPr>
            <w:r w:rsidRPr="0065549F">
              <w:rPr>
                <w:noProof/>
                <w:sz w:val="22"/>
                <w:szCs w:val="22"/>
                <w:lang w:val="en-IE"/>
              </w:rPr>
              <w:t>78.4</w:t>
            </w:r>
          </w:p>
        </w:tc>
        <w:tc>
          <w:tcPr>
            <w:tcW w:w="632" w:type="dxa"/>
            <w:vAlign w:val="center"/>
          </w:tcPr>
          <w:p w14:paraId="0220D5C0" w14:textId="72609ED4" w:rsidR="004D69DD" w:rsidRPr="0065549F" w:rsidRDefault="00FE62C5" w:rsidP="00FE62C5">
            <w:pPr>
              <w:pStyle w:val="Paragraph"/>
              <w:spacing w:after="0" w:line="240" w:lineRule="auto"/>
              <w:jc w:val="center"/>
              <w:rPr>
                <w:noProof/>
                <w:sz w:val="22"/>
                <w:szCs w:val="22"/>
                <w:lang w:val="en-IE"/>
              </w:rPr>
            </w:pPr>
            <w:r w:rsidRPr="0065549F">
              <w:rPr>
                <w:noProof/>
                <w:sz w:val="22"/>
                <w:szCs w:val="22"/>
                <w:lang w:val="en-IE"/>
              </w:rPr>
              <w:t>78.5</w:t>
            </w:r>
          </w:p>
        </w:tc>
        <w:tc>
          <w:tcPr>
            <w:tcW w:w="632" w:type="dxa"/>
            <w:vAlign w:val="center"/>
          </w:tcPr>
          <w:p w14:paraId="40B4D56E" w14:textId="4E50784B" w:rsidR="004D69DD" w:rsidRPr="0065549F" w:rsidRDefault="00FE62C5" w:rsidP="00FE62C5">
            <w:pPr>
              <w:pStyle w:val="Paragraph"/>
              <w:spacing w:after="0" w:line="240" w:lineRule="auto"/>
              <w:jc w:val="center"/>
              <w:rPr>
                <w:noProof/>
                <w:sz w:val="22"/>
                <w:szCs w:val="22"/>
                <w:lang w:val="en-IE"/>
              </w:rPr>
            </w:pPr>
            <w:r w:rsidRPr="0065549F">
              <w:rPr>
                <w:noProof/>
                <w:sz w:val="22"/>
                <w:szCs w:val="22"/>
                <w:lang w:val="en-IE"/>
              </w:rPr>
              <w:t>69.5</w:t>
            </w:r>
          </w:p>
        </w:tc>
        <w:tc>
          <w:tcPr>
            <w:tcW w:w="657" w:type="dxa"/>
            <w:vAlign w:val="center"/>
          </w:tcPr>
          <w:p w14:paraId="746CBD05" w14:textId="192ACE23" w:rsidR="004D69DD" w:rsidRPr="0065549F" w:rsidRDefault="00FE62C5" w:rsidP="00FE62C5">
            <w:pPr>
              <w:pStyle w:val="Paragraph"/>
              <w:spacing w:after="0" w:line="240" w:lineRule="auto"/>
              <w:jc w:val="center"/>
              <w:rPr>
                <w:noProof/>
                <w:sz w:val="22"/>
                <w:szCs w:val="22"/>
                <w:lang w:val="en-IE"/>
              </w:rPr>
            </w:pPr>
            <w:r w:rsidRPr="0065549F">
              <w:rPr>
                <w:noProof/>
                <w:sz w:val="22"/>
                <w:szCs w:val="22"/>
                <w:lang w:val="en-IE"/>
              </w:rPr>
              <w:t>81.9</w:t>
            </w:r>
          </w:p>
        </w:tc>
        <w:tc>
          <w:tcPr>
            <w:tcW w:w="665" w:type="dxa"/>
            <w:vAlign w:val="center"/>
          </w:tcPr>
          <w:p w14:paraId="0A9C546B" w14:textId="56994AD6" w:rsidR="004D69DD" w:rsidRPr="0065549F" w:rsidRDefault="00FE62C5" w:rsidP="00FE62C5">
            <w:pPr>
              <w:pStyle w:val="Paragraph"/>
              <w:spacing w:after="0" w:line="240" w:lineRule="auto"/>
              <w:jc w:val="center"/>
              <w:rPr>
                <w:noProof/>
                <w:sz w:val="22"/>
                <w:szCs w:val="22"/>
                <w:lang w:val="en-IE"/>
              </w:rPr>
            </w:pPr>
            <w:r w:rsidRPr="0065549F">
              <w:rPr>
                <w:noProof/>
                <w:sz w:val="22"/>
                <w:szCs w:val="22"/>
                <w:lang w:val="en-IE"/>
              </w:rPr>
              <w:t>78.3</w:t>
            </w:r>
          </w:p>
        </w:tc>
        <w:tc>
          <w:tcPr>
            <w:tcW w:w="601" w:type="dxa"/>
            <w:vAlign w:val="center"/>
          </w:tcPr>
          <w:p w14:paraId="2A5F3A0E" w14:textId="564D56D9" w:rsidR="004D69DD" w:rsidRPr="0065549F" w:rsidRDefault="00FE62C5" w:rsidP="0065549F">
            <w:pPr>
              <w:pStyle w:val="Paragraph"/>
              <w:spacing w:after="0" w:line="240" w:lineRule="auto"/>
              <w:jc w:val="center"/>
              <w:rPr>
                <w:noProof/>
                <w:lang w:val="en-IE"/>
              </w:rPr>
            </w:pPr>
            <w:r w:rsidRPr="0065549F">
              <w:rPr>
                <w:noProof/>
                <w:sz w:val="22"/>
                <w:szCs w:val="22"/>
                <w:lang w:val="en-IE"/>
              </w:rPr>
              <w:t>78.1</w:t>
            </w:r>
          </w:p>
        </w:tc>
        <w:tc>
          <w:tcPr>
            <w:tcW w:w="657" w:type="dxa"/>
            <w:vAlign w:val="center"/>
          </w:tcPr>
          <w:p w14:paraId="2242F2DF" w14:textId="43819BF3" w:rsidR="004D69DD" w:rsidRPr="0065549F" w:rsidRDefault="004F4C4E" w:rsidP="00FE62C5">
            <w:pPr>
              <w:pStyle w:val="Paragraph"/>
              <w:spacing w:after="0" w:line="240" w:lineRule="auto"/>
              <w:jc w:val="center"/>
              <w:rPr>
                <w:b/>
                <w:bCs/>
                <w:noProof/>
                <w:sz w:val="22"/>
                <w:szCs w:val="22"/>
                <w:lang w:val="en-IE"/>
              </w:rPr>
            </w:pPr>
            <w:r w:rsidRPr="0065549F">
              <w:rPr>
                <w:b/>
                <w:bCs/>
                <w:noProof/>
                <w:sz w:val="22"/>
                <w:szCs w:val="22"/>
                <w:lang w:val="en-IE"/>
              </w:rPr>
              <w:t>75.8</w:t>
            </w:r>
          </w:p>
        </w:tc>
      </w:tr>
    </w:tbl>
    <w:p w14:paraId="27D3FB37" w14:textId="77777777" w:rsidR="00053573" w:rsidRPr="00486446" w:rsidRDefault="00053573">
      <w:pPr>
        <w:rPr>
          <w:rFonts w:ascii="Times New Roman" w:eastAsia="Times New Roman" w:hAnsi="Times New Roman" w:cs="Times New Roman"/>
          <w:noProof/>
          <w:sz w:val="20"/>
          <w:szCs w:val="20"/>
          <w:shd w:val="clear" w:color="auto" w:fill="FFFFFF"/>
          <w:lang w:val="en-IE"/>
        </w:rPr>
      </w:pPr>
    </w:p>
    <w:p w14:paraId="4ABE0A1A" w14:textId="77777777" w:rsidR="00CC12B5" w:rsidRPr="00486446" w:rsidRDefault="00CC12B5">
      <w:pPr>
        <w:rPr>
          <w:rFonts w:ascii="Times New Roman" w:eastAsia="Times New Roman" w:hAnsi="Times New Roman" w:cs="Times New Roman"/>
          <w:noProof/>
          <w:sz w:val="20"/>
          <w:szCs w:val="20"/>
          <w:shd w:val="clear" w:color="auto" w:fill="FFFFFF"/>
          <w:lang w:val="en-IE"/>
        </w:rPr>
      </w:pPr>
    </w:p>
    <w:p w14:paraId="3C9FACC3" w14:textId="5358AF10" w:rsidR="00A97CEC" w:rsidRDefault="00A97CEC">
      <w:pPr>
        <w:suppressAutoHyphens w:val="0"/>
        <w:rPr>
          <w:rFonts w:ascii="Times New Roman" w:eastAsia="Times New Roman" w:hAnsi="Times New Roman" w:cs="Times New Roman"/>
          <w:noProof/>
          <w:sz w:val="20"/>
          <w:szCs w:val="20"/>
          <w:shd w:val="clear" w:color="auto" w:fill="FFFFFF"/>
          <w:lang w:val="en-IE"/>
        </w:rPr>
      </w:pPr>
      <w:r>
        <w:rPr>
          <w:rFonts w:ascii="Times New Roman" w:eastAsia="Times New Roman" w:hAnsi="Times New Roman" w:cs="Times New Roman"/>
          <w:noProof/>
          <w:sz w:val="20"/>
          <w:szCs w:val="20"/>
          <w:shd w:val="clear" w:color="auto" w:fill="FFFFFF"/>
          <w:lang w:val="en-IE"/>
        </w:rPr>
        <w:br w:type="page"/>
      </w:r>
    </w:p>
    <w:p w14:paraId="118910CD" w14:textId="77825CD7" w:rsidR="00221B7C" w:rsidRPr="00007DF4" w:rsidRDefault="00221B7C" w:rsidP="0065549F">
      <w:pPr>
        <w:pStyle w:val="Heading3"/>
        <w:spacing w:before="0" w:after="160" w:line="250" w:lineRule="auto"/>
        <w:rPr>
          <w:rFonts w:ascii="Times New Roman" w:hAnsi="Times New Roman"/>
          <w:b/>
          <w:bCs/>
          <w:noProof/>
          <w:color w:val="auto"/>
        </w:rPr>
      </w:pPr>
      <w:bookmarkStart w:id="90" w:name="_Toc220103451"/>
      <w:r w:rsidRPr="00007DF4">
        <w:rPr>
          <w:rFonts w:ascii="Times New Roman" w:hAnsi="Times New Roman"/>
          <w:b/>
          <w:bCs/>
          <w:noProof/>
          <w:color w:val="auto"/>
        </w:rPr>
        <w:t>KPI 1</w:t>
      </w:r>
      <w:r w:rsidR="00255CB0">
        <w:rPr>
          <w:rFonts w:ascii="Times New Roman" w:hAnsi="Times New Roman"/>
          <w:b/>
          <w:bCs/>
          <w:noProof/>
          <w:color w:val="auto"/>
        </w:rPr>
        <w:t>6</w:t>
      </w:r>
      <w:r w:rsidRPr="00007DF4">
        <w:rPr>
          <w:rFonts w:ascii="Times New Roman" w:hAnsi="Times New Roman"/>
          <w:b/>
          <w:bCs/>
          <w:noProof/>
          <w:color w:val="auto"/>
        </w:rPr>
        <w:t>: Labour shortages relevant for the green transition</w:t>
      </w:r>
      <w:bookmarkEnd w:id="90"/>
      <w:r w:rsidRPr="00007DF4">
        <w:rPr>
          <w:rFonts w:ascii="Times New Roman" w:hAnsi="Times New Roman"/>
          <w:b/>
          <w:bCs/>
          <w:noProof/>
          <w:color w:val="auto"/>
        </w:rPr>
        <w:t xml:space="preserve"> </w:t>
      </w:r>
    </w:p>
    <w:p w14:paraId="52565007" w14:textId="01C6467D" w:rsidR="00221B7C" w:rsidRPr="00486446" w:rsidRDefault="00510F74" w:rsidP="00221B7C">
      <w:pPr>
        <w:pStyle w:val="Paragraph"/>
        <w:rPr>
          <w:noProof/>
          <w:lang w:val="en-IE"/>
        </w:rPr>
      </w:pPr>
      <w:r w:rsidRPr="00486446">
        <w:rPr>
          <w:noProof/>
          <w:lang w:val="en-IE"/>
        </w:rPr>
        <w:t>KPI 1</w:t>
      </w:r>
      <w:r w:rsidR="00255CB0">
        <w:rPr>
          <w:noProof/>
          <w:lang w:val="en-IE"/>
        </w:rPr>
        <w:t>6</w:t>
      </w:r>
      <w:r w:rsidR="00221B7C" w:rsidRPr="00486446">
        <w:rPr>
          <w:noProof/>
          <w:lang w:val="en-IE"/>
        </w:rPr>
        <w:t xml:space="preserve"> shows </w:t>
      </w:r>
      <w:r w:rsidR="006D691C" w:rsidRPr="00486446">
        <w:rPr>
          <w:noProof/>
          <w:lang w:val="en-IE"/>
        </w:rPr>
        <w:t>the number of occupations requiring specific skills or knowledge for the green transition where at least five Member States reported a shortage</w:t>
      </w:r>
      <w:r w:rsidR="00FB6F8F">
        <w:rPr>
          <w:noProof/>
          <w:lang w:val="en-IE"/>
        </w:rPr>
        <w:t>.</w:t>
      </w:r>
      <w:r w:rsidR="00046C41" w:rsidRPr="00046C41">
        <w:rPr>
          <w:noProof/>
          <w:lang w:val="en-IE"/>
        </w:rPr>
        <w:t xml:space="preserve"> Occupations are considered relevant for the green transition if they require at least three green skills.</w:t>
      </w:r>
      <w:r w:rsidR="004E76B2">
        <w:rPr>
          <w:rStyle w:val="FootnoteReference"/>
          <w:noProof/>
          <w:lang w:val="en-IE"/>
        </w:rPr>
        <w:footnoteReference w:id="20"/>
      </w:r>
      <w:r w:rsidR="00046C41" w:rsidRPr="00046C41">
        <w:rPr>
          <w:noProof/>
          <w:lang w:val="en-IE"/>
        </w:rPr>
        <w:t>.</w:t>
      </w:r>
    </w:p>
    <w:p w14:paraId="32C74F10" w14:textId="20AB66A6" w:rsidR="00510F74" w:rsidRPr="00486446" w:rsidRDefault="00510F74" w:rsidP="00221B7C">
      <w:pPr>
        <w:pStyle w:val="Paragraph"/>
        <w:rPr>
          <w:noProof/>
          <w:lang w:val="en-IE"/>
        </w:rPr>
      </w:pPr>
      <w:r w:rsidRPr="00486446">
        <w:rPr>
          <w:noProof/>
          <w:lang w:val="en-IE"/>
        </w:rPr>
        <w:t>This KPI tracks progress against the objective laid down in the Clean Industrial Deal</w:t>
      </w:r>
      <w:r w:rsidR="00973165" w:rsidRPr="00486446">
        <w:rPr>
          <w:noProof/>
          <w:lang w:val="en-IE"/>
        </w:rPr>
        <w:t xml:space="preserve"> of reducing the number of occupations</w:t>
      </w:r>
      <w:r w:rsidR="00316A61">
        <w:rPr>
          <w:noProof/>
          <w:lang w:val="en-IE"/>
        </w:rPr>
        <w:t xml:space="preserve"> </w:t>
      </w:r>
      <w:r w:rsidR="00316A61" w:rsidRPr="00046C41">
        <w:rPr>
          <w:noProof/>
          <w:lang w:val="en-IE"/>
        </w:rPr>
        <w:t>relevant for the green transition</w:t>
      </w:r>
      <w:r w:rsidR="00973165" w:rsidRPr="00486446">
        <w:rPr>
          <w:noProof/>
          <w:lang w:val="en-IE"/>
        </w:rPr>
        <w:t xml:space="preserve"> </w:t>
      </w:r>
      <w:r w:rsidR="00044F27">
        <w:rPr>
          <w:noProof/>
          <w:lang w:val="en-IE"/>
        </w:rPr>
        <w:t>with labour</w:t>
      </w:r>
      <w:r w:rsidR="00973165" w:rsidRPr="00486446">
        <w:rPr>
          <w:noProof/>
          <w:lang w:val="en-IE"/>
        </w:rPr>
        <w:t xml:space="preserve"> shortage</w:t>
      </w:r>
      <w:r w:rsidRPr="00486446">
        <w:rPr>
          <w:noProof/>
          <w:lang w:val="en-IE"/>
        </w:rPr>
        <w:t>.</w:t>
      </w:r>
    </w:p>
    <w:p w14:paraId="69D6974A" w14:textId="5ED82D72" w:rsidR="00510F74" w:rsidRDefault="00730C28" w:rsidP="00730C28">
      <w:pPr>
        <w:pStyle w:val="Source"/>
        <w:rPr>
          <w:noProof/>
          <w:color w:val="auto"/>
          <w:sz w:val="24"/>
          <w:szCs w:val="24"/>
        </w:rPr>
      </w:pPr>
      <w:r w:rsidRPr="0065549F">
        <w:rPr>
          <w:noProof/>
          <w:color w:val="auto"/>
          <w:sz w:val="24"/>
          <w:szCs w:val="24"/>
        </w:rPr>
        <w:t>The green transition is expected to create between 1 and 2.5 million additional jobs by 2030 in the EU</w:t>
      </w:r>
      <w:r w:rsidRPr="0065549F">
        <w:rPr>
          <w:noProof/>
          <w:color w:val="auto"/>
          <w:sz w:val="24"/>
          <w:szCs w:val="24"/>
          <w:vertAlign w:val="superscript"/>
          <w:lang w:val="en-IE"/>
        </w:rPr>
        <w:footnoteReference w:id="21"/>
      </w:r>
      <w:r w:rsidRPr="0065549F">
        <w:rPr>
          <w:noProof/>
          <w:color w:val="auto"/>
          <w:sz w:val="24"/>
          <w:szCs w:val="24"/>
        </w:rPr>
        <w:t xml:space="preserve">. However, many of these new jobs will be in sectors </w:t>
      </w:r>
      <w:r w:rsidR="00044F27">
        <w:rPr>
          <w:noProof/>
          <w:color w:val="auto"/>
          <w:sz w:val="24"/>
          <w:szCs w:val="24"/>
        </w:rPr>
        <w:t xml:space="preserve">that </w:t>
      </w:r>
      <w:r w:rsidRPr="0065549F">
        <w:rPr>
          <w:noProof/>
          <w:color w:val="auto"/>
          <w:sz w:val="24"/>
          <w:szCs w:val="24"/>
        </w:rPr>
        <w:t xml:space="preserve">already </w:t>
      </w:r>
      <w:r w:rsidR="00BB7240">
        <w:rPr>
          <w:noProof/>
          <w:color w:val="auto"/>
          <w:sz w:val="24"/>
          <w:szCs w:val="24"/>
        </w:rPr>
        <w:t>face</w:t>
      </w:r>
      <w:r w:rsidRPr="0065549F">
        <w:rPr>
          <w:noProof/>
          <w:color w:val="auto"/>
          <w:sz w:val="24"/>
          <w:szCs w:val="24"/>
        </w:rPr>
        <w:t xml:space="preserve"> labour shortage</w:t>
      </w:r>
      <w:r w:rsidR="00D20C9B">
        <w:rPr>
          <w:noProof/>
          <w:color w:val="auto"/>
          <w:sz w:val="24"/>
          <w:szCs w:val="24"/>
        </w:rPr>
        <w:t>s</w:t>
      </w:r>
      <w:r w:rsidR="0033063E">
        <w:rPr>
          <w:noProof/>
          <w:color w:val="auto"/>
          <w:sz w:val="24"/>
          <w:szCs w:val="24"/>
        </w:rPr>
        <w:t>. The number</w:t>
      </w:r>
      <w:r w:rsidR="00944016">
        <w:rPr>
          <w:noProof/>
          <w:color w:val="auto"/>
          <w:sz w:val="24"/>
          <w:szCs w:val="24"/>
        </w:rPr>
        <w:t xml:space="preserve"> </w:t>
      </w:r>
      <w:r w:rsidR="000B6760">
        <w:rPr>
          <w:noProof/>
          <w:color w:val="auto"/>
          <w:sz w:val="24"/>
          <w:szCs w:val="24"/>
        </w:rPr>
        <w:t>of</w:t>
      </w:r>
      <w:r>
        <w:rPr>
          <w:noProof/>
          <w:color w:val="auto"/>
          <w:sz w:val="24"/>
          <w:szCs w:val="24"/>
        </w:rPr>
        <w:t xml:space="preserve"> </w:t>
      </w:r>
      <w:r w:rsidR="0033063E">
        <w:rPr>
          <w:noProof/>
          <w:color w:val="auto"/>
          <w:sz w:val="24"/>
          <w:szCs w:val="24"/>
        </w:rPr>
        <w:t xml:space="preserve">occupations </w:t>
      </w:r>
      <w:r w:rsidR="00BB7240">
        <w:rPr>
          <w:noProof/>
          <w:color w:val="auto"/>
          <w:sz w:val="24"/>
          <w:szCs w:val="24"/>
        </w:rPr>
        <w:t xml:space="preserve">with </w:t>
      </w:r>
      <w:r w:rsidR="0033063E">
        <w:rPr>
          <w:noProof/>
          <w:color w:val="auto"/>
          <w:sz w:val="24"/>
          <w:szCs w:val="24"/>
        </w:rPr>
        <w:t>labour shortages ha</w:t>
      </w:r>
      <w:r w:rsidR="00BB7240">
        <w:rPr>
          <w:noProof/>
          <w:color w:val="auto"/>
          <w:sz w:val="24"/>
          <w:szCs w:val="24"/>
        </w:rPr>
        <w:t>s</w:t>
      </w:r>
      <w:r w:rsidR="0033063E">
        <w:rPr>
          <w:noProof/>
          <w:color w:val="auto"/>
          <w:sz w:val="24"/>
          <w:szCs w:val="24"/>
        </w:rPr>
        <w:t xml:space="preserve"> doubled </w:t>
      </w:r>
      <w:r w:rsidR="00BB7240">
        <w:rPr>
          <w:noProof/>
          <w:color w:val="auto"/>
          <w:sz w:val="24"/>
          <w:szCs w:val="24"/>
        </w:rPr>
        <w:t xml:space="preserve">in </w:t>
      </w:r>
      <w:r w:rsidR="0033063E">
        <w:rPr>
          <w:noProof/>
          <w:color w:val="auto"/>
          <w:sz w:val="24"/>
          <w:szCs w:val="24"/>
        </w:rPr>
        <w:t>just one year</w:t>
      </w:r>
      <w:r w:rsidRPr="0065549F">
        <w:rPr>
          <w:noProof/>
          <w:color w:val="auto"/>
          <w:sz w:val="24"/>
          <w:szCs w:val="24"/>
        </w:rPr>
        <w:t>.</w:t>
      </w:r>
      <w:r w:rsidR="00D20C9B" w:rsidRPr="0065549F">
        <w:rPr>
          <w:noProof/>
          <w:color w:val="auto"/>
          <w:sz w:val="24"/>
          <w:szCs w:val="24"/>
        </w:rPr>
        <w:t xml:space="preserve"> Such occupations include plumbers and pipe fitters (</w:t>
      </w:r>
      <w:r w:rsidR="00E33EF8">
        <w:rPr>
          <w:noProof/>
          <w:color w:val="auto"/>
          <w:sz w:val="24"/>
          <w:szCs w:val="24"/>
        </w:rPr>
        <w:t xml:space="preserve">shortages in </w:t>
      </w:r>
      <w:r w:rsidR="00D20C9B" w:rsidRPr="0065549F">
        <w:rPr>
          <w:noProof/>
          <w:color w:val="auto"/>
          <w:sz w:val="24"/>
          <w:szCs w:val="24"/>
        </w:rPr>
        <w:t>20 Member States), insulation workers, civil engineers and air conditioning and refrigeration mechanics (14), civil engineering technicians (12) and roofers (11). They require technical and manual expertise essential to the green transition.</w:t>
      </w:r>
    </w:p>
    <w:p w14:paraId="7CD8611F" w14:textId="77777777" w:rsidR="000C0B93" w:rsidRDefault="000C0B93" w:rsidP="00730C28">
      <w:pPr>
        <w:pStyle w:val="Source"/>
        <w:rPr>
          <w:noProof/>
          <w:color w:val="auto"/>
          <w:sz w:val="24"/>
          <w:szCs w:val="24"/>
        </w:rPr>
      </w:pPr>
    </w:p>
    <w:p w14:paraId="7F31012F" w14:textId="2E8ADFBC" w:rsidR="004D4788" w:rsidRPr="00486446" w:rsidRDefault="00221B7C" w:rsidP="00B3159A">
      <w:pPr>
        <w:pStyle w:val="Figurecaption"/>
        <w:jc w:val="both"/>
        <w:rPr>
          <w:rFonts w:eastAsia="Times New Roman" w:cs="Times New Roman"/>
          <w:iCs w:val="0"/>
          <w:noProof/>
          <w:szCs w:val="24"/>
          <w:lang w:val="en-IE"/>
        </w:rPr>
      </w:pPr>
      <w:r w:rsidRPr="00486446">
        <w:rPr>
          <w:rFonts w:cs="Times New Roman"/>
          <w:b/>
          <w:noProof/>
          <w:lang w:val="en-IE"/>
        </w:rPr>
        <w:t>Figure 1</w:t>
      </w:r>
      <w:r w:rsidR="00255CB0">
        <w:rPr>
          <w:rFonts w:cs="Times New Roman"/>
          <w:b/>
          <w:noProof/>
          <w:lang w:val="en-IE"/>
        </w:rPr>
        <w:t>6</w:t>
      </w:r>
      <w:r w:rsidRPr="00486446">
        <w:rPr>
          <w:rFonts w:cs="Times New Roman"/>
          <w:noProof/>
          <w:lang w:val="en-IE"/>
        </w:rPr>
        <w:t xml:space="preserve">: </w:t>
      </w:r>
      <w:r w:rsidR="00D93E1E" w:rsidRPr="00486446">
        <w:rPr>
          <w:rFonts w:eastAsia="Times New Roman" w:cs="Times New Roman"/>
          <w:iCs w:val="0"/>
          <w:noProof/>
          <w:szCs w:val="24"/>
          <w:lang w:val="en-IE"/>
        </w:rPr>
        <w:t>Labour shortages relevant for the green transition</w:t>
      </w:r>
      <w:r w:rsidR="0040726C" w:rsidRPr="00486446">
        <w:rPr>
          <w:rFonts w:eastAsia="Times New Roman" w:cs="Times New Roman"/>
          <w:iCs w:val="0"/>
          <w:noProof/>
          <w:szCs w:val="24"/>
          <w:lang w:val="en-IE"/>
        </w:rPr>
        <w:t>.</w:t>
      </w:r>
    </w:p>
    <w:p w14:paraId="11DF35B1" w14:textId="69243AC9" w:rsidR="00221B7C" w:rsidRPr="006E0577" w:rsidRDefault="00076B55" w:rsidP="00510F74">
      <w:pPr>
        <w:pStyle w:val="Source"/>
        <w:jc w:val="center"/>
        <w:rPr>
          <w:noProof/>
          <w:color w:val="auto"/>
          <w:lang w:val="fr-BE"/>
        </w:rPr>
      </w:pPr>
      <w:r>
        <w:rPr>
          <w:noProof/>
          <w:lang w:eastAsia="en-GB"/>
        </w:rPr>
        <w:drawing>
          <wp:inline distT="0" distB="0" distL="0" distR="0" wp14:anchorId="0CA3E778" wp14:editId="06F39F2B">
            <wp:extent cx="4676775" cy="3486150"/>
            <wp:effectExtent l="0" t="0" r="9525" b="0"/>
            <wp:docPr id="12930437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43759" name=""/>
                    <pic:cNvPicPr/>
                  </pic:nvPicPr>
                  <pic:blipFill>
                    <a:blip r:embed="rId78">
                      <a:extLst>
                        <a:ext uri="{96DAC541-7B7A-43D3-8B79-37D633B846F1}">
                          <asvg:svgBlip xmlns:asvg="http://schemas.microsoft.com/office/drawing/2016/SVG/main" r:embed="rId79"/>
                        </a:ext>
                      </a:extLst>
                    </a:blip>
                    <a:stretch>
                      <a:fillRect/>
                    </a:stretch>
                  </pic:blipFill>
                  <pic:spPr>
                    <a:xfrm>
                      <a:off x="0" y="0"/>
                      <a:ext cx="4676775" cy="3486150"/>
                    </a:xfrm>
                    <a:prstGeom prst="rect">
                      <a:avLst/>
                    </a:prstGeom>
                  </pic:spPr>
                </pic:pic>
              </a:graphicData>
            </a:graphic>
          </wp:inline>
        </w:drawing>
      </w:r>
      <w:r w:rsidRPr="006E0577">
        <w:rPr>
          <w:noProof/>
          <w:color w:val="auto"/>
          <w:lang w:val="fr-BE"/>
        </w:rPr>
        <w:t xml:space="preserve"> </w:t>
      </w:r>
    </w:p>
    <w:p w14:paraId="1D9DAD68" w14:textId="4903405B" w:rsidR="00F65646" w:rsidRPr="006E0577" w:rsidRDefault="00221B7C" w:rsidP="00937B80">
      <w:pPr>
        <w:pStyle w:val="Source"/>
        <w:jc w:val="left"/>
        <w:rPr>
          <w:noProof/>
          <w:color w:val="auto"/>
          <w:lang w:val="fr-BE"/>
        </w:rPr>
      </w:pPr>
      <w:r w:rsidRPr="006E0577">
        <w:rPr>
          <w:noProof/>
          <w:color w:val="auto"/>
          <w:lang w:val="fr-BE"/>
        </w:rPr>
        <w:t xml:space="preserve">Source: </w:t>
      </w:r>
      <w:r w:rsidR="00107010" w:rsidRPr="006E0577">
        <w:rPr>
          <w:noProof/>
          <w:color w:val="auto"/>
          <w:lang w:val="fr-BE"/>
        </w:rPr>
        <w:t xml:space="preserve">European Commission </w:t>
      </w:r>
      <w:r w:rsidR="00110FC6" w:rsidRPr="006E0577">
        <w:rPr>
          <w:noProof/>
          <w:color w:val="auto"/>
          <w:lang w:val="fr-BE"/>
        </w:rPr>
        <w:t>services</w:t>
      </w:r>
    </w:p>
    <w:p w14:paraId="698FC414" w14:textId="77777777" w:rsidR="00CC12B5" w:rsidRPr="006E0577" w:rsidRDefault="00CC12B5" w:rsidP="00221B7C">
      <w:pPr>
        <w:pStyle w:val="Source"/>
        <w:rPr>
          <w:noProof/>
          <w:color w:val="auto"/>
          <w:sz w:val="24"/>
          <w:szCs w:val="24"/>
          <w:lang w:val="fr-BE"/>
        </w:rPr>
      </w:pPr>
    </w:p>
    <w:p w14:paraId="6EC41068" w14:textId="01DDF562" w:rsidR="00CC12B5" w:rsidRPr="006E0577" w:rsidRDefault="00A97CEC" w:rsidP="00A97CEC">
      <w:pPr>
        <w:suppressAutoHyphens w:val="0"/>
        <w:rPr>
          <w:rFonts w:ascii="Times New Roman" w:eastAsia="Times New Roman" w:hAnsi="Times New Roman" w:cs="Times New Roman"/>
          <w:noProof/>
          <w:sz w:val="20"/>
          <w:szCs w:val="20"/>
          <w:shd w:val="clear" w:color="auto" w:fill="FFFFFF"/>
          <w:lang w:val="fr-BE"/>
        </w:rPr>
      </w:pPr>
      <w:r w:rsidRPr="006E0577">
        <w:rPr>
          <w:noProof/>
          <w:lang w:val="fr-BE"/>
        </w:rPr>
        <w:br w:type="page"/>
      </w:r>
    </w:p>
    <w:p w14:paraId="5528AACA" w14:textId="20B5FD3A" w:rsidR="00053573" w:rsidRPr="00C561D4" w:rsidRDefault="00053573" w:rsidP="0065549F">
      <w:pPr>
        <w:pStyle w:val="Heading3"/>
        <w:spacing w:before="0" w:after="160" w:line="250" w:lineRule="auto"/>
        <w:rPr>
          <w:rFonts w:ascii="Times New Roman" w:hAnsi="Times New Roman"/>
          <w:b/>
          <w:noProof/>
          <w:color w:val="auto"/>
          <w:lang w:val="fr-BE"/>
        </w:rPr>
      </w:pPr>
      <w:bookmarkStart w:id="91" w:name="_Toc183515548"/>
      <w:bookmarkStart w:id="92" w:name="_Toc185237890"/>
      <w:bookmarkStart w:id="93" w:name="_Toc185239893"/>
      <w:bookmarkStart w:id="94" w:name="_Toc185264656"/>
      <w:bookmarkStart w:id="95" w:name="_Toc185525749"/>
      <w:bookmarkStart w:id="96" w:name="_Toc185591289"/>
      <w:bookmarkStart w:id="97" w:name="_Toc220103452"/>
      <w:r w:rsidRPr="00C561D4">
        <w:rPr>
          <w:rFonts w:ascii="Times New Roman" w:hAnsi="Times New Roman"/>
          <w:b/>
          <w:noProof/>
          <w:color w:val="auto"/>
          <w:lang w:val="fr-BE"/>
        </w:rPr>
        <w:t>KPI 1</w:t>
      </w:r>
      <w:r w:rsidR="00DB6BAF" w:rsidRPr="00C561D4">
        <w:rPr>
          <w:rFonts w:ascii="Times New Roman" w:hAnsi="Times New Roman"/>
          <w:b/>
          <w:noProof/>
          <w:color w:val="auto"/>
          <w:lang w:val="fr-BE"/>
        </w:rPr>
        <w:t>7</w:t>
      </w:r>
      <w:r w:rsidRPr="00C561D4">
        <w:rPr>
          <w:rFonts w:ascii="Times New Roman" w:hAnsi="Times New Roman"/>
          <w:b/>
          <w:noProof/>
          <w:color w:val="auto"/>
          <w:lang w:val="fr-BE"/>
        </w:rPr>
        <w:t>: PISA score</w:t>
      </w:r>
      <w:bookmarkEnd w:id="91"/>
      <w:bookmarkEnd w:id="92"/>
      <w:bookmarkEnd w:id="93"/>
      <w:bookmarkEnd w:id="94"/>
      <w:bookmarkEnd w:id="95"/>
      <w:bookmarkEnd w:id="96"/>
      <w:r w:rsidR="00A03C89" w:rsidRPr="00C561D4">
        <w:rPr>
          <w:rFonts w:ascii="Times New Roman" w:hAnsi="Times New Roman"/>
          <w:b/>
          <w:noProof/>
          <w:color w:val="auto"/>
          <w:lang w:val="fr-BE"/>
        </w:rPr>
        <w:t>s</w:t>
      </w:r>
      <w:bookmarkEnd w:id="97"/>
    </w:p>
    <w:p w14:paraId="6A4F3F05" w14:textId="71BAACD9" w:rsidR="00821122" w:rsidRPr="00486446" w:rsidRDefault="00821122" w:rsidP="006E0577">
      <w:pPr>
        <w:pStyle w:val="Paragraph"/>
        <w:spacing w:line="250" w:lineRule="auto"/>
        <w:rPr>
          <w:noProof/>
        </w:rPr>
      </w:pPr>
      <w:r w:rsidRPr="00486446">
        <w:rPr>
          <w:noProof/>
          <w:lang w:val="en-IE"/>
        </w:rPr>
        <w:t>KPI 1</w:t>
      </w:r>
      <w:r w:rsidR="00C00D1F">
        <w:rPr>
          <w:noProof/>
          <w:lang w:val="en-IE"/>
        </w:rPr>
        <w:t>7</w:t>
      </w:r>
      <w:r w:rsidRPr="00486446">
        <w:rPr>
          <w:noProof/>
          <w:lang w:val="en-IE"/>
        </w:rPr>
        <w:t xml:space="preserve"> tracks 15-year-olds’ performance in the OECD’s PISA tests covering maths, reading and science.</w:t>
      </w:r>
      <w:r w:rsidR="0055082D" w:rsidRPr="00486446">
        <w:rPr>
          <w:noProof/>
          <w:lang w:val="en-IE"/>
        </w:rPr>
        <w:t xml:space="preserve"> </w:t>
      </w:r>
      <w:r w:rsidR="0055082D" w:rsidRPr="00486446">
        <w:rPr>
          <w:noProof/>
        </w:rPr>
        <w:t xml:space="preserve">Figure 18 shows the PISA scores for 2022, 2018 and 2015 for the EU, US, UK, Japan and China. The data for the EU are the average scores </w:t>
      </w:r>
      <w:r w:rsidR="00D8364D">
        <w:rPr>
          <w:noProof/>
        </w:rPr>
        <w:t>for</w:t>
      </w:r>
      <w:r w:rsidR="0055082D" w:rsidRPr="00486446">
        <w:rPr>
          <w:noProof/>
        </w:rPr>
        <w:t xml:space="preserve"> the 27 Member States, weighted by the number of 15-year-olds enrolled in education</w:t>
      </w:r>
      <w:r w:rsidR="00E500D2" w:rsidRPr="00486446">
        <w:rPr>
          <w:noProof/>
        </w:rPr>
        <w:t>.</w:t>
      </w:r>
    </w:p>
    <w:p w14:paraId="5C8E85E5" w14:textId="0F70FBA2" w:rsidR="00937B80" w:rsidRDefault="00730C28" w:rsidP="006E0577">
      <w:pPr>
        <w:pStyle w:val="Source"/>
        <w:spacing w:line="250" w:lineRule="auto"/>
        <w:rPr>
          <w:noProof/>
          <w:sz w:val="24"/>
          <w:szCs w:val="24"/>
          <w:lang w:val="en-IE"/>
        </w:rPr>
      </w:pPr>
      <w:r w:rsidRPr="0065549F">
        <w:rPr>
          <w:noProof/>
          <w:sz w:val="24"/>
          <w:szCs w:val="24"/>
          <w:lang w:val="en-IE"/>
        </w:rPr>
        <w:t xml:space="preserve">The EU’s average PISA scores have </w:t>
      </w:r>
      <w:r w:rsidR="00D8364D">
        <w:rPr>
          <w:noProof/>
          <w:sz w:val="24"/>
          <w:szCs w:val="24"/>
          <w:lang w:val="en-IE"/>
        </w:rPr>
        <w:t>fallen</w:t>
      </w:r>
      <w:r w:rsidRPr="0065549F">
        <w:rPr>
          <w:noProof/>
          <w:sz w:val="24"/>
          <w:szCs w:val="24"/>
          <w:lang w:val="en-IE"/>
        </w:rPr>
        <w:t xml:space="preserve"> in all disciplines and EU students underperform compared to their peers in the UK, the US, Japan and China</w:t>
      </w:r>
      <w:r w:rsidR="00311803">
        <w:rPr>
          <w:rStyle w:val="FootnoteReference"/>
          <w:noProof/>
          <w:sz w:val="24"/>
          <w:szCs w:val="24"/>
          <w:lang w:val="en-IE"/>
        </w:rPr>
        <w:footnoteReference w:id="22"/>
      </w:r>
      <w:r w:rsidRPr="0065549F">
        <w:rPr>
          <w:noProof/>
          <w:sz w:val="24"/>
          <w:szCs w:val="24"/>
          <w:lang w:val="en-IE"/>
        </w:rPr>
        <w:t>.</w:t>
      </w:r>
    </w:p>
    <w:p w14:paraId="09C16D08" w14:textId="77777777" w:rsidR="000C0B93" w:rsidRDefault="000C0B93" w:rsidP="006E0577">
      <w:pPr>
        <w:pStyle w:val="Source"/>
        <w:spacing w:line="250" w:lineRule="auto"/>
        <w:rPr>
          <w:noProof/>
          <w:sz w:val="24"/>
          <w:szCs w:val="24"/>
          <w:lang w:val="en-IE"/>
        </w:rPr>
      </w:pPr>
    </w:p>
    <w:p w14:paraId="1D73FA87" w14:textId="2185F160" w:rsidR="00CC12B5" w:rsidRPr="00486446" w:rsidRDefault="00053573" w:rsidP="006E0577">
      <w:pPr>
        <w:pStyle w:val="Paragraph"/>
        <w:spacing w:line="250" w:lineRule="auto"/>
        <w:rPr>
          <w:noProof/>
          <w:lang w:val="en-IE"/>
        </w:rPr>
      </w:pPr>
      <w:r w:rsidRPr="00486446">
        <w:rPr>
          <w:b/>
          <w:noProof/>
          <w:lang w:val="en-IE"/>
        </w:rPr>
        <w:t>Figure 1</w:t>
      </w:r>
      <w:r w:rsidR="00C00D1F">
        <w:rPr>
          <w:b/>
          <w:noProof/>
          <w:lang w:val="en-IE"/>
        </w:rPr>
        <w:t>7</w:t>
      </w:r>
      <w:r w:rsidRPr="00486446">
        <w:rPr>
          <w:noProof/>
          <w:lang w:val="en-IE"/>
        </w:rPr>
        <w:t xml:space="preserve">: </w:t>
      </w:r>
      <w:r w:rsidR="00E638D6" w:rsidRPr="00486446">
        <w:rPr>
          <w:noProof/>
          <w:lang w:val="en-IE"/>
        </w:rPr>
        <w:t>PISA score</w:t>
      </w:r>
      <w:r w:rsidR="00C90587" w:rsidRPr="00486446">
        <w:rPr>
          <w:noProof/>
          <w:lang w:val="en-IE"/>
        </w:rPr>
        <w:t>s for the EU and other advanced economies.</w:t>
      </w:r>
    </w:p>
    <w:p w14:paraId="531F3FC3" w14:textId="278C3A3A" w:rsidR="00053573" w:rsidRPr="00486446" w:rsidRDefault="007A41B7" w:rsidP="007A41B7">
      <w:pPr>
        <w:pStyle w:val="Figurecaption"/>
        <w:jc w:val="center"/>
        <w:rPr>
          <w:rFonts w:cs="Times New Roman"/>
          <w:noProof/>
          <w:lang w:val="fr-FR"/>
        </w:rPr>
      </w:pPr>
      <w:r w:rsidRPr="00486446">
        <w:rPr>
          <w:rFonts w:cs="Times New Roman"/>
          <w:noProof/>
          <w:lang w:eastAsia="en-GB"/>
        </w:rPr>
        <w:drawing>
          <wp:inline distT="0" distB="0" distL="0" distR="0" wp14:anchorId="49A294AB" wp14:editId="1D9FF9EB">
            <wp:extent cx="5588000" cy="3604157"/>
            <wp:effectExtent l="0" t="0" r="0" b="0"/>
            <wp:docPr id="13691429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42938" name=""/>
                    <pic:cNvPicPr/>
                  </pic:nvPicPr>
                  <pic:blipFill>
                    <a:blip r:embed="rId80">
                      <a:extLst>
                        <a:ext uri="{96DAC541-7B7A-43D3-8B79-37D633B846F1}">
                          <asvg:svgBlip xmlns:asvg="http://schemas.microsoft.com/office/drawing/2016/SVG/main" r:embed="rId81"/>
                        </a:ext>
                      </a:extLst>
                    </a:blip>
                    <a:stretch>
                      <a:fillRect/>
                    </a:stretch>
                  </pic:blipFill>
                  <pic:spPr>
                    <a:xfrm>
                      <a:off x="0" y="0"/>
                      <a:ext cx="5607746" cy="3616893"/>
                    </a:xfrm>
                    <a:prstGeom prst="rect">
                      <a:avLst/>
                    </a:prstGeom>
                  </pic:spPr>
                </pic:pic>
              </a:graphicData>
            </a:graphic>
          </wp:inline>
        </w:drawing>
      </w:r>
    </w:p>
    <w:p w14:paraId="28AE38A3" w14:textId="12EEDA2E" w:rsidR="00221B7C" w:rsidRPr="0065549F" w:rsidRDefault="00053573" w:rsidP="00053573">
      <w:pPr>
        <w:pStyle w:val="Source"/>
        <w:rPr>
          <w:noProof/>
          <w:color w:val="auto"/>
          <w:lang w:val="en-IE"/>
        </w:rPr>
      </w:pPr>
      <w:r w:rsidRPr="0065549F">
        <w:rPr>
          <w:noProof/>
          <w:color w:val="auto"/>
          <w:lang w:val="en-IE"/>
        </w:rPr>
        <w:t>Source: OECD PISA database</w:t>
      </w:r>
    </w:p>
    <w:p w14:paraId="3510032E" w14:textId="77777777" w:rsidR="00EF7F80" w:rsidRPr="0065549F" w:rsidRDefault="00EF7F80" w:rsidP="00053573">
      <w:pPr>
        <w:pStyle w:val="Source"/>
        <w:rPr>
          <w:noProof/>
          <w:color w:val="auto"/>
          <w:sz w:val="24"/>
          <w:szCs w:val="24"/>
          <w:lang w:val="en-IE"/>
        </w:rPr>
      </w:pPr>
    </w:p>
    <w:p w14:paraId="4EF166A7" w14:textId="3B1B5E9C" w:rsidR="00A97CEC" w:rsidRDefault="00A97CEC">
      <w:pPr>
        <w:suppressAutoHyphens w:val="0"/>
        <w:rPr>
          <w:rFonts w:ascii="Times New Roman" w:eastAsia="Times New Roman" w:hAnsi="Times New Roman" w:cs="Times New Roman"/>
          <w:noProof/>
          <w:sz w:val="24"/>
          <w:szCs w:val="24"/>
          <w:shd w:val="clear" w:color="auto" w:fill="FFFFFF"/>
          <w:lang w:val="en-IE"/>
        </w:rPr>
      </w:pPr>
      <w:r>
        <w:rPr>
          <w:noProof/>
          <w:sz w:val="24"/>
          <w:szCs w:val="24"/>
          <w:lang w:val="en-IE"/>
        </w:rPr>
        <w:br w:type="page"/>
      </w:r>
    </w:p>
    <w:p w14:paraId="125CBB2E" w14:textId="29EB72F0" w:rsidR="00FF3730" w:rsidRPr="00007DF4" w:rsidRDefault="00FF3730" w:rsidP="0065549F">
      <w:pPr>
        <w:pStyle w:val="Heading2"/>
        <w:numPr>
          <w:ilvl w:val="0"/>
          <w:numId w:val="31"/>
        </w:numPr>
        <w:spacing w:before="0" w:after="160" w:line="250" w:lineRule="auto"/>
        <w:rPr>
          <w:rFonts w:ascii="Times New Roman" w:hAnsi="Times New Roman"/>
          <w:b/>
          <w:noProof/>
          <w:color w:val="auto"/>
          <w:sz w:val="28"/>
          <w:szCs w:val="28"/>
        </w:rPr>
      </w:pPr>
      <w:bookmarkStart w:id="98" w:name="_Toc185237891"/>
      <w:bookmarkStart w:id="99" w:name="_Toc185239894"/>
      <w:bookmarkStart w:id="100" w:name="_Toc185264657"/>
      <w:bookmarkStart w:id="101" w:name="_Toc185525750"/>
      <w:bookmarkStart w:id="102" w:name="_Toc185591290"/>
      <w:bookmarkStart w:id="103" w:name="_Toc220103453"/>
      <w:r w:rsidRPr="00007DF4" w:rsidDel="00D84CF8">
        <w:rPr>
          <w:rFonts w:ascii="Times New Roman" w:hAnsi="Times New Roman"/>
          <w:b/>
          <w:noProof/>
          <w:color w:val="auto"/>
          <w:sz w:val="28"/>
          <w:szCs w:val="28"/>
        </w:rPr>
        <w:t>D</w:t>
      </w:r>
      <w:r w:rsidRPr="00007DF4">
        <w:rPr>
          <w:rFonts w:ascii="Times New Roman" w:hAnsi="Times New Roman"/>
          <w:b/>
          <w:noProof/>
          <w:color w:val="auto"/>
          <w:sz w:val="28"/>
          <w:szCs w:val="28"/>
        </w:rPr>
        <w:t>ecarbonisation of industry</w:t>
      </w:r>
      <w:bookmarkStart w:id="104" w:name="_Hlk185236676"/>
      <w:bookmarkStart w:id="105" w:name="_Toc183515526"/>
      <w:bookmarkEnd w:id="98"/>
      <w:bookmarkEnd w:id="99"/>
      <w:bookmarkEnd w:id="100"/>
      <w:bookmarkEnd w:id="101"/>
      <w:bookmarkEnd w:id="102"/>
      <w:r w:rsidRPr="00007DF4">
        <w:rPr>
          <w:rFonts w:ascii="Times New Roman" w:hAnsi="Times New Roman"/>
          <w:b/>
          <w:noProof/>
          <w:color w:val="auto"/>
          <w:sz w:val="28"/>
          <w:szCs w:val="28"/>
        </w:rPr>
        <w:t xml:space="preserve"> and investment</w:t>
      </w:r>
      <w:bookmarkEnd w:id="103"/>
    </w:p>
    <w:p w14:paraId="4F1CC31B" w14:textId="77777777" w:rsidR="00170F4E" w:rsidRPr="0065549F" w:rsidRDefault="00170F4E" w:rsidP="0065549F">
      <w:pPr>
        <w:pStyle w:val="Heading2"/>
        <w:spacing w:before="0" w:after="160" w:line="250" w:lineRule="auto"/>
        <w:rPr>
          <w:rFonts w:ascii="Times New Roman" w:hAnsi="Times New Roman"/>
          <w:b/>
          <w:noProof/>
          <w:color w:val="auto"/>
          <w:sz w:val="24"/>
          <w:szCs w:val="24"/>
        </w:rPr>
      </w:pPr>
    </w:p>
    <w:p w14:paraId="76E74A5B" w14:textId="2A89C31F" w:rsidR="007D2691" w:rsidRPr="00007DF4" w:rsidRDefault="007D2691" w:rsidP="0065549F">
      <w:pPr>
        <w:pStyle w:val="Heading3"/>
        <w:spacing w:before="0" w:after="160" w:line="250" w:lineRule="auto"/>
        <w:rPr>
          <w:rFonts w:ascii="Times New Roman" w:hAnsi="Times New Roman"/>
          <w:b/>
          <w:bCs/>
          <w:noProof/>
          <w:color w:val="auto"/>
        </w:rPr>
      </w:pPr>
      <w:bookmarkStart w:id="106" w:name="_Toc220103454"/>
      <w:bookmarkEnd w:id="104"/>
      <w:bookmarkEnd w:id="105"/>
      <w:r w:rsidRPr="00007DF4">
        <w:rPr>
          <w:rFonts w:ascii="Times New Roman" w:hAnsi="Times New Roman"/>
          <w:b/>
          <w:bCs/>
          <w:noProof/>
          <w:color w:val="auto"/>
        </w:rPr>
        <w:t>KPI 1</w:t>
      </w:r>
      <w:r w:rsidR="00C00D1F">
        <w:rPr>
          <w:rFonts w:ascii="Times New Roman" w:hAnsi="Times New Roman"/>
          <w:b/>
          <w:bCs/>
          <w:noProof/>
          <w:color w:val="auto"/>
        </w:rPr>
        <w:t>8</w:t>
      </w:r>
      <w:r w:rsidRPr="00007DF4">
        <w:rPr>
          <w:rFonts w:ascii="Times New Roman" w:hAnsi="Times New Roman"/>
          <w:b/>
          <w:bCs/>
          <w:noProof/>
          <w:color w:val="auto"/>
        </w:rPr>
        <w:t>: Private investment </w:t>
      </w:r>
      <w:bookmarkEnd w:id="106"/>
    </w:p>
    <w:p w14:paraId="58726447" w14:textId="5E3AE8CA" w:rsidR="00E500D2" w:rsidRPr="00486446" w:rsidRDefault="00E500D2" w:rsidP="006E0577">
      <w:pPr>
        <w:pStyle w:val="Paragraph"/>
        <w:spacing w:line="250" w:lineRule="auto"/>
        <w:rPr>
          <w:noProof/>
          <w:lang w:val="en-IE"/>
        </w:rPr>
      </w:pPr>
      <w:r w:rsidRPr="00486446">
        <w:rPr>
          <w:noProof/>
          <w:lang w:val="en-IE"/>
        </w:rPr>
        <w:t>KPI 1</w:t>
      </w:r>
      <w:r w:rsidR="00C00D1F">
        <w:rPr>
          <w:noProof/>
          <w:lang w:val="en-IE"/>
        </w:rPr>
        <w:t>8</w:t>
      </w:r>
      <w:r w:rsidRPr="00486446">
        <w:rPr>
          <w:noProof/>
          <w:lang w:val="en-IE"/>
        </w:rPr>
        <w:t xml:space="preserve"> tracks</w:t>
      </w:r>
      <w:r w:rsidR="007D2691" w:rsidRPr="00486446">
        <w:rPr>
          <w:noProof/>
          <w:lang w:val="en-IE"/>
        </w:rPr>
        <w:t xml:space="preserve"> the trend</w:t>
      </w:r>
      <w:r w:rsidRPr="00486446">
        <w:rPr>
          <w:noProof/>
          <w:lang w:val="en-IE"/>
        </w:rPr>
        <w:t>s</w:t>
      </w:r>
      <w:r w:rsidR="007D2691" w:rsidRPr="00486446">
        <w:rPr>
          <w:noProof/>
          <w:lang w:val="en-IE"/>
        </w:rPr>
        <w:t xml:space="preserve"> in private</w:t>
      </w:r>
      <w:r w:rsidR="00D031F8">
        <w:rPr>
          <w:noProof/>
          <w:lang w:val="en-IE"/>
        </w:rPr>
        <w:t>-</w:t>
      </w:r>
      <w:r w:rsidR="005D5180">
        <w:rPr>
          <w:noProof/>
          <w:lang w:val="en-IE"/>
        </w:rPr>
        <w:t xml:space="preserve">sector </w:t>
      </w:r>
      <w:r w:rsidR="007D2691" w:rsidRPr="00486446">
        <w:rPr>
          <w:noProof/>
          <w:lang w:val="en-IE"/>
        </w:rPr>
        <w:t xml:space="preserve">investment (gross fixed capital formation) as a share of annual GDP for the EU, </w:t>
      </w:r>
      <w:r w:rsidRPr="00486446">
        <w:rPr>
          <w:noProof/>
          <w:lang w:val="en-IE"/>
        </w:rPr>
        <w:t>US and UK</w:t>
      </w:r>
      <w:r w:rsidR="007D2691" w:rsidRPr="00486446">
        <w:rPr>
          <w:noProof/>
          <w:lang w:val="en-IE"/>
        </w:rPr>
        <w:t>.</w:t>
      </w:r>
      <w:r w:rsidR="00605AF8">
        <w:rPr>
          <w:noProof/>
          <w:lang w:val="en-IE"/>
        </w:rPr>
        <w:t xml:space="preserve"> </w:t>
      </w:r>
      <w:r w:rsidRPr="00486446">
        <w:rPr>
          <w:noProof/>
          <w:lang w:val="en-IE"/>
        </w:rPr>
        <w:t xml:space="preserve">The data refer to the increase in the capital stock </w:t>
      </w:r>
      <w:r w:rsidR="00967C71">
        <w:rPr>
          <w:noProof/>
          <w:lang w:val="en-IE"/>
        </w:rPr>
        <w:t>o</w:t>
      </w:r>
      <w:r w:rsidR="005D5180">
        <w:rPr>
          <w:noProof/>
          <w:lang w:val="en-IE"/>
        </w:rPr>
        <w:t>wned by</w:t>
      </w:r>
      <w:r w:rsidRPr="00486446">
        <w:rPr>
          <w:noProof/>
          <w:lang w:val="en-IE"/>
        </w:rPr>
        <w:t xml:space="preserve"> companies and individuals, including equipment, land, houses and other buildings, and intangible</w:t>
      </w:r>
      <w:r w:rsidR="00D33B76">
        <w:rPr>
          <w:noProof/>
          <w:lang w:val="en-IE"/>
        </w:rPr>
        <w:t xml:space="preserve"> asse</w:t>
      </w:r>
      <w:r w:rsidR="0049130B">
        <w:rPr>
          <w:noProof/>
          <w:lang w:val="en-IE"/>
        </w:rPr>
        <w:t>tt</w:t>
      </w:r>
      <w:r w:rsidRPr="00486446">
        <w:rPr>
          <w:noProof/>
          <w:lang w:val="en-IE"/>
        </w:rPr>
        <w:t xml:space="preserve">s </w:t>
      </w:r>
      <w:r w:rsidR="0049130B">
        <w:rPr>
          <w:noProof/>
          <w:lang w:val="en-IE"/>
        </w:rPr>
        <w:t>such as</w:t>
      </w:r>
      <w:r w:rsidRPr="00486446">
        <w:rPr>
          <w:noProof/>
          <w:lang w:val="en-IE"/>
        </w:rPr>
        <w:t xml:space="preserve"> R&amp;D.</w:t>
      </w:r>
    </w:p>
    <w:p w14:paraId="43D12AAC" w14:textId="2D5CFF92" w:rsidR="00180904" w:rsidRDefault="63100454" w:rsidP="006E0577">
      <w:pPr>
        <w:spacing w:after="160" w:line="250" w:lineRule="auto"/>
        <w:jc w:val="both"/>
        <w:rPr>
          <w:rFonts w:ascii="Times New Roman" w:eastAsia="Times New Roman" w:hAnsi="Times New Roman" w:cs="Times New Roman"/>
          <w:noProof/>
          <w:color w:val="000000" w:themeColor="text1"/>
          <w:sz w:val="24"/>
          <w:szCs w:val="24"/>
          <w:lang w:val="en-IE"/>
        </w:rPr>
      </w:pPr>
      <w:r w:rsidRPr="0B60EA83">
        <w:rPr>
          <w:rFonts w:ascii="Times New Roman" w:eastAsia="Times New Roman" w:hAnsi="Times New Roman" w:cs="Times New Roman"/>
          <w:noProof/>
          <w:color w:val="000000" w:themeColor="text1"/>
          <w:sz w:val="24"/>
          <w:szCs w:val="24"/>
          <w:lang w:val="en-IE"/>
        </w:rPr>
        <w:t>Private</w:t>
      </w:r>
      <w:r w:rsidR="00D031F8">
        <w:rPr>
          <w:rFonts w:ascii="Times New Roman" w:eastAsia="Times New Roman" w:hAnsi="Times New Roman" w:cs="Times New Roman"/>
          <w:noProof/>
          <w:color w:val="000000" w:themeColor="text1"/>
          <w:sz w:val="24"/>
          <w:szCs w:val="24"/>
          <w:lang w:val="en-IE"/>
        </w:rPr>
        <w:t>-sector</w:t>
      </w:r>
      <w:r w:rsidRPr="0B60EA83">
        <w:rPr>
          <w:rFonts w:ascii="Times New Roman" w:eastAsia="Times New Roman" w:hAnsi="Times New Roman" w:cs="Times New Roman"/>
          <w:noProof/>
          <w:color w:val="000000" w:themeColor="text1"/>
          <w:sz w:val="24"/>
          <w:szCs w:val="24"/>
          <w:lang w:val="en-IE"/>
        </w:rPr>
        <w:t xml:space="preserve"> investment </w:t>
      </w:r>
      <w:r w:rsidR="00E3174D">
        <w:rPr>
          <w:rFonts w:ascii="Times New Roman" w:eastAsia="Times New Roman" w:hAnsi="Times New Roman" w:cs="Times New Roman"/>
          <w:noProof/>
          <w:color w:val="000000" w:themeColor="text1"/>
          <w:sz w:val="24"/>
          <w:szCs w:val="24"/>
          <w:lang w:val="en-IE"/>
        </w:rPr>
        <w:t>fell</w:t>
      </w:r>
      <w:r w:rsidR="00E3174D" w:rsidRPr="0B60EA83">
        <w:rPr>
          <w:rFonts w:ascii="Times New Roman" w:eastAsia="Times New Roman" w:hAnsi="Times New Roman" w:cs="Times New Roman"/>
          <w:noProof/>
          <w:color w:val="000000" w:themeColor="text1"/>
          <w:sz w:val="24"/>
          <w:szCs w:val="24"/>
          <w:lang w:val="en-IE"/>
        </w:rPr>
        <w:t xml:space="preserve"> </w:t>
      </w:r>
      <w:r w:rsidRPr="0B60EA83">
        <w:rPr>
          <w:rFonts w:ascii="Times New Roman" w:eastAsia="Times New Roman" w:hAnsi="Times New Roman" w:cs="Times New Roman"/>
          <w:noProof/>
          <w:color w:val="000000" w:themeColor="text1"/>
          <w:sz w:val="24"/>
          <w:szCs w:val="24"/>
          <w:lang w:val="en-IE"/>
        </w:rPr>
        <w:t xml:space="preserve">by 3.2% in 2024. As a result, private investment as </w:t>
      </w:r>
      <w:r w:rsidR="00FD33C4">
        <w:rPr>
          <w:rFonts w:ascii="Times New Roman" w:eastAsia="Times New Roman" w:hAnsi="Times New Roman" w:cs="Times New Roman"/>
          <w:noProof/>
          <w:color w:val="000000" w:themeColor="text1"/>
          <w:sz w:val="24"/>
          <w:szCs w:val="24"/>
          <w:lang w:val="en-IE"/>
        </w:rPr>
        <w:t xml:space="preserve">a </w:t>
      </w:r>
      <w:r w:rsidRPr="0B60EA83">
        <w:rPr>
          <w:rFonts w:ascii="Times New Roman" w:eastAsia="Times New Roman" w:hAnsi="Times New Roman" w:cs="Times New Roman"/>
          <w:noProof/>
          <w:color w:val="000000" w:themeColor="text1"/>
          <w:sz w:val="24"/>
          <w:szCs w:val="24"/>
          <w:lang w:val="en-IE"/>
        </w:rPr>
        <w:t xml:space="preserve">share of GDP </w:t>
      </w:r>
      <w:r w:rsidR="0035707B">
        <w:rPr>
          <w:rFonts w:ascii="Times New Roman" w:eastAsia="Times New Roman" w:hAnsi="Times New Roman" w:cs="Times New Roman"/>
          <w:noProof/>
          <w:color w:val="000000" w:themeColor="text1"/>
          <w:sz w:val="24"/>
          <w:szCs w:val="24"/>
          <w:lang w:val="en-IE"/>
        </w:rPr>
        <w:t>also</w:t>
      </w:r>
      <w:r w:rsidRPr="0B60EA83">
        <w:rPr>
          <w:rFonts w:ascii="Times New Roman" w:eastAsia="Times New Roman" w:hAnsi="Times New Roman" w:cs="Times New Roman"/>
          <w:noProof/>
          <w:color w:val="000000" w:themeColor="text1"/>
          <w:sz w:val="24"/>
          <w:szCs w:val="24"/>
          <w:lang w:val="en-IE"/>
        </w:rPr>
        <w:t xml:space="preserve"> </w:t>
      </w:r>
      <w:r w:rsidR="00E76700">
        <w:rPr>
          <w:rFonts w:ascii="Times New Roman" w:eastAsia="Times New Roman" w:hAnsi="Times New Roman" w:cs="Times New Roman"/>
          <w:noProof/>
          <w:color w:val="000000" w:themeColor="text1"/>
          <w:sz w:val="24"/>
          <w:szCs w:val="24"/>
          <w:lang w:val="en-IE"/>
        </w:rPr>
        <w:t>fell</w:t>
      </w:r>
      <w:r w:rsidR="00E76700" w:rsidRPr="0B60EA83">
        <w:rPr>
          <w:rFonts w:ascii="Times New Roman" w:eastAsia="Times New Roman" w:hAnsi="Times New Roman" w:cs="Times New Roman"/>
          <w:noProof/>
          <w:color w:val="000000" w:themeColor="text1"/>
          <w:sz w:val="24"/>
          <w:szCs w:val="24"/>
          <w:lang w:val="en-IE"/>
        </w:rPr>
        <w:t xml:space="preserve"> </w:t>
      </w:r>
      <w:r w:rsidRPr="0B60EA83">
        <w:rPr>
          <w:rFonts w:ascii="Times New Roman" w:eastAsia="Times New Roman" w:hAnsi="Times New Roman" w:cs="Times New Roman"/>
          <w:noProof/>
          <w:color w:val="000000" w:themeColor="text1"/>
          <w:sz w:val="24"/>
          <w:szCs w:val="24"/>
          <w:lang w:val="en-IE"/>
        </w:rPr>
        <w:t xml:space="preserve">to 17.6% of GDP in 2024 and is now </w:t>
      </w:r>
      <w:r w:rsidR="00482840">
        <w:rPr>
          <w:rFonts w:ascii="Times New Roman" w:eastAsia="Times New Roman" w:hAnsi="Times New Roman" w:cs="Times New Roman"/>
          <w:noProof/>
          <w:color w:val="000000" w:themeColor="text1"/>
          <w:sz w:val="24"/>
          <w:szCs w:val="24"/>
          <w:lang w:val="en-IE"/>
        </w:rPr>
        <w:t>on</w:t>
      </w:r>
      <w:r w:rsidR="00482840" w:rsidRPr="0B60EA83">
        <w:rPr>
          <w:rFonts w:ascii="Times New Roman" w:eastAsia="Times New Roman" w:hAnsi="Times New Roman" w:cs="Times New Roman"/>
          <w:noProof/>
          <w:color w:val="000000" w:themeColor="text1"/>
          <w:sz w:val="24"/>
          <w:szCs w:val="24"/>
          <w:lang w:val="en-IE"/>
        </w:rPr>
        <w:t xml:space="preserve"> </w:t>
      </w:r>
      <w:r w:rsidRPr="0B60EA83">
        <w:rPr>
          <w:rFonts w:ascii="Times New Roman" w:eastAsia="Times New Roman" w:hAnsi="Times New Roman" w:cs="Times New Roman"/>
          <w:noProof/>
          <w:color w:val="000000" w:themeColor="text1"/>
          <w:sz w:val="24"/>
          <w:szCs w:val="24"/>
          <w:lang w:val="en-IE"/>
        </w:rPr>
        <w:t>par with US levels, after being broadly stable and higher than in</w:t>
      </w:r>
      <w:r w:rsidR="006627C4">
        <w:rPr>
          <w:rFonts w:ascii="Times New Roman" w:eastAsia="Times New Roman" w:hAnsi="Times New Roman" w:cs="Times New Roman"/>
          <w:noProof/>
          <w:color w:val="000000" w:themeColor="text1"/>
          <w:sz w:val="24"/>
          <w:szCs w:val="24"/>
          <w:lang w:val="en-IE"/>
        </w:rPr>
        <w:t xml:space="preserve"> the</w:t>
      </w:r>
      <w:r w:rsidRPr="0B60EA83">
        <w:rPr>
          <w:rFonts w:ascii="Times New Roman" w:eastAsia="Times New Roman" w:hAnsi="Times New Roman" w:cs="Times New Roman"/>
          <w:noProof/>
          <w:color w:val="000000" w:themeColor="text1"/>
          <w:sz w:val="24"/>
          <w:szCs w:val="24"/>
          <w:lang w:val="en-IE"/>
        </w:rPr>
        <w:t xml:space="preserve"> US in recent years.</w:t>
      </w:r>
    </w:p>
    <w:p w14:paraId="22C58324" w14:textId="77777777" w:rsidR="000C0B93" w:rsidRPr="00486446" w:rsidRDefault="000C0B93" w:rsidP="006E0577">
      <w:pPr>
        <w:spacing w:after="160" w:line="250" w:lineRule="auto"/>
        <w:jc w:val="both"/>
        <w:rPr>
          <w:rFonts w:cs="Calibri"/>
          <w:noProof/>
          <w:lang w:val="en-IE"/>
        </w:rPr>
      </w:pPr>
    </w:p>
    <w:p w14:paraId="43304854" w14:textId="15017875" w:rsidR="004E4636" w:rsidRPr="00486446" w:rsidRDefault="007D2691" w:rsidP="006E0577">
      <w:pPr>
        <w:pStyle w:val="paragraph0"/>
        <w:spacing w:before="0" w:beforeAutospacing="0" w:after="160" w:afterAutospacing="0" w:line="250" w:lineRule="auto"/>
        <w:jc w:val="both"/>
        <w:textAlignment w:val="baseline"/>
        <w:rPr>
          <w:noProof/>
          <w:kern w:val="3"/>
          <w:lang w:eastAsia="en-US"/>
        </w:rPr>
      </w:pPr>
      <w:r w:rsidRPr="00486446">
        <w:rPr>
          <w:b/>
          <w:bCs/>
          <w:noProof/>
        </w:rPr>
        <w:t>Figure 1</w:t>
      </w:r>
      <w:r w:rsidR="00C00D1F">
        <w:rPr>
          <w:b/>
          <w:bCs/>
          <w:noProof/>
        </w:rPr>
        <w:t>8</w:t>
      </w:r>
      <w:r w:rsidRPr="00486446">
        <w:rPr>
          <w:noProof/>
        </w:rPr>
        <w:t xml:space="preserve">: </w:t>
      </w:r>
      <w:r w:rsidR="009C26FB" w:rsidRPr="00486446">
        <w:rPr>
          <w:noProof/>
          <w:kern w:val="3"/>
          <w:lang w:eastAsia="en-US"/>
        </w:rPr>
        <w:t>Private</w:t>
      </w:r>
      <w:r w:rsidR="002A2DE8">
        <w:rPr>
          <w:noProof/>
          <w:kern w:val="3"/>
          <w:lang w:eastAsia="en-US"/>
        </w:rPr>
        <w:t>-sector</w:t>
      </w:r>
      <w:r w:rsidRPr="00486446">
        <w:rPr>
          <w:noProof/>
          <w:kern w:val="3"/>
          <w:lang w:eastAsia="en-US"/>
        </w:rPr>
        <w:t xml:space="preserve"> investment</w:t>
      </w:r>
      <w:r w:rsidR="00E500D2" w:rsidRPr="00486446">
        <w:rPr>
          <w:noProof/>
          <w:kern w:val="3"/>
          <w:lang w:eastAsia="en-US"/>
        </w:rPr>
        <w:t xml:space="preserve"> in the EU and other advanced economies.</w:t>
      </w:r>
    </w:p>
    <w:p w14:paraId="653326D7" w14:textId="21059704" w:rsidR="007D2691" w:rsidRPr="00486446" w:rsidRDefault="003606C2" w:rsidP="005B4371">
      <w:pPr>
        <w:pStyle w:val="paragraph0"/>
        <w:spacing w:before="0" w:beforeAutospacing="0" w:after="0" w:afterAutospacing="0"/>
        <w:jc w:val="center"/>
        <w:textAlignment w:val="baseline"/>
        <w:rPr>
          <w:noProof/>
          <w:lang w:val="en-GB"/>
        </w:rPr>
      </w:pPr>
      <w:r>
        <w:rPr>
          <w:noProof/>
          <w:lang w:val="en-GB" w:eastAsia="en-GB"/>
        </w:rPr>
        <w:drawing>
          <wp:inline distT="0" distB="0" distL="0" distR="0" wp14:anchorId="02ABC910" wp14:editId="364AC6AE">
            <wp:extent cx="5324612" cy="2976114"/>
            <wp:effectExtent l="0" t="0" r="0" b="0"/>
            <wp:docPr id="17835686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68649" name=""/>
                    <pic:cNvPicPr/>
                  </pic:nvPicPr>
                  <pic:blipFill>
                    <a:blip r:embed="rId82">
                      <a:extLst>
                        <a:ext uri="{96DAC541-7B7A-43D3-8B79-37D633B846F1}">
                          <asvg:svgBlip xmlns:asvg="http://schemas.microsoft.com/office/drawing/2016/SVG/main" r:embed="rId83"/>
                        </a:ext>
                      </a:extLst>
                    </a:blip>
                    <a:stretch>
                      <a:fillRect/>
                    </a:stretch>
                  </pic:blipFill>
                  <pic:spPr>
                    <a:xfrm>
                      <a:off x="0" y="0"/>
                      <a:ext cx="5328329" cy="2978191"/>
                    </a:xfrm>
                    <a:prstGeom prst="rect">
                      <a:avLst/>
                    </a:prstGeom>
                  </pic:spPr>
                </pic:pic>
              </a:graphicData>
            </a:graphic>
          </wp:inline>
        </w:drawing>
      </w:r>
    </w:p>
    <w:p w14:paraId="38EA161D" w14:textId="5C7E4003" w:rsidR="009C26FB" w:rsidRPr="00486446" w:rsidRDefault="007D2691" w:rsidP="0065549F">
      <w:pPr>
        <w:pStyle w:val="paragraph0"/>
        <w:spacing w:before="0" w:beforeAutospacing="0" w:after="160" w:afterAutospacing="0" w:line="250" w:lineRule="auto"/>
        <w:jc w:val="both"/>
        <w:textAlignment w:val="baseline"/>
        <w:rPr>
          <w:noProof/>
        </w:rPr>
      </w:pPr>
      <w:r w:rsidRPr="00486446">
        <w:rPr>
          <w:noProof/>
          <w:sz w:val="20"/>
          <w:szCs w:val="20"/>
        </w:rPr>
        <w:t>Source:</w:t>
      </w:r>
      <w:r w:rsidRPr="00486446">
        <w:rPr>
          <w:rFonts w:eastAsia="Calibri"/>
          <w:noProof/>
          <w:sz w:val="20"/>
          <w:szCs w:val="20"/>
        </w:rPr>
        <w:t xml:space="preserve"> </w:t>
      </w:r>
      <w:r w:rsidRPr="00486446">
        <w:rPr>
          <w:noProof/>
          <w:sz w:val="20"/>
          <w:szCs w:val="20"/>
        </w:rPr>
        <w:t>AMECO</w:t>
      </w:r>
      <w:r w:rsidR="003A1654">
        <w:rPr>
          <w:noProof/>
          <w:sz w:val="20"/>
          <w:szCs w:val="20"/>
        </w:rPr>
        <w:t xml:space="preserve"> database</w:t>
      </w:r>
    </w:p>
    <w:p w14:paraId="7F4C3E1D" w14:textId="00F2C35A" w:rsidR="00F2392F" w:rsidRPr="00486446" w:rsidRDefault="00F2392F" w:rsidP="0065549F">
      <w:pPr>
        <w:spacing w:after="160" w:line="250" w:lineRule="auto"/>
        <w:jc w:val="both"/>
        <w:rPr>
          <w:rFonts w:ascii="Times New Roman" w:eastAsia="Times New Roman" w:hAnsi="Times New Roman" w:cs="Times New Roman"/>
          <w:noProof/>
          <w:sz w:val="24"/>
          <w:szCs w:val="24"/>
          <w:lang w:val="en-IE"/>
        </w:rPr>
      </w:pPr>
      <w:r w:rsidRPr="00BA70D2">
        <w:rPr>
          <w:rFonts w:ascii="Times New Roman" w:eastAsia="Times New Roman" w:hAnsi="Times New Roman" w:cs="Times New Roman"/>
          <w:noProof/>
          <w:sz w:val="24"/>
          <w:szCs w:val="24"/>
          <w:lang w:val="en-IE"/>
        </w:rPr>
        <w:t>National data</w:t>
      </w:r>
      <w:r w:rsidR="00CF76D2" w:rsidRPr="00BA70D2">
        <w:rPr>
          <w:rFonts w:ascii="Times New Roman" w:eastAsia="Times New Roman" w:hAnsi="Times New Roman" w:cs="Times New Roman"/>
          <w:noProof/>
          <w:sz w:val="24"/>
          <w:szCs w:val="24"/>
          <w:lang w:val="en-IE"/>
        </w:rPr>
        <w:t>, %</w:t>
      </w:r>
      <w:r w:rsidRPr="00BA70D2">
        <w:rPr>
          <w:rFonts w:ascii="Times New Roman" w:eastAsia="Times New Roman" w:hAnsi="Times New Roman" w:cs="Times New Roman"/>
          <w:noProof/>
          <w:sz w:val="24"/>
          <w:szCs w:val="24"/>
          <w:lang w:val="en-IE"/>
        </w:rPr>
        <w:t xml:space="preserve"> </w:t>
      </w:r>
      <w:r w:rsidR="00D76710" w:rsidRPr="00BA70D2">
        <w:rPr>
          <w:rFonts w:ascii="Times New Roman" w:eastAsia="Times New Roman" w:hAnsi="Times New Roman" w:cs="Times New Roman"/>
          <w:noProof/>
          <w:sz w:val="24"/>
          <w:szCs w:val="24"/>
          <w:lang w:val="en-IE"/>
        </w:rPr>
        <w:t>of GDP</w:t>
      </w:r>
      <w:r w:rsidRPr="00BA70D2">
        <w:rPr>
          <w:rFonts w:ascii="Times New Roman" w:eastAsia="Times New Roman" w:hAnsi="Times New Roman" w:cs="Times New Roman"/>
          <w:noProof/>
          <w:sz w:val="24"/>
          <w:szCs w:val="24"/>
          <w:lang w:val="en-IE"/>
        </w:rPr>
        <w:t xml:space="preserve"> </w:t>
      </w:r>
      <w:r w:rsidRPr="00F97AA7">
        <w:rPr>
          <w:rFonts w:ascii="Times New Roman" w:eastAsia="Times New Roman" w:hAnsi="Times New Roman" w:cs="Times New Roman"/>
          <w:noProof/>
          <w:sz w:val="24"/>
          <w:szCs w:val="24"/>
          <w:lang w:val="en-IE"/>
        </w:rPr>
        <w:t>(202</w:t>
      </w:r>
      <w:r w:rsidR="00E500D2" w:rsidRPr="00F97AA7">
        <w:rPr>
          <w:rFonts w:ascii="Times New Roman" w:eastAsia="Times New Roman" w:hAnsi="Times New Roman" w:cs="Times New Roman"/>
          <w:noProof/>
          <w:sz w:val="24"/>
          <w:szCs w:val="24"/>
          <w:lang w:val="en-IE"/>
        </w:rPr>
        <w:t>4</w:t>
      </w:r>
      <w:r w:rsidRPr="00F97AA7">
        <w:rPr>
          <w:rFonts w:ascii="Times New Roman" w:eastAsia="Times New Roman" w:hAnsi="Times New Roman" w:cs="Times New Roman"/>
          <w:noProof/>
          <w:sz w:val="24"/>
          <w:szCs w:val="24"/>
          <w:lang w:val="en-IE"/>
        </w:rPr>
        <w:t>)</w:t>
      </w:r>
    </w:p>
    <w:tbl>
      <w:tblPr>
        <w:tblStyle w:val="TableGrid"/>
        <w:tblW w:w="0" w:type="auto"/>
        <w:jc w:val="center"/>
        <w:tblLook w:val="04A0" w:firstRow="1" w:lastRow="0" w:firstColumn="1" w:lastColumn="0" w:noHBand="0" w:noVBand="1"/>
      </w:tblPr>
      <w:tblGrid>
        <w:gridCol w:w="644"/>
        <w:gridCol w:w="644"/>
        <w:gridCol w:w="644"/>
        <w:gridCol w:w="644"/>
        <w:gridCol w:w="644"/>
        <w:gridCol w:w="644"/>
        <w:gridCol w:w="644"/>
        <w:gridCol w:w="644"/>
        <w:gridCol w:w="644"/>
        <w:gridCol w:w="644"/>
        <w:gridCol w:w="644"/>
        <w:gridCol w:w="644"/>
        <w:gridCol w:w="644"/>
        <w:gridCol w:w="644"/>
      </w:tblGrid>
      <w:tr w:rsidR="00DA389F" w:rsidRPr="001C633D" w14:paraId="3CB8546A" w14:textId="77777777" w:rsidTr="001508AE">
        <w:trPr>
          <w:trHeight w:val="300"/>
          <w:jc w:val="center"/>
        </w:trPr>
        <w:tc>
          <w:tcPr>
            <w:tcW w:w="644" w:type="dxa"/>
            <w:shd w:val="clear" w:color="auto" w:fill="D9E2F3" w:themeFill="accent1" w:themeFillTint="33"/>
            <w:vAlign w:val="center"/>
            <w:hideMark/>
          </w:tcPr>
          <w:p w14:paraId="12E82552"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 xml:space="preserve">AT </w:t>
            </w:r>
          </w:p>
        </w:tc>
        <w:tc>
          <w:tcPr>
            <w:tcW w:w="644" w:type="dxa"/>
            <w:shd w:val="clear" w:color="auto" w:fill="D9E2F3" w:themeFill="accent1" w:themeFillTint="33"/>
            <w:vAlign w:val="center"/>
            <w:hideMark/>
          </w:tcPr>
          <w:p w14:paraId="6EEC851E"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BE</w:t>
            </w:r>
          </w:p>
        </w:tc>
        <w:tc>
          <w:tcPr>
            <w:tcW w:w="644" w:type="dxa"/>
            <w:shd w:val="clear" w:color="auto" w:fill="D9E2F3" w:themeFill="accent1" w:themeFillTint="33"/>
            <w:vAlign w:val="center"/>
            <w:hideMark/>
          </w:tcPr>
          <w:p w14:paraId="02BBB0EF"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BG</w:t>
            </w:r>
          </w:p>
        </w:tc>
        <w:tc>
          <w:tcPr>
            <w:tcW w:w="644" w:type="dxa"/>
            <w:shd w:val="clear" w:color="auto" w:fill="D9E2F3" w:themeFill="accent1" w:themeFillTint="33"/>
            <w:vAlign w:val="center"/>
            <w:hideMark/>
          </w:tcPr>
          <w:p w14:paraId="757F7CFD"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CY</w:t>
            </w:r>
          </w:p>
        </w:tc>
        <w:tc>
          <w:tcPr>
            <w:tcW w:w="644" w:type="dxa"/>
            <w:shd w:val="clear" w:color="auto" w:fill="D9E2F3" w:themeFill="accent1" w:themeFillTint="33"/>
            <w:vAlign w:val="center"/>
            <w:hideMark/>
          </w:tcPr>
          <w:p w14:paraId="36EAF0A5"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CZ</w:t>
            </w:r>
          </w:p>
        </w:tc>
        <w:tc>
          <w:tcPr>
            <w:tcW w:w="644" w:type="dxa"/>
            <w:shd w:val="clear" w:color="auto" w:fill="D9E2F3" w:themeFill="accent1" w:themeFillTint="33"/>
            <w:vAlign w:val="center"/>
            <w:hideMark/>
          </w:tcPr>
          <w:p w14:paraId="6E1EC8B9"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DE</w:t>
            </w:r>
          </w:p>
        </w:tc>
        <w:tc>
          <w:tcPr>
            <w:tcW w:w="644" w:type="dxa"/>
            <w:shd w:val="clear" w:color="auto" w:fill="D9E2F3" w:themeFill="accent1" w:themeFillTint="33"/>
            <w:vAlign w:val="center"/>
            <w:hideMark/>
          </w:tcPr>
          <w:p w14:paraId="2E0758CB"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DK</w:t>
            </w:r>
          </w:p>
        </w:tc>
        <w:tc>
          <w:tcPr>
            <w:tcW w:w="644" w:type="dxa"/>
            <w:shd w:val="clear" w:color="auto" w:fill="D9E2F3" w:themeFill="accent1" w:themeFillTint="33"/>
            <w:vAlign w:val="center"/>
            <w:hideMark/>
          </w:tcPr>
          <w:p w14:paraId="6AE639B0"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EE</w:t>
            </w:r>
          </w:p>
        </w:tc>
        <w:tc>
          <w:tcPr>
            <w:tcW w:w="644" w:type="dxa"/>
            <w:shd w:val="clear" w:color="auto" w:fill="D9E2F3" w:themeFill="accent1" w:themeFillTint="33"/>
            <w:vAlign w:val="center"/>
            <w:hideMark/>
          </w:tcPr>
          <w:p w14:paraId="1D3FFBE4"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EL</w:t>
            </w:r>
          </w:p>
        </w:tc>
        <w:tc>
          <w:tcPr>
            <w:tcW w:w="644" w:type="dxa"/>
            <w:shd w:val="clear" w:color="auto" w:fill="D9E2F3" w:themeFill="accent1" w:themeFillTint="33"/>
            <w:vAlign w:val="center"/>
            <w:hideMark/>
          </w:tcPr>
          <w:p w14:paraId="3AAF237C"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ES</w:t>
            </w:r>
          </w:p>
        </w:tc>
        <w:tc>
          <w:tcPr>
            <w:tcW w:w="644" w:type="dxa"/>
            <w:shd w:val="clear" w:color="auto" w:fill="D9E2F3" w:themeFill="accent1" w:themeFillTint="33"/>
            <w:vAlign w:val="center"/>
          </w:tcPr>
          <w:p w14:paraId="6BF114BA"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FI</w:t>
            </w:r>
          </w:p>
        </w:tc>
        <w:tc>
          <w:tcPr>
            <w:tcW w:w="644" w:type="dxa"/>
            <w:shd w:val="clear" w:color="auto" w:fill="D9E2F3" w:themeFill="accent1" w:themeFillTint="33"/>
            <w:vAlign w:val="center"/>
          </w:tcPr>
          <w:p w14:paraId="1AB504C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FR</w:t>
            </w:r>
          </w:p>
        </w:tc>
        <w:tc>
          <w:tcPr>
            <w:tcW w:w="644" w:type="dxa"/>
            <w:shd w:val="clear" w:color="auto" w:fill="D9E2F3" w:themeFill="accent1" w:themeFillTint="33"/>
            <w:vAlign w:val="center"/>
          </w:tcPr>
          <w:p w14:paraId="2D842A38"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HR</w:t>
            </w:r>
          </w:p>
        </w:tc>
        <w:tc>
          <w:tcPr>
            <w:tcW w:w="644" w:type="dxa"/>
            <w:shd w:val="clear" w:color="auto" w:fill="D9E2F3" w:themeFill="accent1" w:themeFillTint="33"/>
            <w:vAlign w:val="center"/>
          </w:tcPr>
          <w:p w14:paraId="42547279"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HU</w:t>
            </w:r>
          </w:p>
        </w:tc>
      </w:tr>
      <w:tr w:rsidR="00DA389F" w:rsidRPr="001C633D" w14:paraId="3ABA48E1" w14:textId="77777777" w:rsidTr="00FD0882">
        <w:trPr>
          <w:trHeight w:val="315"/>
          <w:jc w:val="center"/>
        </w:trPr>
        <w:tc>
          <w:tcPr>
            <w:tcW w:w="644" w:type="dxa"/>
          </w:tcPr>
          <w:p w14:paraId="068B32CA" w14:textId="7AACC6E0"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19.6</w:t>
            </w:r>
          </w:p>
        </w:tc>
        <w:tc>
          <w:tcPr>
            <w:tcW w:w="644" w:type="dxa"/>
          </w:tcPr>
          <w:p w14:paraId="25281F6A" w14:textId="51568798"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21.1</w:t>
            </w:r>
          </w:p>
        </w:tc>
        <w:tc>
          <w:tcPr>
            <w:tcW w:w="644" w:type="dxa"/>
          </w:tcPr>
          <w:p w14:paraId="0F49E98C" w14:textId="7F9CB4BF"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15.2</w:t>
            </w:r>
          </w:p>
        </w:tc>
        <w:tc>
          <w:tcPr>
            <w:tcW w:w="644" w:type="dxa"/>
          </w:tcPr>
          <w:p w14:paraId="219150A4" w14:textId="39CEFE1F"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17.8</w:t>
            </w:r>
          </w:p>
        </w:tc>
        <w:tc>
          <w:tcPr>
            <w:tcW w:w="644" w:type="dxa"/>
          </w:tcPr>
          <w:p w14:paraId="5ECF6091" w14:textId="54F7B31E"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21.8</w:t>
            </w:r>
          </w:p>
        </w:tc>
        <w:tc>
          <w:tcPr>
            <w:tcW w:w="644" w:type="dxa"/>
          </w:tcPr>
          <w:p w14:paraId="54B89555" w14:textId="3D9F6728"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17.4</w:t>
            </w:r>
          </w:p>
        </w:tc>
        <w:tc>
          <w:tcPr>
            <w:tcW w:w="644" w:type="dxa"/>
          </w:tcPr>
          <w:p w14:paraId="4845C4FB" w14:textId="27453A88"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20.2</w:t>
            </w:r>
          </w:p>
        </w:tc>
        <w:tc>
          <w:tcPr>
            <w:tcW w:w="644" w:type="dxa"/>
          </w:tcPr>
          <w:p w14:paraId="37A2A8A0" w14:textId="25E33472"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17.7</w:t>
            </w:r>
          </w:p>
        </w:tc>
        <w:tc>
          <w:tcPr>
            <w:tcW w:w="644" w:type="dxa"/>
          </w:tcPr>
          <w:p w14:paraId="762BDAFD" w14:textId="185FC65E"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12.4</w:t>
            </w:r>
          </w:p>
        </w:tc>
        <w:tc>
          <w:tcPr>
            <w:tcW w:w="644" w:type="dxa"/>
          </w:tcPr>
          <w:p w14:paraId="0B7D0616" w14:textId="2D49CC88"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17.6</w:t>
            </w:r>
          </w:p>
        </w:tc>
        <w:tc>
          <w:tcPr>
            <w:tcW w:w="644" w:type="dxa"/>
          </w:tcPr>
          <w:p w14:paraId="565F3C4D" w14:textId="033842B8"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17.6</w:t>
            </w:r>
          </w:p>
        </w:tc>
        <w:tc>
          <w:tcPr>
            <w:tcW w:w="644" w:type="dxa"/>
          </w:tcPr>
          <w:p w14:paraId="1E994CA9" w14:textId="206440FF"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17.8</w:t>
            </w:r>
          </w:p>
        </w:tc>
        <w:tc>
          <w:tcPr>
            <w:tcW w:w="644" w:type="dxa"/>
          </w:tcPr>
          <w:p w14:paraId="7A1EBE71" w14:textId="411E3A4D"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20.0</w:t>
            </w:r>
          </w:p>
        </w:tc>
        <w:tc>
          <w:tcPr>
            <w:tcW w:w="644" w:type="dxa"/>
          </w:tcPr>
          <w:p w14:paraId="087CE718" w14:textId="3FAF6747" w:rsidR="004D69DD" w:rsidRPr="001C633D" w:rsidRDefault="001508AE" w:rsidP="00221417">
            <w:pPr>
              <w:pStyle w:val="Paragraph"/>
              <w:spacing w:after="0" w:line="240" w:lineRule="auto"/>
              <w:jc w:val="center"/>
              <w:rPr>
                <w:noProof/>
                <w:sz w:val="22"/>
                <w:szCs w:val="22"/>
                <w:lang w:val="en-IE"/>
              </w:rPr>
            </w:pPr>
            <w:r w:rsidRPr="006E0577">
              <w:rPr>
                <w:noProof/>
                <w:sz w:val="22"/>
                <w:szCs w:val="22"/>
              </w:rPr>
              <w:t>18.8</w:t>
            </w:r>
          </w:p>
        </w:tc>
      </w:tr>
      <w:tr w:rsidR="00DA389F" w:rsidRPr="001C633D" w14:paraId="10F750B4" w14:textId="77777777" w:rsidTr="001508AE">
        <w:trPr>
          <w:trHeight w:val="300"/>
          <w:jc w:val="center"/>
        </w:trPr>
        <w:tc>
          <w:tcPr>
            <w:tcW w:w="644" w:type="dxa"/>
            <w:shd w:val="clear" w:color="auto" w:fill="D9E2F3" w:themeFill="accent1" w:themeFillTint="33"/>
            <w:vAlign w:val="center"/>
          </w:tcPr>
          <w:p w14:paraId="178AAC5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IE</w:t>
            </w:r>
          </w:p>
        </w:tc>
        <w:tc>
          <w:tcPr>
            <w:tcW w:w="644" w:type="dxa"/>
            <w:shd w:val="clear" w:color="auto" w:fill="D9E2F3" w:themeFill="accent1" w:themeFillTint="33"/>
            <w:vAlign w:val="center"/>
          </w:tcPr>
          <w:p w14:paraId="3E016B54"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IT</w:t>
            </w:r>
          </w:p>
        </w:tc>
        <w:tc>
          <w:tcPr>
            <w:tcW w:w="644" w:type="dxa"/>
            <w:shd w:val="clear" w:color="auto" w:fill="D9E2F3" w:themeFill="accent1" w:themeFillTint="33"/>
            <w:vAlign w:val="center"/>
          </w:tcPr>
          <w:p w14:paraId="577F4F6E"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LT</w:t>
            </w:r>
          </w:p>
        </w:tc>
        <w:tc>
          <w:tcPr>
            <w:tcW w:w="644" w:type="dxa"/>
            <w:shd w:val="clear" w:color="auto" w:fill="D9E2F3" w:themeFill="accent1" w:themeFillTint="33"/>
            <w:vAlign w:val="center"/>
          </w:tcPr>
          <w:p w14:paraId="4A17079A"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LU</w:t>
            </w:r>
          </w:p>
        </w:tc>
        <w:tc>
          <w:tcPr>
            <w:tcW w:w="644" w:type="dxa"/>
            <w:shd w:val="clear" w:color="auto" w:fill="D9E2F3" w:themeFill="accent1" w:themeFillTint="33"/>
            <w:vAlign w:val="center"/>
          </w:tcPr>
          <w:p w14:paraId="708B7436"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LV</w:t>
            </w:r>
          </w:p>
        </w:tc>
        <w:tc>
          <w:tcPr>
            <w:tcW w:w="644" w:type="dxa"/>
            <w:shd w:val="clear" w:color="auto" w:fill="D9E2F3" w:themeFill="accent1" w:themeFillTint="33"/>
            <w:vAlign w:val="center"/>
          </w:tcPr>
          <w:p w14:paraId="30F63095"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MT</w:t>
            </w:r>
          </w:p>
        </w:tc>
        <w:tc>
          <w:tcPr>
            <w:tcW w:w="644" w:type="dxa"/>
            <w:shd w:val="clear" w:color="auto" w:fill="D9E2F3" w:themeFill="accent1" w:themeFillTint="33"/>
            <w:vAlign w:val="center"/>
          </w:tcPr>
          <w:p w14:paraId="6FB28C6F"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NL</w:t>
            </w:r>
          </w:p>
        </w:tc>
        <w:tc>
          <w:tcPr>
            <w:tcW w:w="644" w:type="dxa"/>
            <w:shd w:val="clear" w:color="auto" w:fill="D9E2F3" w:themeFill="accent1" w:themeFillTint="33"/>
            <w:vAlign w:val="center"/>
          </w:tcPr>
          <w:p w14:paraId="2FC26307"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PL</w:t>
            </w:r>
          </w:p>
        </w:tc>
        <w:tc>
          <w:tcPr>
            <w:tcW w:w="644" w:type="dxa"/>
            <w:shd w:val="clear" w:color="auto" w:fill="D9E2F3" w:themeFill="accent1" w:themeFillTint="33"/>
            <w:vAlign w:val="center"/>
          </w:tcPr>
          <w:p w14:paraId="4F5DE22D"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PT</w:t>
            </w:r>
          </w:p>
        </w:tc>
        <w:tc>
          <w:tcPr>
            <w:tcW w:w="644" w:type="dxa"/>
            <w:shd w:val="clear" w:color="auto" w:fill="D9E2F3" w:themeFill="accent1" w:themeFillTint="33"/>
            <w:vAlign w:val="center"/>
          </w:tcPr>
          <w:p w14:paraId="5FBAC1FF"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RO</w:t>
            </w:r>
          </w:p>
        </w:tc>
        <w:tc>
          <w:tcPr>
            <w:tcW w:w="644" w:type="dxa"/>
            <w:shd w:val="clear" w:color="auto" w:fill="D9E2F3" w:themeFill="accent1" w:themeFillTint="33"/>
            <w:vAlign w:val="center"/>
          </w:tcPr>
          <w:p w14:paraId="1AB131D3"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SE</w:t>
            </w:r>
          </w:p>
        </w:tc>
        <w:tc>
          <w:tcPr>
            <w:tcW w:w="644" w:type="dxa"/>
            <w:shd w:val="clear" w:color="auto" w:fill="D9E2F3" w:themeFill="accent1" w:themeFillTint="33"/>
            <w:vAlign w:val="center"/>
            <w:hideMark/>
          </w:tcPr>
          <w:p w14:paraId="1AD12B7E"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SI</w:t>
            </w:r>
          </w:p>
        </w:tc>
        <w:tc>
          <w:tcPr>
            <w:tcW w:w="644" w:type="dxa"/>
            <w:shd w:val="clear" w:color="auto" w:fill="D9E2F3" w:themeFill="accent1" w:themeFillTint="33"/>
            <w:vAlign w:val="center"/>
            <w:hideMark/>
          </w:tcPr>
          <w:p w14:paraId="657E5152"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SK</w:t>
            </w:r>
          </w:p>
        </w:tc>
        <w:tc>
          <w:tcPr>
            <w:tcW w:w="644" w:type="dxa"/>
            <w:shd w:val="clear" w:color="auto" w:fill="D9E2F3" w:themeFill="accent1" w:themeFillTint="33"/>
            <w:vAlign w:val="center"/>
            <w:hideMark/>
          </w:tcPr>
          <w:p w14:paraId="3A029ABE" w14:textId="77777777" w:rsidR="004D69DD" w:rsidRPr="001C633D" w:rsidRDefault="004D69DD" w:rsidP="00221417">
            <w:pPr>
              <w:pStyle w:val="Paragraph"/>
              <w:spacing w:after="0" w:line="240" w:lineRule="auto"/>
              <w:jc w:val="center"/>
              <w:rPr>
                <w:b/>
                <w:noProof/>
                <w:sz w:val="22"/>
                <w:szCs w:val="22"/>
                <w:lang w:val="en-IE"/>
              </w:rPr>
            </w:pPr>
            <w:r w:rsidRPr="001C633D">
              <w:rPr>
                <w:b/>
                <w:noProof/>
                <w:sz w:val="22"/>
                <w:szCs w:val="22"/>
                <w:lang w:val="en-IE"/>
              </w:rPr>
              <w:t>EU</w:t>
            </w:r>
          </w:p>
        </w:tc>
      </w:tr>
      <w:tr w:rsidR="00DA389F" w:rsidRPr="00047933" w14:paraId="16D1DCB2" w14:textId="77777777" w:rsidTr="00FD0882">
        <w:trPr>
          <w:trHeight w:val="315"/>
          <w:jc w:val="center"/>
        </w:trPr>
        <w:tc>
          <w:tcPr>
            <w:tcW w:w="644" w:type="dxa"/>
          </w:tcPr>
          <w:p w14:paraId="7ADFCF85" w14:textId="4719D753" w:rsidR="004D69DD" w:rsidRPr="009C0A42" w:rsidRDefault="00B45E7C" w:rsidP="00221417">
            <w:pPr>
              <w:pStyle w:val="Paragraph"/>
              <w:spacing w:after="0" w:line="240" w:lineRule="auto"/>
              <w:jc w:val="center"/>
              <w:rPr>
                <w:rFonts w:eastAsia="Calibri"/>
                <w:noProof/>
                <w:color w:val="000000"/>
                <w:sz w:val="22"/>
                <w:szCs w:val="22"/>
              </w:rPr>
            </w:pPr>
            <w:r w:rsidRPr="006E0577">
              <w:rPr>
                <w:noProof/>
                <w:sz w:val="22"/>
                <w:szCs w:val="22"/>
              </w:rPr>
              <w:t>14.8</w:t>
            </w:r>
          </w:p>
        </w:tc>
        <w:tc>
          <w:tcPr>
            <w:tcW w:w="644" w:type="dxa"/>
          </w:tcPr>
          <w:p w14:paraId="7729221D" w14:textId="45665E66" w:rsidR="004D69DD" w:rsidRPr="009C0A42" w:rsidRDefault="00B45E7C" w:rsidP="00221417">
            <w:pPr>
              <w:pStyle w:val="Paragraph"/>
              <w:spacing w:after="0" w:line="240" w:lineRule="auto"/>
              <w:jc w:val="center"/>
              <w:rPr>
                <w:rFonts w:eastAsia="Calibri"/>
                <w:noProof/>
                <w:color w:val="000000"/>
                <w:sz w:val="22"/>
                <w:szCs w:val="22"/>
              </w:rPr>
            </w:pPr>
            <w:r w:rsidRPr="006E0577">
              <w:rPr>
                <w:noProof/>
                <w:sz w:val="22"/>
                <w:szCs w:val="22"/>
              </w:rPr>
              <w:t>18.6</w:t>
            </w:r>
          </w:p>
        </w:tc>
        <w:tc>
          <w:tcPr>
            <w:tcW w:w="644" w:type="dxa"/>
          </w:tcPr>
          <w:p w14:paraId="000EBC08" w14:textId="03404154" w:rsidR="004D69DD" w:rsidRPr="009C0A42" w:rsidRDefault="00B45E7C" w:rsidP="00221417">
            <w:pPr>
              <w:pStyle w:val="Paragraph"/>
              <w:spacing w:after="0" w:line="240" w:lineRule="auto"/>
              <w:jc w:val="center"/>
              <w:rPr>
                <w:rFonts w:eastAsia="Calibri"/>
                <w:noProof/>
                <w:color w:val="000000"/>
                <w:sz w:val="22"/>
                <w:szCs w:val="22"/>
              </w:rPr>
            </w:pPr>
            <w:r w:rsidRPr="006E0577">
              <w:rPr>
                <w:noProof/>
                <w:sz w:val="22"/>
                <w:szCs w:val="22"/>
              </w:rPr>
              <w:t>18.2</w:t>
            </w:r>
          </w:p>
        </w:tc>
        <w:tc>
          <w:tcPr>
            <w:tcW w:w="644" w:type="dxa"/>
          </w:tcPr>
          <w:p w14:paraId="50503E5F" w14:textId="5316F7ED" w:rsidR="004D69DD" w:rsidRPr="009C0A42" w:rsidRDefault="00B45E7C" w:rsidP="00221417">
            <w:pPr>
              <w:pStyle w:val="Paragraph"/>
              <w:spacing w:after="0" w:line="240" w:lineRule="auto"/>
              <w:jc w:val="center"/>
              <w:rPr>
                <w:rFonts w:eastAsia="Calibri"/>
                <w:noProof/>
                <w:color w:val="000000"/>
                <w:sz w:val="22"/>
                <w:szCs w:val="22"/>
              </w:rPr>
            </w:pPr>
            <w:r w:rsidRPr="006E0577">
              <w:rPr>
                <w:noProof/>
                <w:sz w:val="22"/>
                <w:szCs w:val="22"/>
              </w:rPr>
              <w:t>10.7</w:t>
            </w:r>
          </w:p>
        </w:tc>
        <w:tc>
          <w:tcPr>
            <w:tcW w:w="644" w:type="dxa"/>
          </w:tcPr>
          <w:p w14:paraId="31759695" w14:textId="333212B9" w:rsidR="004D69DD" w:rsidRPr="009C0A42" w:rsidRDefault="00B45E7C" w:rsidP="00221417">
            <w:pPr>
              <w:pStyle w:val="Paragraph"/>
              <w:spacing w:after="0" w:line="240" w:lineRule="auto"/>
              <w:jc w:val="center"/>
              <w:rPr>
                <w:rFonts w:eastAsia="Calibri"/>
                <w:noProof/>
                <w:color w:val="000000"/>
                <w:sz w:val="22"/>
                <w:szCs w:val="22"/>
              </w:rPr>
            </w:pPr>
            <w:r w:rsidRPr="006E0577">
              <w:rPr>
                <w:noProof/>
                <w:sz w:val="22"/>
                <w:szCs w:val="22"/>
              </w:rPr>
              <w:t>16.1</w:t>
            </w:r>
          </w:p>
        </w:tc>
        <w:tc>
          <w:tcPr>
            <w:tcW w:w="644" w:type="dxa"/>
          </w:tcPr>
          <w:p w14:paraId="071EB1F7" w14:textId="23050299" w:rsidR="004D69DD" w:rsidRPr="009C0A42" w:rsidRDefault="00B45E7C" w:rsidP="00221417">
            <w:pPr>
              <w:pStyle w:val="Paragraph"/>
              <w:spacing w:after="0" w:line="240" w:lineRule="auto"/>
              <w:jc w:val="center"/>
              <w:rPr>
                <w:rFonts w:eastAsia="Calibri"/>
                <w:noProof/>
                <w:color w:val="000000"/>
                <w:sz w:val="22"/>
                <w:szCs w:val="22"/>
              </w:rPr>
            </w:pPr>
            <w:r w:rsidRPr="006E0577">
              <w:rPr>
                <w:noProof/>
                <w:sz w:val="22"/>
                <w:szCs w:val="22"/>
              </w:rPr>
              <w:t>15.3</w:t>
            </w:r>
          </w:p>
        </w:tc>
        <w:tc>
          <w:tcPr>
            <w:tcW w:w="644" w:type="dxa"/>
          </w:tcPr>
          <w:p w14:paraId="3F9E106B" w14:textId="742633E4" w:rsidR="004D69DD" w:rsidRPr="009C0A42" w:rsidRDefault="00B45E7C" w:rsidP="00221417">
            <w:pPr>
              <w:pStyle w:val="Paragraph"/>
              <w:spacing w:after="0" w:line="240" w:lineRule="auto"/>
              <w:jc w:val="center"/>
              <w:rPr>
                <w:rFonts w:eastAsia="Calibri"/>
                <w:noProof/>
                <w:color w:val="000000"/>
                <w:sz w:val="22"/>
                <w:szCs w:val="22"/>
              </w:rPr>
            </w:pPr>
            <w:r w:rsidRPr="006E0577">
              <w:rPr>
                <w:noProof/>
                <w:sz w:val="22"/>
                <w:szCs w:val="22"/>
              </w:rPr>
              <w:t>16.6</w:t>
            </w:r>
          </w:p>
        </w:tc>
        <w:tc>
          <w:tcPr>
            <w:tcW w:w="644" w:type="dxa"/>
          </w:tcPr>
          <w:p w14:paraId="2DE8C1D9" w14:textId="78A19541" w:rsidR="004D69DD" w:rsidRPr="009C0A42" w:rsidRDefault="00B45E7C" w:rsidP="00221417">
            <w:pPr>
              <w:pStyle w:val="Paragraph"/>
              <w:spacing w:after="0" w:line="240" w:lineRule="auto"/>
              <w:jc w:val="center"/>
              <w:rPr>
                <w:rFonts w:eastAsia="Calibri"/>
                <w:noProof/>
                <w:color w:val="000000"/>
                <w:sz w:val="22"/>
                <w:szCs w:val="22"/>
              </w:rPr>
            </w:pPr>
            <w:r w:rsidRPr="006E0577">
              <w:rPr>
                <w:noProof/>
                <w:sz w:val="22"/>
                <w:szCs w:val="22"/>
              </w:rPr>
              <w:t>12.2</w:t>
            </w:r>
          </w:p>
        </w:tc>
        <w:tc>
          <w:tcPr>
            <w:tcW w:w="644" w:type="dxa"/>
          </w:tcPr>
          <w:p w14:paraId="556167AA" w14:textId="69E7E050" w:rsidR="004D69DD" w:rsidRPr="009C0A42" w:rsidRDefault="00B45E7C" w:rsidP="00221417">
            <w:pPr>
              <w:pStyle w:val="Paragraph"/>
              <w:spacing w:after="0" w:line="240" w:lineRule="auto"/>
              <w:jc w:val="center"/>
              <w:rPr>
                <w:rFonts w:eastAsia="Calibri"/>
                <w:noProof/>
                <w:color w:val="000000"/>
                <w:sz w:val="22"/>
                <w:szCs w:val="22"/>
              </w:rPr>
            </w:pPr>
            <w:r w:rsidRPr="006E0577">
              <w:rPr>
                <w:noProof/>
                <w:sz w:val="22"/>
                <w:szCs w:val="22"/>
              </w:rPr>
              <w:t>17.7</w:t>
            </w:r>
          </w:p>
        </w:tc>
        <w:tc>
          <w:tcPr>
            <w:tcW w:w="644" w:type="dxa"/>
          </w:tcPr>
          <w:p w14:paraId="14D2C9B0" w14:textId="7F954715" w:rsidR="004D69DD" w:rsidRPr="009C0A42" w:rsidRDefault="00B45E7C" w:rsidP="00221417">
            <w:pPr>
              <w:pStyle w:val="Paragraph"/>
              <w:spacing w:after="0" w:line="240" w:lineRule="auto"/>
              <w:jc w:val="center"/>
              <w:rPr>
                <w:rFonts w:eastAsia="Calibri"/>
                <w:noProof/>
                <w:color w:val="000000"/>
                <w:sz w:val="22"/>
                <w:szCs w:val="22"/>
              </w:rPr>
            </w:pPr>
            <w:r w:rsidRPr="006E0577">
              <w:rPr>
                <w:noProof/>
                <w:sz w:val="22"/>
                <w:szCs w:val="22"/>
              </w:rPr>
              <w:t>19.4</w:t>
            </w:r>
          </w:p>
        </w:tc>
        <w:tc>
          <w:tcPr>
            <w:tcW w:w="644" w:type="dxa"/>
          </w:tcPr>
          <w:p w14:paraId="7590321C" w14:textId="1CD4F1A8" w:rsidR="004D69DD" w:rsidRPr="009C0A42" w:rsidRDefault="00B45E7C" w:rsidP="00221417">
            <w:pPr>
              <w:pStyle w:val="Paragraph"/>
              <w:spacing w:after="0" w:line="240" w:lineRule="auto"/>
              <w:jc w:val="center"/>
              <w:rPr>
                <w:rFonts w:eastAsia="Calibri"/>
                <w:noProof/>
                <w:color w:val="000000"/>
                <w:sz w:val="22"/>
                <w:szCs w:val="22"/>
              </w:rPr>
            </w:pPr>
            <w:r w:rsidRPr="006E0577">
              <w:rPr>
                <w:noProof/>
                <w:sz w:val="22"/>
                <w:szCs w:val="22"/>
              </w:rPr>
              <w:t>19.6</w:t>
            </w:r>
          </w:p>
        </w:tc>
        <w:tc>
          <w:tcPr>
            <w:tcW w:w="644" w:type="dxa"/>
          </w:tcPr>
          <w:p w14:paraId="37DF5FD2" w14:textId="30478BC8" w:rsidR="004D69DD" w:rsidRPr="009C0A42" w:rsidRDefault="00B45E7C" w:rsidP="00221417">
            <w:pPr>
              <w:pStyle w:val="Paragraph"/>
              <w:spacing w:after="0" w:line="240" w:lineRule="auto"/>
              <w:jc w:val="center"/>
              <w:rPr>
                <w:rFonts w:eastAsia="Calibri"/>
                <w:noProof/>
                <w:color w:val="000000"/>
                <w:sz w:val="22"/>
                <w:szCs w:val="22"/>
              </w:rPr>
            </w:pPr>
            <w:r w:rsidRPr="006E0577">
              <w:rPr>
                <w:noProof/>
                <w:sz w:val="22"/>
                <w:szCs w:val="22"/>
              </w:rPr>
              <w:t>15.8</w:t>
            </w:r>
          </w:p>
        </w:tc>
        <w:tc>
          <w:tcPr>
            <w:tcW w:w="644" w:type="dxa"/>
          </w:tcPr>
          <w:p w14:paraId="0F6BDAAD" w14:textId="43CA31A7" w:rsidR="004D69DD" w:rsidRPr="009C0A42" w:rsidRDefault="00B45E7C" w:rsidP="00221417">
            <w:pPr>
              <w:suppressAutoHyphens w:val="0"/>
              <w:rPr>
                <w:rFonts w:ascii="Times New Roman" w:hAnsi="Times New Roman" w:cs="Times New Roman"/>
                <w:noProof/>
                <w:color w:val="000000"/>
              </w:rPr>
            </w:pPr>
            <w:r w:rsidRPr="00FD0882">
              <w:rPr>
                <w:rFonts w:ascii="Times New Roman" w:hAnsi="Times New Roman" w:cs="Times New Roman"/>
                <w:noProof/>
              </w:rPr>
              <w:t>16.9</w:t>
            </w:r>
          </w:p>
        </w:tc>
        <w:tc>
          <w:tcPr>
            <w:tcW w:w="644" w:type="dxa"/>
          </w:tcPr>
          <w:p w14:paraId="37B0DB17" w14:textId="3EDF9DC6" w:rsidR="004D69DD" w:rsidRPr="00047933" w:rsidRDefault="00B45E7C" w:rsidP="00221417">
            <w:pPr>
              <w:pStyle w:val="Paragraph"/>
              <w:spacing w:after="0" w:line="240" w:lineRule="auto"/>
              <w:jc w:val="center"/>
              <w:rPr>
                <w:rFonts w:eastAsia="Calibri"/>
                <w:b/>
                <w:bCs/>
                <w:noProof/>
                <w:color w:val="000000"/>
                <w:sz w:val="22"/>
                <w:szCs w:val="22"/>
              </w:rPr>
            </w:pPr>
            <w:r w:rsidRPr="006E0577">
              <w:rPr>
                <w:b/>
                <w:noProof/>
                <w:sz w:val="22"/>
                <w:szCs w:val="22"/>
              </w:rPr>
              <w:t>17.6</w:t>
            </w:r>
          </w:p>
        </w:tc>
      </w:tr>
    </w:tbl>
    <w:p w14:paraId="1BE02DB3" w14:textId="77777777" w:rsidR="00CC12B5" w:rsidRPr="00486446" w:rsidRDefault="00CC12B5" w:rsidP="00CC12B5">
      <w:pPr>
        <w:rPr>
          <w:rFonts w:ascii="Times New Roman" w:hAnsi="Times New Roman" w:cs="Times New Roman"/>
          <w:noProof/>
        </w:rPr>
      </w:pPr>
    </w:p>
    <w:p w14:paraId="2C944EE1" w14:textId="1C29659A" w:rsidR="00A97CEC" w:rsidRDefault="00A97CEC">
      <w:pPr>
        <w:suppressAutoHyphens w:val="0"/>
        <w:rPr>
          <w:rFonts w:ascii="Times New Roman" w:hAnsi="Times New Roman" w:cs="Times New Roman"/>
          <w:noProof/>
        </w:rPr>
      </w:pPr>
      <w:r>
        <w:rPr>
          <w:rFonts w:ascii="Times New Roman" w:hAnsi="Times New Roman" w:cs="Times New Roman"/>
          <w:noProof/>
        </w:rPr>
        <w:br w:type="page"/>
      </w:r>
    </w:p>
    <w:p w14:paraId="1B576C4C" w14:textId="7476E9A2" w:rsidR="007D2691" w:rsidRPr="00007DF4" w:rsidRDefault="007D2691" w:rsidP="0065549F">
      <w:pPr>
        <w:pStyle w:val="Heading3"/>
        <w:spacing w:before="0" w:after="160" w:line="250" w:lineRule="auto"/>
        <w:rPr>
          <w:rFonts w:ascii="Times New Roman" w:hAnsi="Times New Roman"/>
          <w:b/>
          <w:bCs/>
          <w:noProof/>
          <w:color w:val="auto"/>
        </w:rPr>
      </w:pPr>
      <w:bookmarkStart w:id="107" w:name="_Toc220103455"/>
      <w:r w:rsidRPr="00007DF4">
        <w:rPr>
          <w:rFonts w:ascii="Times New Roman" w:hAnsi="Times New Roman"/>
          <w:b/>
          <w:bCs/>
          <w:noProof/>
          <w:color w:val="auto"/>
        </w:rPr>
        <w:t xml:space="preserve">KPI </w:t>
      </w:r>
      <w:r w:rsidR="00C00D1F">
        <w:rPr>
          <w:rFonts w:ascii="Times New Roman" w:hAnsi="Times New Roman"/>
          <w:b/>
          <w:bCs/>
          <w:noProof/>
          <w:color w:val="auto"/>
        </w:rPr>
        <w:t>19</w:t>
      </w:r>
      <w:r w:rsidRPr="00007DF4">
        <w:rPr>
          <w:rFonts w:ascii="Times New Roman" w:hAnsi="Times New Roman"/>
          <w:b/>
          <w:bCs/>
          <w:noProof/>
          <w:color w:val="auto"/>
        </w:rPr>
        <w:t>: Public investment </w:t>
      </w:r>
      <w:bookmarkEnd w:id="107"/>
    </w:p>
    <w:p w14:paraId="03E260A7" w14:textId="0C36F895" w:rsidR="007D2691" w:rsidRPr="00486446" w:rsidRDefault="00DF0DEF" w:rsidP="006E0577">
      <w:pPr>
        <w:pStyle w:val="Paragraph"/>
        <w:spacing w:line="250" w:lineRule="auto"/>
        <w:rPr>
          <w:noProof/>
          <w:lang w:val="en-IE"/>
        </w:rPr>
      </w:pPr>
      <w:r w:rsidRPr="00486446">
        <w:rPr>
          <w:noProof/>
          <w:lang w:val="en-IE"/>
        </w:rPr>
        <w:t xml:space="preserve">KPI </w:t>
      </w:r>
      <w:r w:rsidR="00C00D1F">
        <w:rPr>
          <w:noProof/>
          <w:lang w:val="en-IE"/>
        </w:rPr>
        <w:t>19</w:t>
      </w:r>
      <w:r w:rsidRPr="00486446">
        <w:rPr>
          <w:noProof/>
          <w:lang w:val="en-IE"/>
        </w:rPr>
        <w:t xml:space="preserve"> tracks</w:t>
      </w:r>
      <w:r w:rsidR="007D2691" w:rsidRPr="00486446">
        <w:rPr>
          <w:noProof/>
          <w:lang w:val="en-IE"/>
        </w:rPr>
        <w:t xml:space="preserve"> the trend</w:t>
      </w:r>
      <w:r w:rsidRPr="00486446">
        <w:rPr>
          <w:noProof/>
          <w:lang w:val="en-IE"/>
        </w:rPr>
        <w:t>s</w:t>
      </w:r>
      <w:r w:rsidR="007D2691" w:rsidRPr="00486446">
        <w:rPr>
          <w:noProof/>
          <w:lang w:val="en-IE"/>
        </w:rPr>
        <w:t xml:space="preserve"> in public</w:t>
      </w:r>
      <w:r w:rsidR="000C3A33">
        <w:rPr>
          <w:noProof/>
          <w:lang w:val="en-IE"/>
        </w:rPr>
        <w:t>-sector</w:t>
      </w:r>
      <w:r w:rsidR="007D2691" w:rsidRPr="00486446">
        <w:rPr>
          <w:noProof/>
          <w:lang w:val="en-IE"/>
        </w:rPr>
        <w:t xml:space="preserve"> investment (gross fixed capital formation) as a share of annual GDP </w:t>
      </w:r>
      <w:r w:rsidR="004530D7">
        <w:rPr>
          <w:noProof/>
          <w:lang w:val="en-IE"/>
        </w:rPr>
        <w:t>in</w:t>
      </w:r>
      <w:r w:rsidR="004530D7" w:rsidRPr="00486446">
        <w:rPr>
          <w:noProof/>
          <w:lang w:val="en-IE"/>
        </w:rPr>
        <w:t xml:space="preserve"> </w:t>
      </w:r>
      <w:r w:rsidR="007D2691" w:rsidRPr="00486446">
        <w:rPr>
          <w:noProof/>
          <w:lang w:val="en-IE"/>
        </w:rPr>
        <w:t xml:space="preserve">the EU, </w:t>
      </w:r>
      <w:r w:rsidRPr="00486446">
        <w:rPr>
          <w:noProof/>
          <w:lang w:val="en-IE"/>
        </w:rPr>
        <w:t>US and</w:t>
      </w:r>
      <w:r w:rsidR="007D2691" w:rsidRPr="00486446">
        <w:rPr>
          <w:noProof/>
          <w:lang w:val="en-IE"/>
        </w:rPr>
        <w:t xml:space="preserve"> UK.</w:t>
      </w:r>
      <w:r w:rsidRPr="00486446">
        <w:rPr>
          <w:noProof/>
          <w:lang w:val="en-IE"/>
        </w:rPr>
        <w:t xml:space="preserve"> </w:t>
      </w:r>
      <w:r w:rsidR="007D2691" w:rsidRPr="00486446">
        <w:rPr>
          <w:noProof/>
          <w:lang w:val="en-IE"/>
        </w:rPr>
        <w:t>Public</w:t>
      </w:r>
      <w:r w:rsidR="004530D7">
        <w:rPr>
          <w:noProof/>
          <w:lang w:val="en-IE"/>
        </w:rPr>
        <w:t>-sector</w:t>
      </w:r>
      <w:r w:rsidR="007D2691" w:rsidRPr="00486446">
        <w:rPr>
          <w:noProof/>
          <w:lang w:val="en-IE"/>
        </w:rPr>
        <w:t xml:space="preserve"> investment is a measure of how much money a country spends to increase the value of fixed assets (for example, road infrastructure, buildings</w:t>
      </w:r>
      <w:r w:rsidR="008F7B90">
        <w:rPr>
          <w:noProof/>
          <w:lang w:val="en-IE"/>
        </w:rPr>
        <w:t xml:space="preserve"> and</w:t>
      </w:r>
      <w:r w:rsidR="007D2691" w:rsidRPr="00486446">
        <w:rPr>
          <w:noProof/>
          <w:lang w:val="en-IE"/>
        </w:rPr>
        <w:t xml:space="preserve"> equipment).</w:t>
      </w:r>
    </w:p>
    <w:p w14:paraId="5AA8F62E" w14:textId="62AA1555" w:rsidR="004F3FAF" w:rsidRDefault="4F94544E" w:rsidP="006E0577">
      <w:pPr>
        <w:spacing w:after="160" w:line="250" w:lineRule="auto"/>
        <w:jc w:val="both"/>
        <w:rPr>
          <w:rFonts w:ascii="Times New Roman" w:eastAsia="Times New Roman" w:hAnsi="Times New Roman" w:cs="Times New Roman"/>
          <w:noProof/>
          <w:sz w:val="24"/>
          <w:szCs w:val="24"/>
        </w:rPr>
      </w:pPr>
      <w:r w:rsidRPr="0065549F">
        <w:rPr>
          <w:rFonts w:ascii="Times New Roman" w:eastAsia="Times New Roman" w:hAnsi="Times New Roman" w:cs="Times New Roman"/>
          <w:noProof/>
          <w:sz w:val="24"/>
          <w:szCs w:val="24"/>
        </w:rPr>
        <w:t>Public</w:t>
      </w:r>
      <w:r w:rsidR="00A23B8B">
        <w:rPr>
          <w:rFonts w:ascii="Times New Roman" w:eastAsia="Times New Roman" w:hAnsi="Times New Roman" w:cs="Times New Roman"/>
          <w:noProof/>
          <w:sz w:val="24"/>
          <w:szCs w:val="24"/>
        </w:rPr>
        <w:t>-sector</w:t>
      </w:r>
      <w:r w:rsidRPr="0065549F">
        <w:rPr>
          <w:rFonts w:ascii="Times New Roman" w:eastAsia="Times New Roman" w:hAnsi="Times New Roman" w:cs="Times New Roman"/>
          <w:noProof/>
          <w:sz w:val="24"/>
          <w:szCs w:val="24"/>
        </w:rPr>
        <w:t xml:space="preserve"> investment </w:t>
      </w:r>
      <w:r w:rsidRPr="4D8EE7D6">
        <w:rPr>
          <w:rFonts w:ascii="Times New Roman" w:eastAsia="Times New Roman" w:hAnsi="Times New Roman" w:cs="Times New Roman"/>
          <w:noProof/>
          <w:sz w:val="24"/>
          <w:szCs w:val="24"/>
        </w:rPr>
        <w:t>in</w:t>
      </w:r>
      <w:r w:rsidRPr="417B0B9F">
        <w:rPr>
          <w:rFonts w:ascii="Times New Roman" w:eastAsia="Times New Roman" w:hAnsi="Times New Roman" w:cs="Times New Roman"/>
          <w:noProof/>
          <w:sz w:val="24"/>
          <w:szCs w:val="24"/>
        </w:rPr>
        <w:t xml:space="preserve"> 2024 edged up to 3.7% of GDP confirming the positive trend over the last years. This share and the trend are broadly similar to those </w:t>
      </w:r>
      <w:r w:rsidR="007133E1">
        <w:rPr>
          <w:rFonts w:ascii="Times New Roman" w:eastAsia="Times New Roman" w:hAnsi="Times New Roman" w:cs="Times New Roman"/>
          <w:noProof/>
          <w:sz w:val="24"/>
          <w:szCs w:val="24"/>
        </w:rPr>
        <w:t>seen in</w:t>
      </w:r>
      <w:r w:rsidR="007133E1" w:rsidRPr="417B0B9F">
        <w:rPr>
          <w:rFonts w:ascii="Times New Roman" w:eastAsia="Times New Roman" w:hAnsi="Times New Roman" w:cs="Times New Roman"/>
          <w:noProof/>
          <w:sz w:val="24"/>
          <w:szCs w:val="24"/>
        </w:rPr>
        <w:t xml:space="preserve"> </w:t>
      </w:r>
      <w:r w:rsidRPr="417B0B9F">
        <w:rPr>
          <w:rFonts w:ascii="Times New Roman" w:eastAsia="Times New Roman" w:hAnsi="Times New Roman" w:cs="Times New Roman"/>
          <w:noProof/>
          <w:sz w:val="24"/>
          <w:szCs w:val="24"/>
        </w:rPr>
        <w:t xml:space="preserve">the US (3.4% of GDP), and higher than in the UK (3.2%).  </w:t>
      </w:r>
    </w:p>
    <w:p w14:paraId="7BD67A85" w14:textId="77777777" w:rsidR="000C0B93" w:rsidRPr="00486446" w:rsidRDefault="000C0B93" w:rsidP="006E0577">
      <w:pPr>
        <w:spacing w:after="160" w:line="250" w:lineRule="auto"/>
        <w:jc w:val="both"/>
        <w:rPr>
          <w:rFonts w:ascii="Times New Roman" w:eastAsia="Times New Roman" w:hAnsi="Times New Roman" w:cs="Times New Roman"/>
          <w:noProof/>
          <w:sz w:val="24"/>
          <w:szCs w:val="24"/>
        </w:rPr>
      </w:pPr>
    </w:p>
    <w:p w14:paraId="3FE17289" w14:textId="33EB1EA2" w:rsidR="00CD5F7D" w:rsidRPr="00486446" w:rsidRDefault="007D2691" w:rsidP="006E0577">
      <w:pPr>
        <w:pStyle w:val="Figurecaption"/>
        <w:spacing w:line="250" w:lineRule="auto"/>
        <w:jc w:val="both"/>
        <w:rPr>
          <w:rFonts w:eastAsia="Times New Roman" w:cs="Times New Roman"/>
          <w:iCs w:val="0"/>
          <w:noProof/>
          <w:szCs w:val="24"/>
          <w:lang w:val="en-IE"/>
        </w:rPr>
      </w:pPr>
      <w:r w:rsidRPr="00486446">
        <w:rPr>
          <w:rFonts w:cs="Times New Roman"/>
          <w:b/>
          <w:bCs/>
          <w:noProof/>
          <w:lang w:val="en-IE"/>
        </w:rPr>
        <w:t xml:space="preserve">Figure </w:t>
      </w:r>
      <w:r w:rsidR="00C00D1F">
        <w:rPr>
          <w:rFonts w:cs="Times New Roman"/>
          <w:b/>
          <w:bCs/>
          <w:noProof/>
          <w:lang w:val="en-IE"/>
        </w:rPr>
        <w:t>19</w:t>
      </w:r>
      <w:r w:rsidRPr="00486446">
        <w:rPr>
          <w:rFonts w:cs="Times New Roman"/>
          <w:noProof/>
          <w:lang w:val="en-IE"/>
        </w:rPr>
        <w:t xml:space="preserve">: </w:t>
      </w:r>
      <w:r w:rsidR="001B6490" w:rsidRPr="00486446">
        <w:rPr>
          <w:rFonts w:eastAsia="Times New Roman" w:cs="Times New Roman"/>
          <w:iCs w:val="0"/>
          <w:noProof/>
          <w:szCs w:val="24"/>
          <w:lang w:val="en-IE"/>
        </w:rPr>
        <w:t>P</w:t>
      </w:r>
      <w:r w:rsidRPr="00486446">
        <w:rPr>
          <w:rFonts w:eastAsia="Times New Roman" w:cs="Times New Roman"/>
          <w:iCs w:val="0"/>
          <w:noProof/>
          <w:szCs w:val="24"/>
          <w:lang w:val="en-IE"/>
        </w:rPr>
        <w:t>ublic</w:t>
      </w:r>
      <w:r w:rsidR="00F80C36">
        <w:rPr>
          <w:rFonts w:eastAsia="Times New Roman" w:cs="Times New Roman"/>
          <w:iCs w:val="0"/>
          <w:noProof/>
          <w:szCs w:val="24"/>
          <w:lang w:val="en-IE"/>
        </w:rPr>
        <w:t>-sector</w:t>
      </w:r>
      <w:r w:rsidRPr="00486446">
        <w:rPr>
          <w:rFonts w:eastAsia="Times New Roman" w:cs="Times New Roman"/>
          <w:iCs w:val="0"/>
          <w:noProof/>
          <w:szCs w:val="24"/>
          <w:lang w:val="en-IE"/>
        </w:rPr>
        <w:t xml:space="preserve"> investment</w:t>
      </w:r>
      <w:r w:rsidR="00DF0DEF" w:rsidRPr="00486446">
        <w:rPr>
          <w:rFonts w:eastAsia="Times New Roman" w:cs="Times New Roman"/>
          <w:iCs w:val="0"/>
          <w:noProof/>
          <w:szCs w:val="24"/>
          <w:lang w:val="en-IE"/>
        </w:rPr>
        <w:t xml:space="preserve"> in the EU and other advanced economies.</w:t>
      </w:r>
    </w:p>
    <w:p w14:paraId="1EA28D42" w14:textId="6CF88F6D" w:rsidR="007D2691" w:rsidRPr="00486446" w:rsidRDefault="000E225C" w:rsidP="00492F2F">
      <w:pPr>
        <w:pStyle w:val="Figurecaption"/>
        <w:jc w:val="center"/>
        <w:rPr>
          <w:rFonts w:cs="Times New Roman"/>
          <w:noProof/>
          <w:lang w:val="en-IE"/>
        </w:rPr>
      </w:pPr>
      <w:r>
        <w:rPr>
          <w:noProof/>
          <w:lang w:eastAsia="en-GB"/>
        </w:rPr>
        <w:drawing>
          <wp:inline distT="0" distB="0" distL="0" distR="0" wp14:anchorId="16A331BA" wp14:editId="6CB40390">
            <wp:extent cx="4915463" cy="2984740"/>
            <wp:effectExtent l="0" t="0" r="0" b="6350"/>
            <wp:docPr id="21115402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40254" name=""/>
                    <pic:cNvPicPr/>
                  </pic:nvPicPr>
                  <pic:blipFill>
                    <a:blip r:embed="rId84">
                      <a:extLst>
                        <a:ext uri="{96DAC541-7B7A-43D3-8B79-37D633B846F1}">
                          <asvg:svgBlip xmlns:asvg="http://schemas.microsoft.com/office/drawing/2016/SVG/main" r:embed="rId85"/>
                        </a:ext>
                      </a:extLst>
                    </a:blip>
                    <a:stretch>
                      <a:fillRect/>
                    </a:stretch>
                  </pic:blipFill>
                  <pic:spPr>
                    <a:xfrm>
                      <a:off x="0" y="0"/>
                      <a:ext cx="4918598" cy="2986644"/>
                    </a:xfrm>
                    <a:prstGeom prst="rect">
                      <a:avLst/>
                    </a:prstGeom>
                  </pic:spPr>
                </pic:pic>
              </a:graphicData>
            </a:graphic>
          </wp:inline>
        </w:drawing>
      </w:r>
    </w:p>
    <w:p w14:paraId="2F2BB99C" w14:textId="3201486E" w:rsidR="00E9097F" w:rsidRPr="00486446" w:rsidRDefault="007D2691" w:rsidP="0065549F">
      <w:pPr>
        <w:pStyle w:val="Source"/>
        <w:spacing w:line="250" w:lineRule="auto"/>
        <w:rPr>
          <w:noProof/>
          <w:color w:val="auto"/>
        </w:rPr>
      </w:pPr>
      <w:r w:rsidRPr="00486446">
        <w:rPr>
          <w:noProof/>
          <w:color w:val="auto"/>
          <w:lang w:val="en-IE"/>
        </w:rPr>
        <w:t>Source:</w:t>
      </w:r>
      <w:r w:rsidRPr="00486446">
        <w:rPr>
          <w:rFonts w:eastAsia="Calibri"/>
          <w:noProof/>
          <w:color w:val="auto"/>
        </w:rPr>
        <w:t xml:space="preserve"> </w:t>
      </w:r>
      <w:r w:rsidR="00E9097F" w:rsidRPr="00486446">
        <w:rPr>
          <w:noProof/>
          <w:color w:val="auto"/>
        </w:rPr>
        <w:t xml:space="preserve">AMECO </w:t>
      </w:r>
      <w:r w:rsidR="003A1654">
        <w:rPr>
          <w:noProof/>
          <w:color w:val="auto"/>
        </w:rPr>
        <w:t>database</w:t>
      </w:r>
    </w:p>
    <w:p w14:paraId="4AB1D1B9" w14:textId="5978D92D" w:rsidR="00F2392F" w:rsidRPr="00486446" w:rsidRDefault="00F2392F" w:rsidP="0065549F">
      <w:pPr>
        <w:pStyle w:val="Source"/>
        <w:spacing w:line="250" w:lineRule="auto"/>
        <w:rPr>
          <w:noProof/>
          <w:color w:val="auto"/>
          <w:sz w:val="24"/>
          <w:szCs w:val="24"/>
          <w:lang w:val="en-IE"/>
        </w:rPr>
      </w:pPr>
      <w:r w:rsidRPr="00BA70D2">
        <w:rPr>
          <w:noProof/>
          <w:color w:val="auto"/>
          <w:sz w:val="24"/>
          <w:szCs w:val="24"/>
          <w:lang w:val="en-IE"/>
        </w:rPr>
        <w:t>National data</w:t>
      </w:r>
      <w:r w:rsidR="00D76710" w:rsidRPr="00BA70D2">
        <w:rPr>
          <w:noProof/>
          <w:color w:val="auto"/>
          <w:sz w:val="24"/>
          <w:szCs w:val="24"/>
          <w:lang w:val="en-IE"/>
        </w:rPr>
        <w:t xml:space="preserve">, </w:t>
      </w:r>
      <w:r w:rsidR="00D76710" w:rsidRPr="00BA70D2">
        <w:rPr>
          <w:noProof/>
          <w:sz w:val="24"/>
          <w:szCs w:val="24"/>
          <w:lang w:val="en-IE"/>
        </w:rPr>
        <w:t>% of GDP</w:t>
      </w:r>
      <w:r w:rsidRPr="00BA70D2">
        <w:rPr>
          <w:noProof/>
          <w:color w:val="auto"/>
          <w:sz w:val="24"/>
          <w:szCs w:val="24"/>
          <w:lang w:val="en-IE"/>
        </w:rPr>
        <w:t xml:space="preserve"> </w:t>
      </w:r>
      <w:r w:rsidRPr="00F97AA7">
        <w:rPr>
          <w:noProof/>
          <w:color w:val="auto"/>
          <w:sz w:val="24"/>
          <w:szCs w:val="24"/>
          <w:lang w:val="en-IE"/>
        </w:rPr>
        <w:t>(202</w:t>
      </w:r>
      <w:r w:rsidR="00536F45" w:rsidRPr="00F97AA7">
        <w:rPr>
          <w:noProof/>
          <w:color w:val="auto"/>
          <w:sz w:val="24"/>
          <w:szCs w:val="24"/>
          <w:lang w:val="en-IE"/>
        </w:rPr>
        <w:t>4</w:t>
      </w:r>
      <w:r w:rsidRPr="00F97AA7">
        <w:rPr>
          <w:noProof/>
          <w:color w:val="auto"/>
          <w:sz w:val="24"/>
          <w:szCs w:val="24"/>
          <w:lang w:val="en-IE"/>
        </w:rPr>
        <w:t>)</w:t>
      </w:r>
    </w:p>
    <w:tbl>
      <w:tblPr>
        <w:tblStyle w:val="TableGrid"/>
        <w:tblW w:w="0" w:type="auto"/>
        <w:jc w:val="center"/>
        <w:tblLook w:val="04A0" w:firstRow="1" w:lastRow="0" w:firstColumn="1" w:lastColumn="0" w:noHBand="0" w:noVBand="1"/>
      </w:tblPr>
      <w:tblGrid>
        <w:gridCol w:w="631"/>
        <w:gridCol w:w="641"/>
        <w:gridCol w:w="657"/>
        <w:gridCol w:w="657"/>
        <w:gridCol w:w="640"/>
        <w:gridCol w:w="649"/>
        <w:gridCol w:w="665"/>
        <w:gridCol w:w="632"/>
        <w:gridCol w:w="632"/>
        <w:gridCol w:w="632"/>
        <w:gridCol w:w="657"/>
        <w:gridCol w:w="665"/>
        <w:gridCol w:w="601"/>
        <w:gridCol w:w="657"/>
      </w:tblGrid>
      <w:tr w:rsidR="004D69DD" w:rsidRPr="001C633D" w14:paraId="59222595" w14:textId="77777777" w:rsidTr="00221417">
        <w:trPr>
          <w:trHeight w:val="300"/>
          <w:jc w:val="center"/>
        </w:trPr>
        <w:tc>
          <w:tcPr>
            <w:tcW w:w="631" w:type="dxa"/>
            <w:shd w:val="clear" w:color="auto" w:fill="D9E2F3" w:themeFill="accent1" w:themeFillTint="33"/>
            <w:vAlign w:val="center"/>
            <w:hideMark/>
          </w:tcPr>
          <w:p w14:paraId="18A88613"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 xml:space="preserve">AT </w:t>
            </w:r>
          </w:p>
        </w:tc>
        <w:tc>
          <w:tcPr>
            <w:tcW w:w="641" w:type="dxa"/>
            <w:shd w:val="clear" w:color="auto" w:fill="D9E2F3" w:themeFill="accent1" w:themeFillTint="33"/>
            <w:vAlign w:val="center"/>
            <w:hideMark/>
          </w:tcPr>
          <w:p w14:paraId="142C5402"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BE</w:t>
            </w:r>
          </w:p>
        </w:tc>
        <w:tc>
          <w:tcPr>
            <w:tcW w:w="657" w:type="dxa"/>
            <w:shd w:val="clear" w:color="auto" w:fill="D9E2F3" w:themeFill="accent1" w:themeFillTint="33"/>
            <w:vAlign w:val="center"/>
            <w:hideMark/>
          </w:tcPr>
          <w:p w14:paraId="039F80AF"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BG</w:t>
            </w:r>
          </w:p>
        </w:tc>
        <w:tc>
          <w:tcPr>
            <w:tcW w:w="657" w:type="dxa"/>
            <w:shd w:val="clear" w:color="auto" w:fill="D9E2F3" w:themeFill="accent1" w:themeFillTint="33"/>
            <w:vAlign w:val="center"/>
            <w:hideMark/>
          </w:tcPr>
          <w:p w14:paraId="191876A5"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CY</w:t>
            </w:r>
          </w:p>
        </w:tc>
        <w:tc>
          <w:tcPr>
            <w:tcW w:w="640" w:type="dxa"/>
            <w:shd w:val="clear" w:color="auto" w:fill="D9E2F3" w:themeFill="accent1" w:themeFillTint="33"/>
            <w:vAlign w:val="center"/>
            <w:hideMark/>
          </w:tcPr>
          <w:p w14:paraId="5A8C4CD7"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CZ</w:t>
            </w:r>
          </w:p>
        </w:tc>
        <w:tc>
          <w:tcPr>
            <w:tcW w:w="649" w:type="dxa"/>
            <w:shd w:val="clear" w:color="auto" w:fill="D9E2F3" w:themeFill="accent1" w:themeFillTint="33"/>
            <w:vAlign w:val="center"/>
            <w:hideMark/>
          </w:tcPr>
          <w:p w14:paraId="536CB716"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DE</w:t>
            </w:r>
          </w:p>
        </w:tc>
        <w:tc>
          <w:tcPr>
            <w:tcW w:w="665" w:type="dxa"/>
            <w:shd w:val="clear" w:color="auto" w:fill="D9E2F3" w:themeFill="accent1" w:themeFillTint="33"/>
            <w:vAlign w:val="center"/>
            <w:hideMark/>
          </w:tcPr>
          <w:p w14:paraId="0CB89ED0"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DK</w:t>
            </w:r>
          </w:p>
        </w:tc>
        <w:tc>
          <w:tcPr>
            <w:tcW w:w="632" w:type="dxa"/>
            <w:shd w:val="clear" w:color="auto" w:fill="D9E2F3" w:themeFill="accent1" w:themeFillTint="33"/>
            <w:vAlign w:val="center"/>
            <w:hideMark/>
          </w:tcPr>
          <w:p w14:paraId="21B1408B"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EE</w:t>
            </w:r>
          </w:p>
        </w:tc>
        <w:tc>
          <w:tcPr>
            <w:tcW w:w="632" w:type="dxa"/>
            <w:shd w:val="clear" w:color="auto" w:fill="D9E2F3" w:themeFill="accent1" w:themeFillTint="33"/>
            <w:vAlign w:val="center"/>
            <w:hideMark/>
          </w:tcPr>
          <w:p w14:paraId="2805EA1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EL</w:t>
            </w:r>
          </w:p>
        </w:tc>
        <w:tc>
          <w:tcPr>
            <w:tcW w:w="632" w:type="dxa"/>
            <w:shd w:val="clear" w:color="auto" w:fill="D9E2F3" w:themeFill="accent1" w:themeFillTint="33"/>
            <w:vAlign w:val="center"/>
            <w:hideMark/>
          </w:tcPr>
          <w:p w14:paraId="05F1524A"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ES</w:t>
            </w:r>
          </w:p>
        </w:tc>
        <w:tc>
          <w:tcPr>
            <w:tcW w:w="657" w:type="dxa"/>
            <w:shd w:val="clear" w:color="auto" w:fill="D9E2F3" w:themeFill="accent1" w:themeFillTint="33"/>
            <w:vAlign w:val="center"/>
          </w:tcPr>
          <w:p w14:paraId="15EE98A2"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FI</w:t>
            </w:r>
          </w:p>
        </w:tc>
        <w:tc>
          <w:tcPr>
            <w:tcW w:w="665" w:type="dxa"/>
            <w:shd w:val="clear" w:color="auto" w:fill="D9E2F3" w:themeFill="accent1" w:themeFillTint="33"/>
            <w:vAlign w:val="center"/>
          </w:tcPr>
          <w:p w14:paraId="7D6237B8"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FR</w:t>
            </w:r>
          </w:p>
        </w:tc>
        <w:tc>
          <w:tcPr>
            <w:tcW w:w="601" w:type="dxa"/>
            <w:shd w:val="clear" w:color="auto" w:fill="D9E2F3" w:themeFill="accent1" w:themeFillTint="33"/>
            <w:vAlign w:val="center"/>
          </w:tcPr>
          <w:p w14:paraId="3C0088E0"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HR</w:t>
            </w:r>
          </w:p>
        </w:tc>
        <w:tc>
          <w:tcPr>
            <w:tcW w:w="657" w:type="dxa"/>
            <w:shd w:val="clear" w:color="auto" w:fill="D9E2F3" w:themeFill="accent1" w:themeFillTint="33"/>
            <w:vAlign w:val="center"/>
          </w:tcPr>
          <w:p w14:paraId="7B8FDD1A"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HU</w:t>
            </w:r>
          </w:p>
        </w:tc>
      </w:tr>
      <w:tr w:rsidR="004D69DD" w:rsidRPr="001C633D" w14:paraId="53B21D16" w14:textId="77777777" w:rsidTr="00221417">
        <w:trPr>
          <w:trHeight w:val="315"/>
          <w:jc w:val="center"/>
        </w:trPr>
        <w:tc>
          <w:tcPr>
            <w:tcW w:w="631" w:type="dxa"/>
            <w:vAlign w:val="center"/>
          </w:tcPr>
          <w:p w14:paraId="0E0897C7" w14:textId="20FFA964" w:rsidR="004D69DD" w:rsidRPr="001C633D" w:rsidRDefault="00562C69" w:rsidP="00221417">
            <w:pPr>
              <w:pStyle w:val="Paragraph"/>
              <w:spacing w:after="0" w:line="240" w:lineRule="auto"/>
              <w:jc w:val="center"/>
              <w:rPr>
                <w:noProof/>
                <w:sz w:val="22"/>
                <w:szCs w:val="22"/>
                <w:lang w:val="en-IE"/>
              </w:rPr>
            </w:pPr>
            <w:r w:rsidRPr="003017E6">
              <w:rPr>
                <w:noProof/>
                <w:sz w:val="22"/>
                <w:szCs w:val="22"/>
                <w:lang w:val="en-IE"/>
              </w:rPr>
              <w:t>3.9</w:t>
            </w:r>
          </w:p>
        </w:tc>
        <w:tc>
          <w:tcPr>
            <w:tcW w:w="641" w:type="dxa"/>
            <w:vAlign w:val="center"/>
          </w:tcPr>
          <w:p w14:paraId="7AB36E2D" w14:textId="4887895D" w:rsidR="004D69DD" w:rsidRPr="001C633D" w:rsidRDefault="00562C69" w:rsidP="00221417">
            <w:pPr>
              <w:pStyle w:val="Paragraph"/>
              <w:spacing w:after="0" w:line="240" w:lineRule="auto"/>
              <w:jc w:val="center"/>
              <w:rPr>
                <w:noProof/>
                <w:sz w:val="22"/>
                <w:szCs w:val="22"/>
                <w:lang w:val="en-IE"/>
              </w:rPr>
            </w:pPr>
            <w:r w:rsidRPr="003017E6">
              <w:rPr>
                <w:noProof/>
                <w:sz w:val="22"/>
                <w:szCs w:val="22"/>
                <w:lang w:val="en-IE"/>
              </w:rPr>
              <w:t>3.1</w:t>
            </w:r>
          </w:p>
        </w:tc>
        <w:tc>
          <w:tcPr>
            <w:tcW w:w="657" w:type="dxa"/>
            <w:vAlign w:val="center"/>
          </w:tcPr>
          <w:p w14:paraId="5096C017" w14:textId="2C4CBC63" w:rsidR="004D69DD" w:rsidRPr="001C633D" w:rsidRDefault="00B62828" w:rsidP="00221417">
            <w:pPr>
              <w:pStyle w:val="Paragraph"/>
              <w:spacing w:after="0" w:line="240" w:lineRule="auto"/>
              <w:jc w:val="center"/>
              <w:rPr>
                <w:noProof/>
                <w:sz w:val="22"/>
                <w:szCs w:val="22"/>
                <w:lang w:val="en-IE"/>
              </w:rPr>
            </w:pPr>
            <w:r w:rsidRPr="003017E6">
              <w:rPr>
                <w:noProof/>
                <w:sz w:val="22"/>
                <w:szCs w:val="22"/>
                <w:lang w:val="en-IE"/>
              </w:rPr>
              <w:t>3.</w:t>
            </w:r>
            <w:r w:rsidR="00DF2EE4" w:rsidRPr="003017E6">
              <w:rPr>
                <w:noProof/>
                <w:sz w:val="22"/>
                <w:szCs w:val="22"/>
                <w:lang w:val="en-IE"/>
              </w:rPr>
              <w:t>2</w:t>
            </w:r>
          </w:p>
        </w:tc>
        <w:tc>
          <w:tcPr>
            <w:tcW w:w="657" w:type="dxa"/>
            <w:vAlign w:val="center"/>
          </w:tcPr>
          <w:p w14:paraId="4254030E" w14:textId="281ADE15" w:rsidR="004D69DD" w:rsidRPr="001C633D" w:rsidRDefault="00DF2EE4" w:rsidP="00221417">
            <w:pPr>
              <w:pStyle w:val="Paragraph"/>
              <w:spacing w:after="0" w:line="240" w:lineRule="auto"/>
              <w:jc w:val="center"/>
              <w:rPr>
                <w:noProof/>
                <w:sz w:val="22"/>
                <w:szCs w:val="22"/>
                <w:lang w:val="en-IE"/>
              </w:rPr>
            </w:pPr>
            <w:r w:rsidRPr="003017E6">
              <w:rPr>
                <w:noProof/>
                <w:sz w:val="22"/>
                <w:szCs w:val="22"/>
                <w:lang w:val="en-IE"/>
              </w:rPr>
              <w:t>2.8</w:t>
            </w:r>
          </w:p>
        </w:tc>
        <w:tc>
          <w:tcPr>
            <w:tcW w:w="640" w:type="dxa"/>
            <w:vAlign w:val="center"/>
          </w:tcPr>
          <w:p w14:paraId="2C05FB9D" w14:textId="102F0F3D" w:rsidR="004D69DD" w:rsidRPr="001C633D" w:rsidRDefault="007A273E" w:rsidP="00221417">
            <w:pPr>
              <w:pStyle w:val="Paragraph"/>
              <w:spacing w:after="0" w:line="240" w:lineRule="auto"/>
              <w:jc w:val="center"/>
              <w:rPr>
                <w:noProof/>
                <w:sz w:val="22"/>
                <w:szCs w:val="22"/>
                <w:lang w:val="en-IE"/>
              </w:rPr>
            </w:pPr>
            <w:r w:rsidRPr="003017E6">
              <w:rPr>
                <w:noProof/>
                <w:sz w:val="22"/>
                <w:szCs w:val="22"/>
                <w:lang w:val="en-IE"/>
              </w:rPr>
              <w:t>4.7</w:t>
            </w:r>
          </w:p>
        </w:tc>
        <w:tc>
          <w:tcPr>
            <w:tcW w:w="649" w:type="dxa"/>
            <w:vAlign w:val="center"/>
          </w:tcPr>
          <w:p w14:paraId="7C929378" w14:textId="7B00DD20" w:rsidR="004D69DD" w:rsidRPr="001C633D" w:rsidRDefault="007A273E" w:rsidP="00221417">
            <w:pPr>
              <w:pStyle w:val="Paragraph"/>
              <w:spacing w:after="0" w:line="240" w:lineRule="auto"/>
              <w:jc w:val="center"/>
              <w:rPr>
                <w:noProof/>
                <w:sz w:val="22"/>
                <w:szCs w:val="22"/>
                <w:lang w:val="en-IE"/>
              </w:rPr>
            </w:pPr>
            <w:r w:rsidRPr="003017E6">
              <w:rPr>
                <w:noProof/>
                <w:sz w:val="22"/>
                <w:szCs w:val="22"/>
                <w:lang w:val="en-IE"/>
              </w:rPr>
              <w:t>3.1</w:t>
            </w:r>
          </w:p>
        </w:tc>
        <w:tc>
          <w:tcPr>
            <w:tcW w:w="665" w:type="dxa"/>
            <w:vAlign w:val="center"/>
          </w:tcPr>
          <w:p w14:paraId="1E304FD7" w14:textId="0AFCF44E" w:rsidR="004D69DD" w:rsidRPr="001C633D" w:rsidRDefault="007367BC" w:rsidP="00221417">
            <w:pPr>
              <w:pStyle w:val="Paragraph"/>
              <w:spacing w:after="0" w:line="240" w:lineRule="auto"/>
              <w:jc w:val="center"/>
              <w:rPr>
                <w:noProof/>
                <w:sz w:val="22"/>
                <w:szCs w:val="22"/>
                <w:lang w:val="en-IE"/>
              </w:rPr>
            </w:pPr>
            <w:r w:rsidRPr="003017E6">
              <w:rPr>
                <w:noProof/>
                <w:sz w:val="22"/>
                <w:szCs w:val="22"/>
                <w:lang w:val="en-IE"/>
              </w:rPr>
              <w:t>3.2</w:t>
            </w:r>
          </w:p>
        </w:tc>
        <w:tc>
          <w:tcPr>
            <w:tcW w:w="632" w:type="dxa"/>
            <w:vAlign w:val="center"/>
          </w:tcPr>
          <w:p w14:paraId="3E73BEA7" w14:textId="095B135B" w:rsidR="004D69DD" w:rsidRPr="001C633D" w:rsidRDefault="007367BC" w:rsidP="00221417">
            <w:pPr>
              <w:pStyle w:val="Paragraph"/>
              <w:spacing w:after="0" w:line="240" w:lineRule="auto"/>
              <w:jc w:val="center"/>
              <w:rPr>
                <w:noProof/>
                <w:sz w:val="22"/>
                <w:szCs w:val="22"/>
                <w:lang w:val="en-IE"/>
              </w:rPr>
            </w:pPr>
            <w:r w:rsidRPr="003017E6">
              <w:rPr>
                <w:noProof/>
                <w:sz w:val="22"/>
                <w:szCs w:val="22"/>
                <w:lang w:val="en-IE"/>
              </w:rPr>
              <w:t>6.2</w:t>
            </w:r>
          </w:p>
        </w:tc>
        <w:tc>
          <w:tcPr>
            <w:tcW w:w="632" w:type="dxa"/>
            <w:vAlign w:val="center"/>
          </w:tcPr>
          <w:p w14:paraId="7965D472" w14:textId="3B011FC4" w:rsidR="004D69DD" w:rsidRPr="001C633D" w:rsidRDefault="007367BC" w:rsidP="00221417">
            <w:pPr>
              <w:pStyle w:val="Paragraph"/>
              <w:spacing w:after="0" w:line="240" w:lineRule="auto"/>
              <w:jc w:val="center"/>
              <w:rPr>
                <w:noProof/>
                <w:sz w:val="22"/>
                <w:szCs w:val="22"/>
                <w:lang w:val="en-IE"/>
              </w:rPr>
            </w:pPr>
            <w:r w:rsidRPr="003017E6">
              <w:rPr>
                <w:noProof/>
                <w:sz w:val="22"/>
                <w:szCs w:val="22"/>
                <w:lang w:val="en-IE"/>
              </w:rPr>
              <w:t>3.6</w:t>
            </w:r>
          </w:p>
        </w:tc>
        <w:tc>
          <w:tcPr>
            <w:tcW w:w="632" w:type="dxa"/>
            <w:vAlign w:val="center"/>
          </w:tcPr>
          <w:p w14:paraId="52941A11" w14:textId="0FBF110B" w:rsidR="004D69DD" w:rsidRPr="001C633D" w:rsidRDefault="00BC7287" w:rsidP="00221417">
            <w:pPr>
              <w:pStyle w:val="Paragraph"/>
              <w:spacing w:after="0" w:line="240" w:lineRule="auto"/>
              <w:jc w:val="center"/>
              <w:rPr>
                <w:noProof/>
                <w:sz w:val="22"/>
                <w:szCs w:val="22"/>
                <w:lang w:val="en-IE"/>
              </w:rPr>
            </w:pPr>
            <w:r w:rsidRPr="003017E6">
              <w:rPr>
                <w:noProof/>
                <w:sz w:val="22"/>
                <w:szCs w:val="22"/>
                <w:lang w:val="en-IE"/>
              </w:rPr>
              <w:t>2.7</w:t>
            </w:r>
          </w:p>
        </w:tc>
        <w:tc>
          <w:tcPr>
            <w:tcW w:w="657" w:type="dxa"/>
            <w:vAlign w:val="center"/>
          </w:tcPr>
          <w:p w14:paraId="16B8D35F" w14:textId="1B039867" w:rsidR="004D69DD" w:rsidRPr="001C633D" w:rsidRDefault="00BC7287" w:rsidP="00221417">
            <w:pPr>
              <w:pStyle w:val="Paragraph"/>
              <w:spacing w:after="0" w:line="240" w:lineRule="auto"/>
              <w:jc w:val="center"/>
              <w:rPr>
                <w:noProof/>
                <w:sz w:val="22"/>
                <w:szCs w:val="22"/>
                <w:lang w:val="en-IE"/>
              </w:rPr>
            </w:pPr>
            <w:r w:rsidRPr="003017E6">
              <w:rPr>
                <w:noProof/>
                <w:sz w:val="22"/>
                <w:szCs w:val="22"/>
                <w:lang w:val="en-IE"/>
              </w:rPr>
              <w:t>4.4</w:t>
            </w:r>
          </w:p>
        </w:tc>
        <w:tc>
          <w:tcPr>
            <w:tcW w:w="665" w:type="dxa"/>
            <w:vAlign w:val="center"/>
          </w:tcPr>
          <w:p w14:paraId="4B91AB25" w14:textId="669E12FF" w:rsidR="004D69DD" w:rsidRPr="001C633D" w:rsidRDefault="00BC7287" w:rsidP="00221417">
            <w:pPr>
              <w:pStyle w:val="Paragraph"/>
              <w:spacing w:after="0" w:line="240" w:lineRule="auto"/>
              <w:jc w:val="center"/>
              <w:rPr>
                <w:noProof/>
                <w:sz w:val="22"/>
                <w:szCs w:val="22"/>
                <w:lang w:val="en-IE"/>
              </w:rPr>
            </w:pPr>
            <w:r w:rsidRPr="003017E6">
              <w:rPr>
                <w:noProof/>
                <w:sz w:val="22"/>
                <w:szCs w:val="22"/>
                <w:lang w:val="en-IE"/>
              </w:rPr>
              <w:t>4.3</w:t>
            </w:r>
          </w:p>
        </w:tc>
        <w:tc>
          <w:tcPr>
            <w:tcW w:w="601" w:type="dxa"/>
            <w:vAlign w:val="center"/>
          </w:tcPr>
          <w:p w14:paraId="2E5F76CB" w14:textId="1B7BA6B3" w:rsidR="004D69DD" w:rsidRPr="001C633D" w:rsidRDefault="00BC7287" w:rsidP="00221417">
            <w:pPr>
              <w:pStyle w:val="Paragraph"/>
              <w:spacing w:after="0" w:line="240" w:lineRule="auto"/>
              <w:jc w:val="center"/>
              <w:rPr>
                <w:noProof/>
                <w:sz w:val="22"/>
                <w:szCs w:val="22"/>
                <w:lang w:val="en-IE"/>
              </w:rPr>
            </w:pPr>
            <w:r w:rsidRPr="003017E6">
              <w:rPr>
                <w:noProof/>
                <w:sz w:val="22"/>
                <w:szCs w:val="22"/>
                <w:lang w:val="en-IE"/>
              </w:rPr>
              <w:t>5.2</w:t>
            </w:r>
          </w:p>
        </w:tc>
        <w:tc>
          <w:tcPr>
            <w:tcW w:w="657" w:type="dxa"/>
            <w:vAlign w:val="center"/>
          </w:tcPr>
          <w:p w14:paraId="1F5D271C" w14:textId="2FA3BC3E" w:rsidR="004D69DD" w:rsidRPr="001C633D" w:rsidRDefault="00445AC4" w:rsidP="00221417">
            <w:pPr>
              <w:pStyle w:val="Paragraph"/>
              <w:spacing w:after="0" w:line="240" w:lineRule="auto"/>
              <w:jc w:val="center"/>
              <w:rPr>
                <w:noProof/>
                <w:sz w:val="22"/>
                <w:szCs w:val="22"/>
                <w:lang w:val="en-IE"/>
              </w:rPr>
            </w:pPr>
            <w:r w:rsidRPr="003017E6">
              <w:rPr>
                <w:noProof/>
                <w:sz w:val="22"/>
                <w:szCs w:val="22"/>
                <w:lang w:val="en-IE"/>
              </w:rPr>
              <w:t>4.3</w:t>
            </w:r>
          </w:p>
        </w:tc>
      </w:tr>
      <w:tr w:rsidR="004D69DD" w:rsidRPr="001C633D" w14:paraId="3887201C" w14:textId="77777777" w:rsidTr="00221417">
        <w:trPr>
          <w:trHeight w:val="300"/>
          <w:jc w:val="center"/>
        </w:trPr>
        <w:tc>
          <w:tcPr>
            <w:tcW w:w="631" w:type="dxa"/>
            <w:shd w:val="clear" w:color="auto" w:fill="D9E2F3" w:themeFill="accent1" w:themeFillTint="33"/>
            <w:vAlign w:val="center"/>
          </w:tcPr>
          <w:p w14:paraId="7312AC8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IE</w:t>
            </w:r>
          </w:p>
        </w:tc>
        <w:tc>
          <w:tcPr>
            <w:tcW w:w="641" w:type="dxa"/>
            <w:shd w:val="clear" w:color="auto" w:fill="D9E2F3" w:themeFill="accent1" w:themeFillTint="33"/>
            <w:vAlign w:val="center"/>
          </w:tcPr>
          <w:p w14:paraId="2E70D710"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IT</w:t>
            </w:r>
          </w:p>
        </w:tc>
        <w:tc>
          <w:tcPr>
            <w:tcW w:w="657" w:type="dxa"/>
            <w:shd w:val="clear" w:color="auto" w:fill="D9E2F3" w:themeFill="accent1" w:themeFillTint="33"/>
            <w:vAlign w:val="center"/>
          </w:tcPr>
          <w:p w14:paraId="39F74094"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LT</w:t>
            </w:r>
          </w:p>
        </w:tc>
        <w:tc>
          <w:tcPr>
            <w:tcW w:w="657" w:type="dxa"/>
            <w:shd w:val="clear" w:color="auto" w:fill="D9E2F3" w:themeFill="accent1" w:themeFillTint="33"/>
            <w:vAlign w:val="center"/>
          </w:tcPr>
          <w:p w14:paraId="5D753758"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LU</w:t>
            </w:r>
          </w:p>
        </w:tc>
        <w:tc>
          <w:tcPr>
            <w:tcW w:w="640" w:type="dxa"/>
            <w:shd w:val="clear" w:color="auto" w:fill="D9E2F3" w:themeFill="accent1" w:themeFillTint="33"/>
            <w:vAlign w:val="center"/>
          </w:tcPr>
          <w:p w14:paraId="74D9130B"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LV</w:t>
            </w:r>
          </w:p>
        </w:tc>
        <w:tc>
          <w:tcPr>
            <w:tcW w:w="649" w:type="dxa"/>
            <w:shd w:val="clear" w:color="auto" w:fill="D9E2F3" w:themeFill="accent1" w:themeFillTint="33"/>
            <w:vAlign w:val="center"/>
          </w:tcPr>
          <w:p w14:paraId="46BC724D"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MT</w:t>
            </w:r>
          </w:p>
        </w:tc>
        <w:tc>
          <w:tcPr>
            <w:tcW w:w="665" w:type="dxa"/>
            <w:shd w:val="clear" w:color="auto" w:fill="D9E2F3" w:themeFill="accent1" w:themeFillTint="33"/>
            <w:vAlign w:val="center"/>
          </w:tcPr>
          <w:p w14:paraId="4679BDA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NL</w:t>
            </w:r>
          </w:p>
        </w:tc>
        <w:tc>
          <w:tcPr>
            <w:tcW w:w="632" w:type="dxa"/>
            <w:shd w:val="clear" w:color="auto" w:fill="D9E2F3" w:themeFill="accent1" w:themeFillTint="33"/>
            <w:vAlign w:val="center"/>
          </w:tcPr>
          <w:p w14:paraId="476C922B"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PL</w:t>
            </w:r>
          </w:p>
        </w:tc>
        <w:tc>
          <w:tcPr>
            <w:tcW w:w="632" w:type="dxa"/>
            <w:shd w:val="clear" w:color="auto" w:fill="D9E2F3" w:themeFill="accent1" w:themeFillTint="33"/>
            <w:vAlign w:val="center"/>
          </w:tcPr>
          <w:p w14:paraId="2B305CCE"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PT</w:t>
            </w:r>
          </w:p>
        </w:tc>
        <w:tc>
          <w:tcPr>
            <w:tcW w:w="632" w:type="dxa"/>
            <w:shd w:val="clear" w:color="auto" w:fill="D9E2F3" w:themeFill="accent1" w:themeFillTint="33"/>
            <w:vAlign w:val="center"/>
          </w:tcPr>
          <w:p w14:paraId="796514DD"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RO</w:t>
            </w:r>
          </w:p>
        </w:tc>
        <w:tc>
          <w:tcPr>
            <w:tcW w:w="657" w:type="dxa"/>
            <w:shd w:val="clear" w:color="auto" w:fill="D9E2F3" w:themeFill="accent1" w:themeFillTint="33"/>
            <w:vAlign w:val="center"/>
          </w:tcPr>
          <w:p w14:paraId="35DE4DCF"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SE</w:t>
            </w:r>
          </w:p>
        </w:tc>
        <w:tc>
          <w:tcPr>
            <w:tcW w:w="665" w:type="dxa"/>
            <w:shd w:val="clear" w:color="auto" w:fill="D9E2F3" w:themeFill="accent1" w:themeFillTint="33"/>
            <w:vAlign w:val="center"/>
            <w:hideMark/>
          </w:tcPr>
          <w:p w14:paraId="2C5BCADA"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SI</w:t>
            </w:r>
          </w:p>
        </w:tc>
        <w:tc>
          <w:tcPr>
            <w:tcW w:w="601" w:type="dxa"/>
            <w:shd w:val="clear" w:color="auto" w:fill="D9E2F3" w:themeFill="accent1" w:themeFillTint="33"/>
            <w:vAlign w:val="center"/>
            <w:hideMark/>
          </w:tcPr>
          <w:p w14:paraId="5881E01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SK</w:t>
            </w:r>
          </w:p>
        </w:tc>
        <w:tc>
          <w:tcPr>
            <w:tcW w:w="657" w:type="dxa"/>
            <w:shd w:val="clear" w:color="auto" w:fill="D9E2F3" w:themeFill="accent1" w:themeFillTint="33"/>
            <w:vAlign w:val="center"/>
            <w:hideMark/>
          </w:tcPr>
          <w:p w14:paraId="097DC1F9" w14:textId="77777777" w:rsidR="004D69DD" w:rsidRPr="001C633D" w:rsidRDefault="004D69DD" w:rsidP="00221417">
            <w:pPr>
              <w:pStyle w:val="Paragraph"/>
              <w:spacing w:after="0" w:line="240" w:lineRule="auto"/>
              <w:jc w:val="center"/>
              <w:rPr>
                <w:b/>
                <w:noProof/>
                <w:sz w:val="22"/>
                <w:szCs w:val="22"/>
                <w:lang w:val="en-IE"/>
              </w:rPr>
            </w:pPr>
            <w:r w:rsidRPr="001C633D">
              <w:rPr>
                <w:b/>
                <w:noProof/>
                <w:sz w:val="22"/>
                <w:szCs w:val="22"/>
                <w:lang w:val="en-IE"/>
              </w:rPr>
              <w:t>EU</w:t>
            </w:r>
          </w:p>
        </w:tc>
      </w:tr>
      <w:tr w:rsidR="004D69DD" w:rsidRPr="00047933" w14:paraId="62759F87" w14:textId="77777777" w:rsidTr="00221417">
        <w:trPr>
          <w:trHeight w:val="315"/>
          <w:jc w:val="center"/>
        </w:trPr>
        <w:tc>
          <w:tcPr>
            <w:tcW w:w="631" w:type="dxa"/>
            <w:vAlign w:val="center"/>
          </w:tcPr>
          <w:p w14:paraId="32E7A3EB" w14:textId="522A9397" w:rsidR="004D69DD" w:rsidRPr="009C0A42" w:rsidRDefault="00445AC4" w:rsidP="00221417">
            <w:pPr>
              <w:pStyle w:val="Paragraph"/>
              <w:spacing w:after="0" w:line="240" w:lineRule="auto"/>
              <w:jc w:val="center"/>
              <w:rPr>
                <w:rFonts w:eastAsia="Calibri"/>
                <w:noProof/>
                <w:color w:val="000000"/>
                <w:sz w:val="22"/>
                <w:szCs w:val="22"/>
              </w:rPr>
            </w:pPr>
            <w:r w:rsidRPr="003017E6">
              <w:rPr>
                <w:rFonts w:eastAsia="Calibri"/>
                <w:noProof/>
                <w:color w:val="000000"/>
                <w:sz w:val="22"/>
                <w:szCs w:val="22"/>
              </w:rPr>
              <w:t>2.6</w:t>
            </w:r>
          </w:p>
        </w:tc>
        <w:tc>
          <w:tcPr>
            <w:tcW w:w="641" w:type="dxa"/>
            <w:vAlign w:val="center"/>
          </w:tcPr>
          <w:p w14:paraId="7B884EBA" w14:textId="3F56C9E0" w:rsidR="004D69DD" w:rsidRPr="009C0A42" w:rsidRDefault="00445AC4" w:rsidP="00221417">
            <w:pPr>
              <w:pStyle w:val="Paragraph"/>
              <w:spacing w:after="0" w:line="240" w:lineRule="auto"/>
              <w:jc w:val="center"/>
              <w:rPr>
                <w:rFonts w:eastAsia="Calibri"/>
                <w:noProof/>
                <w:color w:val="000000"/>
                <w:sz w:val="22"/>
                <w:szCs w:val="22"/>
              </w:rPr>
            </w:pPr>
            <w:r w:rsidRPr="003017E6">
              <w:rPr>
                <w:rFonts w:eastAsia="Calibri"/>
                <w:noProof/>
                <w:color w:val="000000"/>
                <w:sz w:val="22"/>
                <w:szCs w:val="22"/>
              </w:rPr>
              <w:t>3.6</w:t>
            </w:r>
          </w:p>
        </w:tc>
        <w:tc>
          <w:tcPr>
            <w:tcW w:w="657" w:type="dxa"/>
            <w:vAlign w:val="center"/>
          </w:tcPr>
          <w:p w14:paraId="3741260A" w14:textId="5C09DF13" w:rsidR="004D69DD" w:rsidRPr="009C0A42" w:rsidRDefault="00445AC4" w:rsidP="00221417">
            <w:pPr>
              <w:pStyle w:val="Paragraph"/>
              <w:spacing w:after="0" w:line="240" w:lineRule="auto"/>
              <w:jc w:val="center"/>
              <w:rPr>
                <w:rFonts w:eastAsia="Calibri"/>
                <w:noProof/>
                <w:color w:val="000000"/>
                <w:sz w:val="22"/>
                <w:szCs w:val="22"/>
              </w:rPr>
            </w:pPr>
            <w:r w:rsidRPr="003017E6">
              <w:rPr>
                <w:rFonts w:eastAsia="Calibri"/>
                <w:noProof/>
                <w:color w:val="000000"/>
                <w:sz w:val="22"/>
                <w:szCs w:val="22"/>
              </w:rPr>
              <w:t>4.2</w:t>
            </w:r>
          </w:p>
        </w:tc>
        <w:tc>
          <w:tcPr>
            <w:tcW w:w="657" w:type="dxa"/>
            <w:vAlign w:val="center"/>
          </w:tcPr>
          <w:p w14:paraId="595D19D5" w14:textId="74464C24" w:rsidR="004D69DD" w:rsidRPr="009C0A42" w:rsidRDefault="00667BD7" w:rsidP="00221417">
            <w:pPr>
              <w:pStyle w:val="Paragraph"/>
              <w:spacing w:after="0" w:line="240" w:lineRule="auto"/>
              <w:jc w:val="center"/>
              <w:rPr>
                <w:rFonts w:eastAsia="Calibri"/>
                <w:noProof/>
                <w:color w:val="000000"/>
                <w:sz w:val="22"/>
                <w:szCs w:val="22"/>
              </w:rPr>
            </w:pPr>
            <w:r w:rsidRPr="003017E6">
              <w:rPr>
                <w:rFonts w:eastAsia="Calibri"/>
                <w:noProof/>
                <w:color w:val="000000"/>
                <w:sz w:val="22"/>
                <w:szCs w:val="22"/>
              </w:rPr>
              <w:t>4.6</w:t>
            </w:r>
          </w:p>
        </w:tc>
        <w:tc>
          <w:tcPr>
            <w:tcW w:w="640" w:type="dxa"/>
            <w:vAlign w:val="center"/>
          </w:tcPr>
          <w:p w14:paraId="63B4F62A" w14:textId="08667EC8" w:rsidR="004D69DD" w:rsidRPr="009C0A42" w:rsidRDefault="00667BD7" w:rsidP="00221417">
            <w:pPr>
              <w:pStyle w:val="Paragraph"/>
              <w:spacing w:after="0" w:line="240" w:lineRule="auto"/>
              <w:jc w:val="center"/>
              <w:rPr>
                <w:rFonts w:eastAsia="Calibri"/>
                <w:noProof/>
                <w:color w:val="000000"/>
                <w:sz w:val="22"/>
                <w:szCs w:val="22"/>
              </w:rPr>
            </w:pPr>
            <w:r w:rsidRPr="003017E6">
              <w:rPr>
                <w:rFonts w:eastAsia="Calibri"/>
                <w:noProof/>
                <w:color w:val="000000"/>
                <w:sz w:val="22"/>
                <w:szCs w:val="22"/>
              </w:rPr>
              <w:t>6.3</w:t>
            </w:r>
          </w:p>
        </w:tc>
        <w:tc>
          <w:tcPr>
            <w:tcW w:w="649" w:type="dxa"/>
            <w:vAlign w:val="center"/>
          </w:tcPr>
          <w:p w14:paraId="305497C7" w14:textId="4CE2B899" w:rsidR="004D69DD" w:rsidRPr="009C0A42" w:rsidRDefault="00667BD7" w:rsidP="00221417">
            <w:pPr>
              <w:pStyle w:val="Paragraph"/>
              <w:spacing w:after="0" w:line="240" w:lineRule="auto"/>
              <w:jc w:val="center"/>
              <w:rPr>
                <w:rFonts w:eastAsia="Calibri"/>
                <w:noProof/>
                <w:color w:val="000000"/>
                <w:sz w:val="22"/>
                <w:szCs w:val="22"/>
              </w:rPr>
            </w:pPr>
            <w:r w:rsidRPr="003017E6">
              <w:rPr>
                <w:rFonts w:eastAsia="Calibri"/>
                <w:noProof/>
                <w:color w:val="000000"/>
                <w:sz w:val="22"/>
                <w:szCs w:val="22"/>
              </w:rPr>
              <w:t>3.2</w:t>
            </w:r>
          </w:p>
        </w:tc>
        <w:tc>
          <w:tcPr>
            <w:tcW w:w="665" w:type="dxa"/>
            <w:vAlign w:val="center"/>
          </w:tcPr>
          <w:p w14:paraId="384F8410" w14:textId="08CD32A8" w:rsidR="004D69DD" w:rsidRPr="009C0A42" w:rsidRDefault="00667BD7" w:rsidP="00221417">
            <w:pPr>
              <w:pStyle w:val="Paragraph"/>
              <w:spacing w:after="0" w:line="240" w:lineRule="auto"/>
              <w:jc w:val="center"/>
              <w:rPr>
                <w:rFonts w:eastAsia="Calibri"/>
                <w:noProof/>
                <w:color w:val="000000"/>
                <w:sz w:val="22"/>
                <w:szCs w:val="22"/>
              </w:rPr>
            </w:pPr>
            <w:r w:rsidRPr="003017E6">
              <w:rPr>
                <w:rFonts w:eastAsia="Calibri"/>
                <w:noProof/>
                <w:color w:val="000000"/>
                <w:sz w:val="22"/>
                <w:szCs w:val="22"/>
              </w:rPr>
              <w:t>3.3</w:t>
            </w:r>
          </w:p>
        </w:tc>
        <w:tc>
          <w:tcPr>
            <w:tcW w:w="632" w:type="dxa"/>
            <w:vAlign w:val="center"/>
          </w:tcPr>
          <w:p w14:paraId="5D8A1A53" w14:textId="0125261E" w:rsidR="004D69DD" w:rsidRPr="009C0A42" w:rsidRDefault="00D24378" w:rsidP="00221417">
            <w:pPr>
              <w:pStyle w:val="Paragraph"/>
              <w:spacing w:after="0" w:line="240" w:lineRule="auto"/>
              <w:jc w:val="center"/>
              <w:rPr>
                <w:rFonts w:eastAsia="Calibri"/>
                <w:noProof/>
                <w:color w:val="000000"/>
                <w:sz w:val="22"/>
                <w:szCs w:val="22"/>
              </w:rPr>
            </w:pPr>
            <w:r w:rsidRPr="003017E6">
              <w:rPr>
                <w:rFonts w:eastAsia="Calibri"/>
                <w:noProof/>
                <w:color w:val="000000"/>
                <w:sz w:val="22"/>
                <w:szCs w:val="22"/>
              </w:rPr>
              <w:t>4.8</w:t>
            </w:r>
          </w:p>
        </w:tc>
        <w:tc>
          <w:tcPr>
            <w:tcW w:w="632" w:type="dxa"/>
            <w:vAlign w:val="center"/>
          </w:tcPr>
          <w:p w14:paraId="1620CB0E" w14:textId="0403F5EA" w:rsidR="004D69DD" w:rsidRPr="009C0A42" w:rsidRDefault="00D24378" w:rsidP="00221417">
            <w:pPr>
              <w:pStyle w:val="Paragraph"/>
              <w:spacing w:after="0" w:line="240" w:lineRule="auto"/>
              <w:jc w:val="center"/>
              <w:rPr>
                <w:rFonts w:eastAsia="Calibri"/>
                <w:noProof/>
                <w:color w:val="000000"/>
                <w:sz w:val="22"/>
                <w:szCs w:val="22"/>
              </w:rPr>
            </w:pPr>
            <w:r w:rsidRPr="003017E6">
              <w:rPr>
                <w:rFonts w:eastAsia="Calibri"/>
                <w:noProof/>
                <w:color w:val="000000"/>
                <w:sz w:val="22"/>
                <w:szCs w:val="22"/>
              </w:rPr>
              <w:t>2.7</w:t>
            </w:r>
          </w:p>
        </w:tc>
        <w:tc>
          <w:tcPr>
            <w:tcW w:w="632" w:type="dxa"/>
            <w:vAlign w:val="center"/>
          </w:tcPr>
          <w:p w14:paraId="031A96F4" w14:textId="05C9ED7C" w:rsidR="004D69DD" w:rsidRPr="009C0A42" w:rsidRDefault="00D24378" w:rsidP="00221417">
            <w:pPr>
              <w:pStyle w:val="Paragraph"/>
              <w:spacing w:after="0" w:line="240" w:lineRule="auto"/>
              <w:jc w:val="center"/>
              <w:rPr>
                <w:rFonts w:eastAsia="Calibri"/>
                <w:noProof/>
                <w:color w:val="000000"/>
                <w:sz w:val="22"/>
                <w:szCs w:val="22"/>
              </w:rPr>
            </w:pPr>
            <w:r w:rsidRPr="003017E6">
              <w:rPr>
                <w:rFonts w:eastAsia="Calibri"/>
                <w:noProof/>
                <w:color w:val="000000"/>
                <w:sz w:val="22"/>
                <w:szCs w:val="22"/>
              </w:rPr>
              <w:t>5.9</w:t>
            </w:r>
          </w:p>
        </w:tc>
        <w:tc>
          <w:tcPr>
            <w:tcW w:w="657" w:type="dxa"/>
            <w:vAlign w:val="center"/>
          </w:tcPr>
          <w:p w14:paraId="2E1DD154" w14:textId="09D63D8A" w:rsidR="004D69DD" w:rsidRPr="009C0A42" w:rsidRDefault="00D24378" w:rsidP="00221417">
            <w:pPr>
              <w:pStyle w:val="Paragraph"/>
              <w:spacing w:after="0" w:line="240" w:lineRule="auto"/>
              <w:jc w:val="center"/>
              <w:rPr>
                <w:rFonts w:eastAsia="Calibri"/>
                <w:noProof/>
                <w:color w:val="000000"/>
                <w:sz w:val="22"/>
                <w:szCs w:val="22"/>
              </w:rPr>
            </w:pPr>
            <w:r w:rsidRPr="003017E6">
              <w:rPr>
                <w:rFonts w:eastAsia="Calibri"/>
                <w:noProof/>
                <w:color w:val="000000"/>
                <w:sz w:val="22"/>
                <w:szCs w:val="22"/>
              </w:rPr>
              <w:t>5.5</w:t>
            </w:r>
          </w:p>
        </w:tc>
        <w:tc>
          <w:tcPr>
            <w:tcW w:w="665" w:type="dxa"/>
            <w:vAlign w:val="center"/>
          </w:tcPr>
          <w:p w14:paraId="48F45052" w14:textId="71486FDB" w:rsidR="004D69DD" w:rsidRPr="009C0A42" w:rsidRDefault="00D24378" w:rsidP="00221417">
            <w:pPr>
              <w:pStyle w:val="Paragraph"/>
              <w:spacing w:after="0" w:line="240" w:lineRule="auto"/>
              <w:jc w:val="center"/>
              <w:rPr>
                <w:rFonts w:eastAsia="Calibri"/>
                <w:noProof/>
                <w:color w:val="000000"/>
                <w:sz w:val="22"/>
                <w:szCs w:val="22"/>
              </w:rPr>
            </w:pPr>
            <w:r w:rsidRPr="003017E6">
              <w:rPr>
                <w:rFonts w:eastAsia="Calibri"/>
                <w:noProof/>
                <w:color w:val="000000"/>
                <w:sz w:val="22"/>
                <w:szCs w:val="22"/>
              </w:rPr>
              <w:t>5.1</w:t>
            </w:r>
          </w:p>
        </w:tc>
        <w:tc>
          <w:tcPr>
            <w:tcW w:w="601" w:type="dxa"/>
            <w:vAlign w:val="center"/>
          </w:tcPr>
          <w:p w14:paraId="5FBA2B3C" w14:textId="37F77CCE" w:rsidR="004D69DD" w:rsidRPr="009C0A42" w:rsidRDefault="00D24378" w:rsidP="00221417">
            <w:pPr>
              <w:suppressAutoHyphens w:val="0"/>
              <w:rPr>
                <w:rFonts w:ascii="Times New Roman" w:hAnsi="Times New Roman" w:cs="Times New Roman"/>
                <w:noProof/>
                <w:color w:val="000000"/>
              </w:rPr>
            </w:pPr>
            <w:r w:rsidRPr="003017E6">
              <w:rPr>
                <w:rFonts w:ascii="Times New Roman" w:hAnsi="Times New Roman" w:cs="Times New Roman"/>
                <w:noProof/>
                <w:color w:val="000000"/>
              </w:rPr>
              <w:t>3.6</w:t>
            </w:r>
          </w:p>
        </w:tc>
        <w:tc>
          <w:tcPr>
            <w:tcW w:w="657" w:type="dxa"/>
            <w:vAlign w:val="center"/>
          </w:tcPr>
          <w:p w14:paraId="041987A6" w14:textId="4892BD3B" w:rsidR="004D69DD" w:rsidRPr="00047933" w:rsidRDefault="00D24378" w:rsidP="00221417">
            <w:pPr>
              <w:pStyle w:val="Paragraph"/>
              <w:spacing w:after="0" w:line="240" w:lineRule="auto"/>
              <w:jc w:val="center"/>
              <w:rPr>
                <w:rFonts w:eastAsia="Calibri"/>
                <w:b/>
                <w:bCs/>
                <w:noProof/>
                <w:color w:val="000000"/>
                <w:sz w:val="22"/>
                <w:szCs w:val="22"/>
              </w:rPr>
            </w:pPr>
            <w:r w:rsidRPr="003017E6">
              <w:rPr>
                <w:rFonts w:eastAsia="Calibri"/>
                <w:b/>
                <w:bCs/>
                <w:noProof/>
                <w:color w:val="000000"/>
                <w:sz w:val="22"/>
                <w:szCs w:val="22"/>
              </w:rPr>
              <w:t>3.7</w:t>
            </w:r>
          </w:p>
        </w:tc>
      </w:tr>
    </w:tbl>
    <w:p w14:paraId="17494718" w14:textId="5DF64A98" w:rsidR="00F2392F" w:rsidRPr="00486446" w:rsidRDefault="00F2392F" w:rsidP="007D2691">
      <w:pPr>
        <w:pStyle w:val="Source"/>
        <w:rPr>
          <w:noProof/>
          <w:color w:val="auto"/>
          <w:lang w:val="en-IE"/>
        </w:rPr>
      </w:pPr>
    </w:p>
    <w:p w14:paraId="452F8094" w14:textId="77777777" w:rsidR="00CC12B5" w:rsidRPr="00486446" w:rsidRDefault="00CC12B5" w:rsidP="007D2691">
      <w:pPr>
        <w:pStyle w:val="Source"/>
        <w:rPr>
          <w:noProof/>
          <w:color w:val="auto"/>
          <w:lang w:val="en-IE"/>
        </w:rPr>
      </w:pPr>
    </w:p>
    <w:p w14:paraId="0C65A5FC" w14:textId="0D723165" w:rsidR="00D9227B" w:rsidRDefault="00D9227B">
      <w:pPr>
        <w:suppressAutoHyphens w:val="0"/>
        <w:rPr>
          <w:rFonts w:ascii="Times New Roman" w:eastAsia="Times New Roman" w:hAnsi="Times New Roman" w:cs="Times New Roman"/>
          <w:noProof/>
          <w:sz w:val="20"/>
          <w:szCs w:val="20"/>
          <w:shd w:val="clear" w:color="auto" w:fill="FFFFFF"/>
          <w:lang w:val="en-IE"/>
        </w:rPr>
      </w:pPr>
      <w:r>
        <w:rPr>
          <w:noProof/>
          <w:lang w:val="en-IE"/>
        </w:rPr>
        <w:br w:type="page"/>
      </w:r>
    </w:p>
    <w:p w14:paraId="12BCA21D" w14:textId="5E02F0A9" w:rsidR="00C1173C" w:rsidRPr="00E9362C" w:rsidRDefault="00F50AF8" w:rsidP="0065549F">
      <w:pPr>
        <w:pStyle w:val="Heading3"/>
        <w:spacing w:before="0" w:after="160" w:line="250" w:lineRule="auto"/>
        <w:rPr>
          <w:rFonts w:ascii="Times New Roman" w:hAnsi="Times New Roman"/>
          <w:b/>
          <w:bCs/>
          <w:noProof/>
          <w:color w:val="auto"/>
        </w:rPr>
      </w:pPr>
      <w:bookmarkStart w:id="108" w:name="_Toc185237882"/>
      <w:bookmarkStart w:id="109" w:name="_Toc185239885"/>
      <w:bookmarkStart w:id="110" w:name="_Toc185264648"/>
      <w:bookmarkStart w:id="111" w:name="_Toc185525741"/>
      <w:bookmarkStart w:id="112" w:name="_Toc185591281"/>
      <w:bookmarkStart w:id="113" w:name="_Toc220103456"/>
      <w:r w:rsidRPr="00E9362C">
        <w:rPr>
          <w:rFonts w:ascii="Times New Roman" w:hAnsi="Times New Roman"/>
          <w:b/>
          <w:bCs/>
          <w:noProof/>
          <w:color w:val="auto"/>
        </w:rPr>
        <w:t xml:space="preserve">KPI </w:t>
      </w:r>
      <w:r w:rsidR="00C00D1F">
        <w:rPr>
          <w:rFonts w:ascii="Times New Roman" w:hAnsi="Times New Roman"/>
          <w:b/>
          <w:bCs/>
          <w:noProof/>
          <w:color w:val="auto"/>
        </w:rPr>
        <w:t>20</w:t>
      </w:r>
      <w:r w:rsidRPr="00E9362C">
        <w:rPr>
          <w:rFonts w:ascii="Times New Roman" w:hAnsi="Times New Roman"/>
          <w:b/>
          <w:bCs/>
          <w:noProof/>
          <w:color w:val="auto"/>
        </w:rPr>
        <w:t>: Venture capital investment</w:t>
      </w:r>
      <w:bookmarkStart w:id="114" w:name="_Toc183515528"/>
      <w:bookmarkEnd w:id="108"/>
      <w:bookmarkEnd w:id="109"/>
      <w:bookmarkEnd w:id="110"/>
      <w:bookmarkEnd w:id="111"/>
      <w:bookmarkEnd w:id="112"/>
      <w:bookmarkEnd w:id="113"/>
      <w:r w:rsidRPr="00E9362C">
        <w:rPr>
          <w:rFonts w:ascii="Times New Roman" w:hAnsi="Times New Roman"/>
          <w:b/>
          <w:bCs/>
          <w:noProof/>
          <w:color w:val="auto"/>
        </w:rPr>
        <w:t xml:space="preserve"> </w:t>
      </w:r>
      <w:bookmarkEnd w:id="114"/>
    </w:p>
    <w:p w14:paraId="5E09FDFE" w14:textId="60F61FBA" w:rsidR="00C1173C" w:rsidRPr="00486446" w:rsidRDefault="00B816A4" w:rsidP="006E0577">
      <w:pPr>
        <w:pStyle w:val="Paragraph"/>
        <w:spacing w:line="250" w:lineRule="auto"/>
        <w:rPr>
          <w:noProof/>
          <w:lang w:val="en-IE"/>
        </w:rPr>
      </w:pPr>
      <w:r w:rsidRPr="00486446">
        <w:rPr>
          <w:noProof/>
          <w:lang w:val="en-IE"/>
        </w:rPr>
        <w:t>KPI 2</w:t>
      </w:r>
      <w:r w:rsidR="00C00D1F">
        <w:rPr>
          <w:noProof/>
          <w:lang w:val="en-IE"/>
        </w:rPr>
        <w:t>0</w:t>
      </w:r>
      <w:r w:rsidRPr="00486446">
        <w:rPr>
          <w:noProof/>
          <w:lang w:val="en-IE"/>
        </w:rPr>
        <w:t xml:space="preserve"> tracks</w:t>
      </w:r>
      <w:r w:rsidR="00EA3A81" w:rsidRPr="00486446">
        <w:rPr>
          <w:noProof/>
          <w:lang w:val="en-IE"/>
        </w:rPr>
        <w:t xml:space="preserve"> </w:t>
      </w:r>
      <w:r w:rsidR="00F50AF8" w:rsidRPr="00486446">
        <w:rPr>
          <w:noProof/>
          <w:lang w:val="en-IE"/>
        </w:rPr>
        <w:t>venture capital investment</w:t>
      </w:r>
      <w:r w:rsidRPr="00486446">
        <w:rPr>
          <w:noProof/>
          <w:lang w:val="en-IE"/>
        </w:rPr>
        <w:t xml:space="preserve">s </w:t>
      </w:r>
      <w:r w:rsidR="00F50AF8" w:rsidRPr="00486446">
        <w:rPr>
          <w:noProof/>
          <w:lang w:val="en-IE"/>
        </w:rPr>
        <w:t xml:space="preserve">as a </w:t>
      </w:r>
      <w:r w:rsidRPr="00486446">
        <w:rPr>
          <w:noProof/>
          <w:lang w:val="en-IE"/>
        </w:rPr>
        <w:t>share of</w:t>
      </w:r>
      <w:r w:rsidR="00F50AF8" w:rsidRPr="00486446">
        <w:rPr>
          <w:noProof/>
          <w:lang w:val="en-IE"/>
        </w:rPr>
        <w:t xml:space="preserve"> GDP.</w:t>
      </w:r>
      <w:r w:rsidR="007D2691" w:rsidRPr="00486446">
        <w:rPr>
          <w:noProof/>
          <w:lang w:val="en-IE"/>
        </w:rPr>
        <w:t xml:space="preserve"> </w:t>
      </w:r>
    </w:p>
    <w:p w14:paraId="0957FDA5" w14:textId="63C5442D" w:rsidR="00674668" w:rsidRDefault="00464572" w:rsidP="006E0577">
      <w:pPr>
        <w:pStyle w:val="Paragraph"/>
        <w:spacing w:line="250" w:lineRule="auto"/>
        <w:rPr>
          <w:noProof/>
          <w:lang w:val="en-IE"/>
        </w:rPr>
      </w:pPr>
      <w:r w:rsidRPr="0065549F">
        <w:rPr>
          <w:noProof/>
          <w:lang w:val="en-IE"/>
        </w:rPr>
        <w:t>Venture capital investment</w:t>
      </w:r>
      <w:r w:rsidR="00F825A9">
        <w:rPr>
          <w:noProof/>
          <w:lang w:val="en-IE"/>
        </w:rPr>
        <w:t xml:space="preserve"> in the EU</w:t>
      </w:r>
      <w:r w:rsidRPr="0065549F">
        <w:rPr>
          <w:noProof/>
          <w:lang w:val="en-IE"/>
        </w:rPr>
        <w:t xml:space="preserve"> </w:t>
      </w:r>
      <w:r w:rsidR="000952CE">
        <w:rPr>
          <w:noProof/>
          <w:lang w:val="en-IE"/>
        </w:rPr>
        <w:t>remains at very low levels,</w:t>
      </w:r>
      <w:r w:rsidR="002F4244">
        <w:rPr>
          <w:noProof/>
          <w:lang w:val="en-IE"/>
        </w:rPr>
        <w:t xml:space="preserve"> </w:t>
      </w:r>
      <w:r w:rsidR="000952CE">
        <w:rPr>
          <w:noProof/>
          <w:lang w:val="en-IE"/>
        </w:rPr>
        <w:t>equal to 0.06</w:t>
      </w:r>
      <w:r w:rsidR="00840680">
        <w:rPr>
          <w:noProof/>
          <w:lang w:val="en-IE"/>
        </w:rPr>
        <w:t>%</w:t>
      </w:r>
      <w:r w:rsidR="000952CE">
        <w:rPr>
          <w:noProof/>
          <w:lang w:val="en-IE"/>
        </w:rPr>
        <w:t xml:space="preserve"> of GDP</w:t>
      </w:r>
      <w:r w:rsidR="00840680">
        <w:rPr>
          <w:noProof/>
          <w:lang w:val="en-IE"/>
        </w:rPr>
        <w:t xml:space="preserve"> in 2024</w:t>
      </w:r>
      <w:r w:rsidRPr="0065549F">
        <w:rPr>
          <w:noProof/>
          <w:lang w:val="en-IE"/>
        </w:rPr>
        <w:t xml:space="preserve">. Many innovative, fast-growing companies depend on risk capital in the form of venture investments for their expansion. </w:t>
      </w:r>
      <w:r w:rsidR="00E6457B">
        <w:rPr>
          <w:noProof/>
          <w:lang w:val="en-IE"/>
        </w:rPr>
        <w:t>M</w:t>
      </w:r>
      <w:r w:rsidRPr="0065549F">
        <w:rPr>
          <w:noProof/>
          <w:lang w:val="en-IE"/>
        </w:rPr>
        <w:t xml:space="preserve">easured as share of </w:t>
      </w:r>
      <w:r w:rsidR="00E6457B">
        <w:rPr>
          <w:noProof/>
          <w:lang w:val="en-IE"/>
        </w:rPr>
        <w:t xml:space="preserve">GDP, EU </w:t>
      </w:r>
      <w:r w:rsidRPr="0065549F">
        <w:rPr>
          <w:noProof/>
          <w:lang w:val="en-IE"/>
        </w:rPr>
        <w:t>venture capital investment is estimated to remain</w:t>
      </w:r>
      <w:r w:rsidR="007E00CC">
        <w:rPr>
          <w:noProof/>
          <w:lang w:val="en-IE"/>
        </w:rPr>
        <w:t xml:space="preserve"> just </w:t>
      </w:r>
      <w:r w:rsidR="00D34AA0">
        <w:rPr>
          <w:noProof/>
          <w:lang w:val="en-IE"/>
        </w:rPr>
        <w:t>one</w:t>
      </w:r>
      <w:r w:rsidR="007E00CC">
        <w:rPr>
          <w:noProof/>
          <w:lang w:val="en-IE"/>
        </w:rPr>
        <w:t>-</w:t>
      </w:r>
      <w:r w:rsidR="00D34AA0">
        <w:rPr>
          <w:noProof/>
          <w:lang w:val="en-IE"/>
        </w:rPr>
        <w:t>tenth the size of</w:t>
      </w:r>
      <w:r w:rsidRPr="0065549F">
        <w:rPr>
          <w:noProof/>
          <w:lang w:val="en-IE"/>
        </w:rPr>
        <w:t xml:space="preserve"> </w:t>
      </w:r>
      <w:r w:rsidR="003D3564">
        <w:rPr>
          <w:noProof/>
          <w:lang w:val="en-IE"/>
        </w:rPr>
        <w:t>investment levels in</w:t>
      </w:r>
      <w:r w:rsidRPr="0065549F">
        <w:rPr>
          <w:noProof/>
          <w:lang w:val="en-IE"/>
        </w:rPr>
        <w:t xml:space="preserve"> the US and </w:t>
      </w:r>
      <w:r w:rsidR="00885571">
        <w:rPr>
          <w:noProof/>
          <w:lang w:val="en-IE"/>
        </w:rPr>
        <w:t>one</w:t>
      </w:r>
      <w:r w:rsidR="007E00CC">
        <w:rPr>
          <w:noProof/>
          <w:lang w:val="en-IE"/>
        </w:rPr>
        <w:t>-</w:t>
      </w:r>
      <w:r w:rsidR="00885571">
        <w:rPr>
          <w:noProof/>
          <w:lang w:val="en-IE"/>
        </w:rPr>
        <w:t>quarter</w:t>
      </w:r>
      <w:r w:rsidR="00885571" w:rsidRPr="0065549F">
        <w:rPr>
          <w:noProof/>
          <w:lang w:val="en-IE"/>
        </w:rPr>
        <w:t xml:space="preserve"> </w:t>
      </w:r>
      <w:r w:rsidR="003D3564">
        <w:rPr>
          <w:noProof/>
          <w:lang w:val="en-IE"/>
        </w:rPr>
        <w:t>of in</w:t>
      </w:r>
      <w:r w:rsidR="00333B44">
        <w:rPr>
          <w:noProof/>
          <w:lang w:val="en-IE"/>
        </w:rPr>
        <w:t>v</w:t>
      </w:r>
      <w:r w:rsidR="003D3564">
        <w:rPr>
          <w:noProof/>
          <w:lang w:val="en-IE"/>
        </w:rPr>
        <w:t>estment levels in</w:t>
      </w:r>
      <w:r w:rsidRPr="0065549F">
        <w:rPr>
          <w:noProof/>
          <w:lang w:val="en-IE"/>
        </w:rPr>
        <w:t xml:space="preserve"> China.</w:t>
      </w:r>
    </w:p>
    <w:p w14:paraId="1A322C4C" w14:textId="77777777" w:rsidR="000C0B93" w:rsidRPr="00486446" w:rsidRDefault="000C0B93" w:rsidP="006E0577">
      <w:pPr>
        <w:pStyle w:val="Paragraph"/>
        <w:spacing w:line="250" w:lineRule="auto"/>
        <w:rPr>
          <w:noProof/>
          <w:lang w:val="en-IE"/>
        </w:rPr>
      </w:pPr>
    </w:p>
    <w:p w14:paraId="13E35BB4" w14:textId="5D2C14AF" w:rsidR="00A054E9" w:rsidRPr="00486446" w:rsidRDefault="00F50AF8" w:rsidP="006E0577">
      <w:pPr>
        <w:pStyle w:val="Figurecaption"/>
        <w:spacing w:line="250" w:lineRule="auto"/>
        <w:jc w:val="both"/>
        <w:rPr>
          <w:rFonts w:cs="Times New Roman"/>
          <w:noProof/>
          <w:lang w:val="en-IE"/>
        </w:rPr>
      </w:pPr>
      <w:r w:rsidRPr="00486446">
        <w:rPr>
          <w:rFonts w:cs="Times New Roman"/>
          <w:b/>
          <w:noProof/>
          <w:lang w:val="en-IE"/>
        </w:rPr>
        <w:t xml:space="preserve">Figure </w:t>
      </w:r>
      <w:r w:rsidR="001E0192" w:rsidRPr="00486446">
        <w:rPr>
          <w:rFonts w:cs="Times New Roman"/>
          <w:b/>
          <w:noProof/>
          <w:lang w:val="en-IE"/>
        </w:rPr>
        <w:t>2</w:t>
      </w:r>
      <w:r w:rsidR="00C00D1F">
        <w:rPr>
          <w:rFonts w:cs="Times New Roman"/>
          <w:b/>
          <w:noProof/>
          <w:lang w:val="en-IE"/>
        </w:rPr>
        <w:t>0</w:t>
      </w:r>
      <w:r w:rsidRPr="00486446">
        <w:rPr>
          <w:rFonts w:cs="Times New Roman"/>
          <w:noProof/>
          <w:lang w:val="en-IE"/>
        </w:rPr>
        <w:t xml:space="preserve">: </w:t>
      </w:r>
      <w:r w:rsidRPr="00486446">
        <w:rPr>
          <w:rFonts w:eastAsia="Times New Roman" w:cs="Times New Roman"/>
          <w:iCs w:val="0"/>
          <w:noProof/>
          <w:szCs w:val="24"/>
          <w:lang w:val="en-IE"/>
        </w:rPr>
        <w:t xml:space="preserve">Venture capital </w:t>
      </w:r>
      <w:r w:rsidR="008C7254" w:rsidRPr="00486446">
        <w:rPr>
          <w:rFonts w:eastAsia="Times New Roman" w:cs="Times New Roman"/>
          <w:iCs w:val="0"/>
          <w:noProof/>
          <w:szCs w:val="24"/>
          <w:lang w:val="en-IE"/>
        </w:rPr>
        <w:t>investment</w:t>
      </w:r>
      <w:r w:rsidR="00B816A4" w:rsidRPr="00486446">
        <w:rPr>
          <w:rFonts w:eastAsia="Times New Roman" w:cs="Times New Roman"/>
          <w:iCs w:val="0"/>
          <w:noProof/>
          <w:szCs w:val="24"/>
          <w:lang w:val="en-IE"/>
        </w:rPr>
        <w:t xml:space="preserve"> in the EU and other advanced economies.</w:t>
      </w:r>
    </w:p>
    <w:p w14:paraId="0BAF8B6E" w14:textId="72B60ED9" w:rsidR="00C1173C" w:rsidRPr="00486446" w:rsidRDefault="00F76BF0" w:rsidP="00B816A4">
      <w:pPr>
        <w:pStyle w:val="Figurecaption"/>
        <w:jc w:val="center"/>
        <w:rPr>
          <w:rFonts w:cs="Times New Roman"/>
          <w:noProof/>
          <w:lang w:val="fr-FR"/>
        </w:rPr>
      </w:pPr>
      <w:r>
        <w:rPr>
          <w:noProof/>
          <w:lang w:eastAsia="en-GB"/>
        </w:rPr>
        <w:drawing>
          <wp:inline distT="0" distB="0" distL="0" distR="0" wp14:anchorId="4D6497E3" wp14:editId="2723BF73">
            <wp:extent cx="5305425" cy="3419475"/>
            <wp:effectExtent l="0" t="0" r="9525" b="9525"/>
            <wp:docPr id="3476149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14932" name=""/>
                    <pic:cNvPicPr/>
                  </pic:nvPicPr>
                  <pic:blipFill>
                    <a:blip r:embed="rId86">
                      <a:extLst>
                        <a:ext uri="{96DAC541-7B7A-43D3-8B79-37D633B846F1}">
                          <asvg:svgBlip xmlns:asvg="http://schemas.microsoft.com/office/drawing/2016/SVG/main" r:embed="rId87"/>
                        </a:ext>
                      </a:extLst>
                    </a:blip>
                    <a:stretch>
                      <a:fillRect/>
                    </a:stretch>
                  </pic:blipFill>
                  <pic:spPr>
                    <a:xfrm>
                      <a:off x="0" y="0"/>
                      <a:ext cx="5305425" cy="3419475"/>
                    </a:xfrm>
                    <a:prstGeom prst="rect">
                      <a:avLst/>
                    </a:prstGeom>
                  </pic:spPr>
                </pic:pic>
              </a:graphicData>
            </a:graphic>
          </wp:inline>
        </w:drawing>
      </w:r>
    </w:p>
    <w:p w14:paraId="5802D4E7" w14:textId="2FDCEF6A" w:rsidR="005B737F" w:rsidRPr="009349F5" w:rsidRDefault="00F50AF8" w:rsidP="005B737F">
      <w:pPr>
        <w:pStyle w:val="Source"/>
        <w:rPr>
          <w:noProof/>
          <w:color w:val="auto"/>
          <w:lang w:val="fr-FR"/>
        </w:rPr>
      </w:pPr>
      <w:r w:rsidRPr="009349F5">
        <w:rPr>
          <w:noProof/>
          <w:color w:val="auto"/>
          <w:lang w:val="fr-FR"/>
        </w:rPr>
        <w:t xml:space="preserve">Source: </w:t>
      </w:r>
      <w:r w:rsidR="00110FC6">
        <w:rPr>
          <w:noProof/>
          <w:color w:val="auto"/>
          <w:lang w:val="fr-FR"/>
        </w:rPr>
        <w:t>European Commission services based on</w:t>
      </w:r>
      <w:r w:rsidRPr="009349F5">
        <w:rPr>
          <w:noProof/>
          <w:color w:val="auto"/>
          <w:lang w:val="fr-FR"/>
        </w:rPr>
        <w:t xml:space="preserve"> </w:t>
      </w:r>
      <w:r w:rsidR="005B737F" w:rsidRPr="009349F5">
        <w:rPr>
          <w:noProof/>
          <w:color w:val="auto"/>
          <w:lang w:val="fr-FR"/>
        </w:rPr>
        <w:t>Invest Europe; Eurostat; OECD; Statista</w:t>
      </w:r>
    </w:p>
    <w:p w14:paraId="3A7838AA" w14:textId="04B1517F" w:rsidR="00C1173C" w:rsidRPr="00486446" w:rsidRDefault="00F50AF8" w:rsidP="005B737F">
      <w:pPr>
        <w:pStyle w:val="Source"/>
        <w:rPr>
          <w:noProof/>
          <w:color w:val="auto"/>
          <w:sz w:val="24"/>
          <w:szCs w:val="24"/>
          <w:lang w:val="en-IE"/>
        </w:rPr>
      </w:pPr>
      <w:r w:rsidRPr="009349F5">
        <w:rPr>
          <w:noProof/>
          <w:color w:val="auto"/>
          <w:sz w:val="24"/>
          <w:szCs w:val="24"/>
          <w:lang w:val="en-IE"/>
        </w:rPr>
        <w:t>National data</w:t>
      </w:r>
      <w:r w:rsidR="00D76710" w:rsidRPr="009349F5">
        <w:rPr>
          <w:noProof/>
          <w:color w:val="auto"/>
          <w:sz w:val="24"/>
          <w:szCs w:val="24"/>
          <w:lang w:val="en-IE"/>
        </w:rPr>
        <w:t>,</w:t>
      </w:r>
      <w:r w:rsidR="00D76710" w:rsidRPr="009349F5">
        <w:rPr>
          <w:noProof/>
          <w:sz w:val="24"/>
          <w:szCs w:val="24"/>
          <w:lang w:val="en-IE"/>
        </w:rPr>
        <w:t xml:space="preserve"> % of GDP</w:t>
      </w:r>
      <w:r w:rsidR="00674668" w:rsidRPr="009349F5">
        <w:rPr>
          <w:noProof/>
          <w:color w:val="auto"/>
          <w:sz w:val="24"/>
          <w:szCs w:val="24"/>
          <w:lang w:val="en-IE"/>
        </w:rPr>
        <w:t xml:space="preserve"> </w:t>
      </w:r>
      <w:r w:rsidR="00674668" w:rsidRPr="00F97AA7">
        <w:rPr>
          <w:noProof/>
          <w:color w:val="auto"/>
          <w:sz w:val="24"/>
          <w:szCs w:val="24"/>
          <w:lang w:val="en-IE"/>
        </w:rPr>
        <w:t>(202</w:t>
      </w:r>
      <w:r w:rsidR="00536F45" w:rsidRPr="00F97AA7">
        <w:rPr>
          <w:noProof/>
          <w:color w:val="auto"/>
          <w:sz w:val="24"/>
          <w:szCs w:val="24"/>
          <w:lang w:val="en-IE"/>
        </w:rPr>
        <w:t>4</w:t>
      </w:r>
      <w:r w:rsidR="00674668" w:rsidRPr="00F97AA7">
        <w:rPr>
          <w:noProof/>
          <w:color w:val="auto"/>
          <w:sz w:val="24"/>
          <w:szCs w:val="24"/>
          <w:lang w:val="en-IE"/>
        </w:rPr>
        <w:t>)</w:t>
      </w:r>
    </w:p>
    <w:tbl>
      <w:tblPr>
        <w:tblStyle w:val="TableGrid"/>
        <w:tblW w:w="0" w:type="auto"/>
        <w:jc w:val="center"/>
        <w:tblLook w:val="04A0" w:firstRow="1" w:lastRow="0" w:firstColumn="1" w:lastColumn="0" w:noHBand="0" w:noVBand="1"/>
      </w:tblPr>
      <w:tblGrid>
        <w:gridCol w:w="631"/>
        <w:gridCol w:w="641"/>
        <w:gridCol w:w="657"/>
        <w:gridCol w:w="657"/>
        <w:gridCol w:w="640"/>
        <w:gridCol w:w="649"/>
        <w:gridCol w:w="665"/>
        <w:gridCol w:w="632"/>
        <w:gridCol w:w="632"/>
        <w:gridCol w:w="632"/>
        <w:gridCol w:w="657"/>
        <w:gridCol w:w="665"/>
        <w:gridCol w:w="601"/>
        <w:gridCol w:w="657"/>
      </w:tblGrid>
      <w:tr w:rsidR="009349F5" w:rsidRPr="001C633D" w14:paraId="15EFC3E3" w14:textId="77777777" w:rsidTr="00221417">
        <w:trPr>
          <w:trHeight w:val="300"/>
          <w:jc w:val="center"/>
        </w:trPr>
        <w:tc>
          <w:tcPr>
            <w:tcW w:w="631" w:type="dxa"/>
            <w:shd w:val="clear" w:color="auto" w:fill="D9E2F3" w:themeFill="accent1" w:themeFillTint="33"/>
            <w:vAlign w:val="center"/>
            <w:hideMark/>
          </w:tcPr>
          <w:p w14:paraId="2A34AE9B" w14:textId="77777777" w:rsidR="004D69DD" w:rsidRPr="009349F5" w:rsidRDefault="004D69DD" w:rsidP="00221417">
            <w:pPr>
              <w:pStyle w:val="Paragraph"/>
              <w:spacing w:after="0" w:line="240" w:lineRule="auto"/>
              <w:jc w:val="center"/>
              <w:rPr>
                <w:noProof/>
                <w:sz w:val="22"/>
                <w:szCs w:val="22"/>
                <w:lang w:val="en-IE"/>
              </w:rPr>
            </w:pPr>
            <w:bookmarkStart w:id="115" w:name="_Toc183515543"/>
            <w:r w:rsidRPr="009349F5">
              <w:rPr>
                <w:noProof/>
                <w:sz w:val="22"/>
                <w:szCs w:val="22"/>
                <w:lang w:val="en-IE"/>
              </w:rPr>
              <w:t xml:space="preserve">AT </w:t>
            </w:r>
          </w:p>
        </w:tc>
        <w:tc>
          <w:tcPr>
            <w:tcW w:w="641" w:type="dxa"/>
            <w:shd w:val="clear" w:color="auto" w:fill="D9E2F3" w:themeFill="accent1" w:themeFillTint="33"/>
            <w:vAlign w:val="center"/>
            <w:hideMark/>
          </w:tcPr>
          <w:p w14:paraId="421B4221"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BE</w:t>
            </w:r>
          </w:p>
        </w:tc>
        <w:tc>
          <w:tcPr>
            <w:tcW w:w="657" w:type="dxa"/>
            <w:shd w:val="clear" w:color="auto" w:fill="D9E2F3" w:themeFill="accent1" w:themeFillTint="33"/>
            <w:vAlign w:val="center"/>
            <w:hideMark/>
          </w:tcPr>
          <w:p w14:paraId="2AC4D351"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BG</w:t>
            </w:r>
          </w:p>
        </w:tc>
        <w:tc>
          <w:tcPr>
            <w:tcW w:w="657" w:type="dxa"/>
            <w:shd w:val="clear" w:color="auto" w:fill="D9E2F3" w:themeFill="accent1" w:themeFillTint="33"/>
            <w:vAlign w:val="center"/>
            <w:hideMark/>
          </w:tcPr>
          <w:p w14:paraId="5BEB9068"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CY</w:t>
            </w:r>
          </w:p>
        </w:tc>
        <w:tc>
          <w:tcPr>
            <w:tcW w:w="640" w:type="dxa"/>
            <w:shd w:val="clear" w:color="auto" w:fill="D9E2F3" w:themeFill="accent1" w:themeFillTint="33"/>
            <w:vAlign w:val="center"/>
            <w:hideMark/>
          </w:tcPr>
          <w:p w14:paraId="770FD8A5"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CZ</w:t>
            </w:r>
          </w:p>
        </w:tc>
        <w:tc>
          <w:tcPr>
            <w:tcW w:w="649" w:type="dxa"/>
            <w:shd w:val="clear" w:color="auto" w:fill="D9E2F3" w:themeFill="accent1" w:themeFillTint="33"/>
            <w:vAlign w:val="center"/>
            <w:hideMark/>
          </w:tcPr>
          <w:p w14:paraId="35F71D3D"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DE</w:t>
            </w:r>
          </w:p>
        </w:tc>
        <w:tc>
          <w:tcPr>
            <w:tcW w:w="665" w:type="dxa"/>
            <w:shd w:val="clear" w:color="auto" w:fill="D9E2F3" w:themeFill="accent1" w:themeFillTint="33"/>
            <w:vAlign w:val="center"/>
            <w:hideMark/>
          </w:tcPr>
          <w:p w14:paraId="64298B31"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DK</w:t>
            </w:r>
          </w:p>
        </w:tc>
        <w:tc>
          <w:tcPr>
            <w:tcW w:w="632" w:type="dxa"/>
            <w:shd w:val="clear" w:color="auto" w:fill="D9E2F3" w:themeFill="accent1" w:themeFillTint="33"/>
            <w:vAlign w:val="center"/>
            <w:hideMark/>
          </w:tcPr>
          <w:p w14:paraId="28CDD56E"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EE</w:t>
            </w:r>
          </w:p>
        </w:tc>
        <w:tc>
          <w:tcPr>
            <w:tcW w:w="632" w:type="dxa"/>
            <w:shd w:val="clear" w:color="auto" w:fill="D9E2F3" w:themeFill="accent1" w:themeFillTint="33"/>
            <w:vAlign w:val="center"/>
            <w:hideMark/>
          </w:tcPr>
          <w:p w14:paraId="7B81B5BF"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EL</w:t>
            </w:r>
          </w:p>
        </w:tc>
        <w:tc>
          <w:tcPr>
            <w:tcW w:w="632" w:type="dxa"/>
            <w:shd w:val="clear" w:color="auto" w:fill="D9E2F3" w:themeFill="accent1" w:themeFillTint="33"/>
            <w:vAlign w:val="center"/>
            <w:hideMark/>
          </w:tcPr>
          <w:p w14:paraId="3A2669F5"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ES</w:t>
            </w:r>
          </w:p>
        </w:tc>
        <w:tc>
          <w:tcPr>
            <w:tcW w:w="657" w:type="dxa"/>
            <w:shd w:val="clear" w:color="auto" w:fill="D9E2F3" w:themeFill="accent1" w:themeFillTint="33"/>
            <w:vAlign w:val="center"/>
          </w:tcPr>
          <w:p w14:paraId="6EBBA25C"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FI</w:t>
            </w:r>
          </w:p>
        </w:tc>
        <w:tc>
          <w:tcPr>
            <w:tcW w:w="665" w:type="dxa"/>
            <w:shd w:val="clear" w:color="auto" w:fill="D9E2F3" w:themeFill="accent1" w:themeFillTint="33"/>
            <w:vAlign w:val="center"/>
          </w:tcPr>
          <w:p w14:paraId="2F5092C4"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FR</w:t>
            </w:r>
          </w:p>
        </w:tc>
        <w:tc>
          <w:tcPr>
            <w:tcW w:w="601" w:type="dxa"/>
            <w:shd w:val="clear" w:color="auto" w:fill="D9E2F3" w:themeFill="accent1" w:themeFillTint="33"/>
            <w:vAlign w:val="center"/>
          </w:tcPr>
          <w:p w14:paraId="411B400C"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HR</w:t>
            </w:r>
          </w:p>
        </w:tc>
        <w:tc>
          <w:tcPr>
            <w:tcW w:w="657" w:type="dxa"/>
            <w:shd w:val="clear" w:color="auto" w:fill="D9E2F3" w:themeFill="accent1" w:themeFillTint="33"/>
            <w:vAlign w:val="center"/>
          </w:tcPr>
          <w:p w14:paraId="4D74D3D7" w14:textId="77777777" w:rsidR="004D69DD" w:rsidRPr="009349F5" w:rsidRDefault="004D69DD" w:rsidP="00221417">
            <w:pPr>
              <w:pStyle w:val="Paragraph"/>
              <w:spacing w:after="0" w:line="240" w:lineRule="auto"/>
              <w:jc w:val="center"/>
              <w:rPr>
                <w:noProof/>
                <w:sz w:val="22"/>
                <w:szCs w:val="22"/>
                <w:lang w:val="en-IE"/>
              </w:rPr>
            </w:pPr>
            <w:r w:rsidRPr="009349F5">
              <w:rPr>
                <w:noProof/>
                <w:sz w:val="22"/>
                <w:szCs w:val="22"/>
                <w:lang w:val="en-IE"/>
              </w:rPr>
              <w:t>HU</w:t>
            </w:r>
          </w:p>
        </w:tc>
      </w:tr>
      <w:tr w:rsidR="00197691" w:rsidRPr="001C633D" w14:paraId="6BC313CE" w14:textId="77777777" w:rsidTr="00221417">
        <w:trPr>
          <w:trHeight w:val="315"/>
          <w:jc w:val="center"/>
        </w:trPr>
        <w:tc>
          <w:tcPr>
            <w:tcW w:w="631" w:type="dxa"/>
            <w:vAlign w:val="center"/>
          </w:tcPr>
          <w:p w14:paraId="2A3A9AB5" w14:textId="282E28E7" w:rsidR="00E81684" w:rsidRPr="00F97AA7" w:rsidRDefault="00E81684" w:rsidP="00E81684">
            <w:pPr>
              <w:suppressAutoHyphens w:val="0"/>
              <w:jc w:val="center"/>
              <w:rPr>
                <w:rFonts w:ascii="Times New Roman" w:hAnsi="Times New Roman" w:cs="Times New Roman"/>
                <w:noProof/>
                <w:color w:val="000000"/>
              </w:rPr>
            </w:pPr>
            <w:r w:rsidRPr="00F97AA7">
              <w:rPr>
                <w:rFonts w:ascii="Times New Roman" w:hAnsi="Times New Roman" w:cs="Times New Roman"/>
                <w:noProof/>
                <w:color w:val="000000"/>
              </w:rPr>
              <w:t>0.03</w:t>
            </w:r>
          </w:p>
        </w:tc>
        <w:tc>
          <w:tcPr>
            <w:tcW w:w="641" w:type="dxa"/>
            <w:vAlign w:val="center"/>
          </w:tcPr>
          <w:p w14:paraId="254DD0EC" w14:textId="4F7C9914" w:rsidR="00E81684" w:rsidRPr="00F97AA7" w:rsidRDefault="00E81684" w:rsidP="00F97AA7">
            <w:pPr>
              <w:suppressAutoHyphens w:val="0"/>
              <w:jc w:val="center"/>
              <w:rPr>
                <w:noProof/>
                <w:color w:val="000000"/>
              </w:rPr>
            </w:pPr>
            <w:r w:rsidRPr="00F97AA7">
              <w:rPr>
                <w:rFonts w:ascii="Times New Roman" w:hAnsi="Times New Roman" w:cs="Times New Roman"/>
                <w:noProof/>
                <w:color w:val="000000"/>
              </w:rPr>
              <w:t>0.08</w:t>
            </w:r>
          </w:p>
        </w:tc>
        <w:tc>
          <w:tcPr>
            <w:tcW w:w="657" w:type="dxa"/>
            <w:vAlign w:val="center"/>
          </w:tcPr>
          <w:p w14:paraId="3554A5EE" w14:textId="1EBB3FCC" w:rsidR="00E81684" w:rsidRPr="00F97AA7" w:rsidRDefault="00E81684" w:rsidP="00F97AA7">
            <w:pPr>
              <w:suppressAutoHyphens w:val="0"/>
              <w:jc w:val="center"/>
              <w:rPr>
                <w:noProof/>
                <w:color w:val="000000"/>
              </w:rPr>
            </w:pPr>
            <w:r w:rsidRPr="00F97AA7">
              <w:rPr>
                <w:rFonts w:ascii="Times New Roman" w:hAnsi="Times New Roman" w:cs="Times New Roman"/>
                <w:noProof/>
                <w:color w:val="000000"/>
              </w:rPr>
              <w:t>0.03</w:t>
            </w:r>
          </w:p>
        </w:tc>
        <w:tc>
          <w:tcPr>
            <w:tcW w:w="657" w:type="dxa"/>
            <w:vAlign w:val="center"/>
          </w:tcPr>
          <w:p w14:paraId="0B6E7E25" w14:textId="49D96F34" w:rsidR="00E81684" w:rsidRPr="009349F5" w:rsidRDefault="002A26A2" w:rsidP="00E81684">
            <w:pPr>
              <w:pStyle w:val="Paragraph"/>
              <w:spacing w:after="0" w:line="240" w:lineRule="auto"/>
              <w:jc w:val="center"/>
              <w:rPr>
                <w:noProof/>
                <w:sz w:val="22"/>
                <w:szCs w:val="22"/>
                <w:lang w:val="en-IE"/>
              </w:rPr>
            </w:pPr>
            <w:r>
              <w:rPr>
                <w:noProof/>
                <w:sz w:val="22"/>
                <w:szCs w:val="22"/>
                <w:lang w:val="en-IE"/>
              </w:rPr>
              <w:t>0</w:t>
            </w:r>
            <w:r w:rsidR="00267D43">
              <w:rPr>
                <w:noProof/>
                <w:sz w:val="22"/>
                <w:szCs w:val="22"/>
                <w:lang w:val="en-IE"/>
              </w:rPr>
              <w:t>.01</w:t>
            </w:r>
          </w:p>
        </w:tc>
        <w:tc>
          <w:tcPr>
            <w:tcW w:w="640" w:type="dxa"/>
            <w:vAlign w:val="center"/>
          </w:tcPr>
          <w:p w14:paraId="28EA0D63" w14:textId="3CDB4785" w:rsidR="00E81684" w:rsidRPr="00F97AA7" w:rsidRDefault="00E81684" w:rsidP="00F97AA7">
            <w:pPr>
              <w:suppressAutoHyphens w:val="0"/>
              <w:jc w:val="center"/>
              <w:rPr>
                <w:noProof/>
                <w:color w:val="000000"/>
              </w:rPr>
            </w:pPr>
            <w:r w:rsidRPr="00F97AA7">
              <w:rPr>
                <w:rFonts w:ascii="Times New Roman" w:hAnsi="Times New Roman" w:cs="Times New Roman"/>
                <w:noProof/>
                <w:color w:val="000000"/>
              </w:rPr>
              <w:t>0.01</w:t>
            </w:r>
          </w:p>
        </w:tc>
        <w:tc>
          <w:tcPr>
            <w:tcW w:w="649" w:type="dxa"/>
            <w:vAlign w:val="center"/>
          </w:tcPr>
          <w:p w14:paraId="36104E6E" w14:textId="5D5A6EA9" w:rsidR="00E81684" w:rsidRPr="00F97AA7" w:rsidRDefault="00DF1327" w:rsidP="00F97AA7">
            <w:pPr>
              <w:suppressAutoHyphens w:val="0"/>
              <w:jc w:val="center"/>
              <w:rPr>
                <w:noProof/>
                <w:color w:val="000000"/>
              </w:rPr>
            </w:pPr>
            <w:r w:rsidRPr="00F97AA7">
              <w:rPr>
                <w:rFonts w:ascii="Times New Roman" w:hAnsi="Times New Roman" w:cs="Times New Roman"/>
                <w:noProof/>
                <w:color w:val="000000"/>
              </w:rPr>
              <w:t>0.07</w:t>
            </w:r>
          </w:p>
        </w:tc>
        <w:tc>
          <w:tcPr>
            <w:tcW w:w="665" w:type="dxa"/>
            <w:vAlign w:val="center"/>
          </w:tcPr>
          <w:p w14:paraId="2A9DA608" w14:textId="4DFBF85D" w:rsidR="00E81684" w:rsidRPr="00F97AA7" w:rsidRDefault="00DF1327" w:rsidP="00F97AA7">
            <w:pPr>
              <w:suppressAutoHyphens w:val="0"/>
              <w:jc w:val="center"/>
              <w:rPr>
                <w:noProof/>
                <w:color w:val="000000"/>
              </w:rPr>
            </w:pPr>
            <w:r w:rsidRPr="00F97AA7">
              <w:rPr>
                <w:rFonts w:ascii="Times New Roman" w:hAnsi="Times New Roman" w:cs="Times New Roman"/>
                <w:noProof/>
                <w:color w:val="000000"/>
              </w:rPr>
              <w:t>0.13</w:t>
            </w:r>
          </w:p>
        </w:tc>
        <w:tc>
          <w:tcPr>
            <w:tcW w:w="632" w:type="dxa"/>
            <w:vAlign w:val="center"/>
          </w:tcPr>
          <w:p w14:paraId="7CF75319" w14:textId="69BD5B55" w:rsidR="00E81684" w:rsidRPr="00F97AA7" w:rsidRDefault="00DF1327" w:rsidP="00F97AA7">
            <w:pPr>
              <w:suppressAutoHyphens w:val="0"/>
              <w:jc w:val="center"/>
              <w:rPr>
                <w:noProof/>
                <w:color w:val="000000"/>
              </w:rPr>
            </w:pPr>
            <w:r w:rsidRPr="00F97AA7">
              <w:rPr>
                <w:rFonts w:ascii="Times New Roman" w:hAnsi="Times New Roman" w:cs="Times New Roman"/>
                <w:noProof/>
                <w:color w:val="000000"/>
              </w:rPr>
              <w:t>0.20</w:t>
            </w:r>
          </w:p>
        </w:tc>
        <w:tc>
          <w:tcPr>
            <w:tcW w:w="632" w:type="dxa"/>
            <w:vAlign w:val="center"/>
          </w:tcPr>
          <w:p w14:paraId="373BF040" w14:textId="2251A875" w:rsidR="00E81684" w:rsidRPr="00F97AA7" w:rsidRDefault="00DF1327" w:rsidP="00F97AA7">
            <w:pPr>
              <w:suppressAutoHyphens w:val="0"/>
              <w:jc w:val="center"/>
              <w:rPr>
                <w:noProof/>
                <w:color w:val="000000"/>
              </w:rPr>
            </w:pPr>
            <w:r w:rsidRPr="00F97AA7">
              <w:rPr>
                <w:rFonts w:ascii="Times New Roman" w:hAnsi="Times New Roman" w:cs="Times New Roman"/>
                <w:noProof/>
                <w:color w:val="000000"/>
              </w:rPr>
              <w:t>0.01</w:t>
            </w:r>
          </w:p>
        </w:tc>
        <w:tc>
          <w:tcPr>
            <w:tcW w:w="632" w:type="dxa"/>
            <w:vAlign w:val="center"/>
          </w:tcPr>
          <w:p w14:paraId="117C9EFF" w14:textId="6777CDAF" w:rsidR="00E81684" w:rsidRPr="00F97AA7" w:rsidRDefault="00DF1327" w:rsidP="00F97AA7">
            <w:pPr>
              <w:suppressAutoHyphens w:val="0"/>
              <w:jc w:val="center"/>
              <w:rPr>
                <w:noProof/>
                <w:color w:val="000000"/>
              </w:rPr>
            </w:pPr>
            <w:r w:rsidRPr="00F97AA7">
              <w:rPr>
                <w:rFonts w:ascii="Times New Roman" w:hAnsi="Times New Roman" w:cs="Times New Roman"/>
                <w:noProof/>
                <w:color w:val="000000"/>
              </w:rPr>
              <w:t>0.06</w:t>
            </w:r>
          </w:p>
        </w:tc>
        <w:tc>
          <w:tcPr>
            <w:tcW w:w="657" w:type="dxa"/>
            <w:vAlign w:val="center"/>
          </w:tcPr>
          <w:p w14:paraId="74EC44A5" w14:textId="70CD8409" w:rsidR="00E81684" w:rsidRPr="00F97AA7" w:rsidRDefault="00DF1327" w:rsidP="00F97AA7">
            <w:pPr>
              <w:suppressAutoHyphens w:val="0"/>
              <w:jc w:val="center"/>
              <w:rPr>
                <w:noProof/>
                <w:color w:val="000000"/>
              </w:rPr>
            </w:pPr>
            <w:r w:rsidRPr="00F97AA7">
              <w:rPr>
                <w:rFonts w:ascii="Times New Roman" w:hAnsi="Times New Roman" w:cs="Times New Roman"/>
                <w:noProof/>
                <w:color w:val="000000"/>
              </w:rPr>
              <w:t>0.09</w:t>
            </w:r>
          </w:p>
        </w:tc>
        <w:tc>
          <w:tcPr>
            <w:tcW w:w="665" w:type="dxa"/>
            <w:vAlign w:val="center"/>
          </w:tcPr>
          <w:p w14:paraId="27126DFF" w14:textId="564289C1" w:rsidR="00E81684" w:rsidRPr="00F97AA7" w:rsidRDefault="00DF1327" w:rsidP="00F97AA7">
            <w:pPr>
              <w:suppressAutoHyphens w:val="0"/>
              <w:jc w:val="center"/>
              <w:rPr>
                <w:noProof/>
                <w:color w:val="000000"/>
              </w:rPr>
            </w:pPr>
            <w:r w:rsidRPr="00F97AA7">
              <w:rPr>
                <w:rFonts w:ascii="Times New Roman" w:hAnsi="Times New Roman" w:cs="Times New Roman"/>
                <w:noProof/>
                <w:color w:val="000000"/>
              </w:rPr>
              <w:t>0.07</w:t>
            </w:r>
          </w:p>
        </w:tc>
        <w:tc>
          <w:tcPr>
            <w:tcW w:w="601" w:type="dxa"/>
            <w:vAlign w:val="center"/>
          </w:tcPr>
          <w:p w14:paraId="09129373" w14:textId="2EADAF71" w:rsidR="00E81684" w:rsidRPr="00F97AA7" w:rsidRDefault="00DF1327" w:rsidP="00F97AA7">
            <w:pPr>
              <w:suppressAutoHyphens w:val="0"/>
              <w:jc w:val="center"/>
              <w:rPr>
                <w:noProof/>
                <w:color w:val="000000"/>
              </w:rPr>
            </w:pPr>
            <w:r w:rsidRPr="00F97AA7">
              <w:rPr>
                <w:rFonts w:ascii="Times New Roman" w:hAnsi="Times New Roman" w:cs="Times New Roman"/>
                <w:noProof/>
                <w:color w:val="000000"/>
              </w:rPr>
              <w:t>0.02</w:t>
            </w:r>
          </w:p>
        </w:tc>
        <w:tc>
          <w:tcPr>
            <w:tcW w:w="657" w:type="dxa"/>
            <w:vAlign w:val="center"/>
          </w:tcPr>
          <w:p w14:paraId="28AF6504" w14:textId="47C7CCC9" w:rsidR="00E81684" w:rsidRPr="00F97AA7" w:rsidRDefault="00DF1327" w:rsidP="00F97AA7">
            <w:pPr>
              <w:suppressAutoHyphens w:val="0"/>
              <w:jc w:val="center"/>
              <w:rPr>
                <w:noProof/>
                <w:color w:val="000000"/>
              </w:rPr>
            </w:pPr>
            <w:r w:rsidRPr="00F97AA7">
              <w:rPr>
                <w:rFonts w:ascii="Times New Roman" w:hAnsi="Times New Roman" w:cs="Times New Roman"/>
                <w:noProof/>
                <w:color w:val="000000"/>
              </w:rPr>
              <w:t>0.02</w:t>
            </w:r>
          </w:p>
        </w:tc>
      </w:tr>
      <w:tr w:rsidR="009349F5" w:rsidRPr="001C633D" w14:paraId="3D3F7366" w14:textId="77777777" w:rsidTr="00221417">
        <w:trPr>
          <w:trHeight w:val="300"/>
          <w:jc w:val="center"/>
        </w:trPr>
        <w:tc>
          <w:tcPr>
            <w:tcW w:w="631" w:type="dxa"/>
            <w:shd w:val="clear" w:color="auto" w:fill="D9E2F3" w:themeFill="accent1" w:themeFillTint="33"/>
            <w:vAlign w:val="center"/>
          </w:tcPr>
          <w:p w14:paraId="35DBBF5F"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IE</w:t>
            </w:r>
          </w:p>
        </w:tc>
        <w:tc>
          <w:tcPr>
            <w:tcW w:w="641" w:type="dxa"/>
            <w:shd w:val="clear" w:color="auto" w:fill="D9E2F3" w:themeFill="accent1" w:themeFillTint="33"/>
            <w:vAlign w:val="center"/>
          </w:tcPr>
          <w:p w14:paraId="4A496AF7"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IT</w:t>
            </w:r>
          </w:p>
        </w:tc>
        <w:tc>
          <w:tcPr>
            <w:tcW w:w="657" w:type="dxa"/>
            <w:shd w:val="clear" w:color="auto" w:fill="D9E2F3" w:themeFill="accent1" w:themeFillTint="33"/>
            <w:vAlign w:val="center"/>
          </w:tcPr>
          <w:p w14:paraId="7D995C32"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LT</w:t>
            </w:r>
          </w:p>
        </w:tc>
        <w:tc>
          <w:tcPr>
            <w:tcW w:w="657" w:type="dxa"/>
            <w:shd w:val="clear" w:color="auto" w:fill="D9E2F3" w:themeFill="accent1" w:themeFillTint="33"/>
            <w:vAlign w:val="center"/>
          </w:tcPr>
          <w:p w14:paraId="7F72DB87"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LU</w:t>
            </w:r>
          </w:p>
        </w:tc>
        <w:tc>
          <w:tcPr>
            <w:tcW w:w="640" w:type="dxa"/>
            <w:shd w:val="clear" w:color="auto" w:fill="D9E2F3" w:themeFill="accent1" w:themeFillTint="33"/>
            <w:vAlign w:val="center"/>
          </w:tcPr>
          <w:p w14:paraId="745CC380"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LV</w:t>
            </w:r>
          </w:p>
        </w:tc>
        <w:tc>
          <w:tcPr>
            <w:tcW w:w="649" w:type="dxa"/>
            <w:shd w:val="clear" w:color="auto" w:fill="D9E2F3" w:themeFill="accent1" w:themeFillTint="33"/>
            <w:vAlign w:val="center"/>
          </w:tcPr>
          <w:p w14:paraId="25C4F046"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MT</w:t>
            </w:r>
          </w:p>
        </w:tc>
        <w:tc>
          <w:tcPr>
            <w:tcW w:w="665" w:type="dxa"/>
            <w:shd w:val="clear" w:color="auto" w:fill="D9E2F3" w:themeFill="accent1" w:themeFillTint="33"/>
            <w:vAlign w:val="center"/>
          </w:tcPr>
          <w:p w14:paraId="0F428121"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NL</w:t>
            </w:r>
          </w:p>
        </w:tc>
        <w:tc>
          <w:tcPr>
            <w:tcW w:w="632" w:type="dxa"/>
            <w:shd w:val="clear" w:color="auto" w:fill="D9E2F3" w:themeFill="accent1" w:themeFillTint="33"/>
            <w:vAlign w:val="center"/>
          </w:tcPr>
          <w:p w14:paraId="05607E59"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PL</w:t>
            </w:r>
          </w:p>
        </w:tc>
        <w:tc>
          <w:tcPr>
            <w:tcW w:w="632" w:type="dxa"/>
            <w:shd w:val="clear" w:color="auto" w:fill="D9E2F3" w:themeFill="accent1" w:themeFillTint="33"/>
            <w:vAlign w:val="center"/>
          </w:tcPr>
          <w:p w14:paraId="61DBC803"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PT</w:t>
            </w:r>
          </w:p>
        </w:tc>
        <w:tc>
          <w:tcPr>
            <w:tcW w:w="632" w:type="dxa"/>
            <w:shd w:val="clear" w:color="auto" w:fill="D9E2F3" w:themeFill="accent1" w:themeFillTint="33"/>
            <w:vAlign w:val="center"/>
          </w:tcPr>
          <w:p w14:paraId="47951752"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RO</w:t>
            </w:r>
          </w:p>
        </w:tc>
        <w:tc>
          <w:tcPr>
            <w:tcW w:w="657" w:type="dxa"/>
            <w:shd w:val="clear" w:color="auto" w:fill="D9E2F3" w:themeFill="accent1" w:themeFillTint="33"/>
            <w:vAlign w:val="center"/>
          </w:tcPr>
          <w:p w14:paraId="3DAC84C6"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SE</w:t>
            </w:r>
          </w:p>
        </w:tc>
        <w:tc>
          <w:tcPr>
            <w:tcW w:w="665" w:type="dxa"/>
            <w:shd w:val="clear" w:color="auto" w:fill="D9E2F3" w:themeFill="accent1" w:themeFillTint="33"/>
            <w:vAlign w:val="center"/>
            <w:hideMark/>
          </w:tcPr>
          <w:p w14:paraId="1E6E6D8F"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SI</w:t>
            </w:r>
          </w:p>
        </w:tc>
        <w:tc>
          <w:tcPr>
            <w:tcW w:w="601" w:type="dxa"/>
            <w:shd w:val="clear" w:color="auto" w:fill="D9E2F3" w:themeFill="accent1" w:themeFillTint="33"/>
            <w:vAlign w:val="center"/>
            <w:hideMark/>
          </w:tcPr>
          <w:p w14:paraId="0D6DC152" w14:textId="77777777" w:rsidR="00E81684" w:rsidRPr="009349F5" w:rsidRDefault="00E81684" w:rsidP="00E81684">
            <w:pPr>
              <w:pStyle w:val="Paragraph"/>
              <w:spacing w:after="0" w:line="240" w:lineRule="auto"/>
              <w:jc w:val="center"/>
              <w:rPr>
                <w:noProof/>
                <w:sz w:val="22"/>
                <w:szCs w:val="22"/>
                <w:lang w:val="en-IE"/>
              </w:rPr>
            </w:pPr>
            <w:r w:rsidRPr="009349F5">
              <w:rPr>
                <w:noProof/>
                <w:sz w:val="22"/>
                <w:szCs w:val="22"/>
                <w:lang w:val="en-IE"/>
              </w:rPr>
              <w:t>SK</w:t>
            </w:r>
          </w:p>
        </w:tc>
        <w:tc>
          <w:tcPr>
            <w:tcW w:w="657" w:type="dxa"/>
            <w:shd w:val="clear" w:color="auto" w:fill="D9E2F3" w:themeFill="accent1" w:themeFillTint="33"/>
            <w:vAlign w:val="center"/>
            <w:hideMark/>
          </w:tcPr>
          <w:p w14:paraId="469E2D5F" w14:textId="77777777" w:rsidR="00E81684" w:rsidRPr="009349F5" w:rsidRDefault="00E81684" w:rsidP="00E81684">
            <w:pPr>
              <w:pStyle w:val="Paragraph"/>
              <w:spacing w:after="0" w:line="240" w:lineRule="auto"/>
              <w:jc w:val="center"/>
              <w:rPr>
                <w:b/>
                <w:noProof/>
                <w:sz w:val="22"/>
                <w:szCs w:val="22"/>
                <w:lang w:val="en-IE"/>
              </w:rPr>
            </w:pPr>
            <w:r w:rsidRPr="009349F5">
              <w:rPr>
                <w:b/>
                <w:noProof/>
                <w:sz w:val="22"/>
                <w:szCs w:val="22"/>
                <w:lang w:val="en-IE"/>
              </w:rPr>
              <w:t>EU</w:t>
            </w:r>
          </w:p>
        </w:tc>
      </w:tr>
      <w:tr w:rsidR="00197691" w:rsidRPr="00047933" w14:paraId="23024D86" w14:textId="77777777" w:rsidTr="00221417">
        <w:trPr>
          <w:trHeight w:val="315"/>
          <w:jc w:val="center"/>
        </w:trPr>
        <w:tc>
          <w:tcPr>
            <w:tcW w:w="631" w:type="dxa"/>
            <w:vAlign w:val="center"/>
          </w:tcPr>
          <w:p w14:paraId="463ADA62" w14:textId="040A5D00" w:rsidR="00E81684" w:rsidRPr="009349F5" w:rsidRDefault="00DF1327" w:rsidP="00F97AA7">
            <w:pPr>
              <w:suppressAutoHyphens w:val="0"/>
              <w:jc w:val="center"/>
              <w:rPr>
                <w:noProof/>
                <w:color w:val="000000"/>
              </w:rPr>
            </w:pPr>
            <w:r w:rsidRPr="00F97AA7">
              <w:rPr>
                <w:rFonts w:ascii="Times New Roman" w:hAnsi="Times New Roman" w:cs="Times New Roman"/>
                <w:noProof/>
                <w:color w:val="000000"/>
              </w:rPr>
              <w:t>0.05</w:t>
            </w:r>
          </w:p>
        </w:tc>
        <w:tc>
          <w:tcPr>
            <w:tcW w:w="641" w:type="dxa"/>
            <w:vAlign w:val="center"/>
          </w:tcPr>
          <w:p w14:paraId="5AD8C2A2" w14:textId="138F6C17" w:rsidR="00E81684" w:rsidRPr="009349F5" w:rsidRDefault="00DF1327" w:rsidP="00F97AA7">
            <w:pPr>
              <w:suppressAutoHyphens w:val="0"/>
              <w:jc w:val="center"/>
              <w:rPr>
                <w:noProof/>
                <w:color w:val="000000"/>
              </w:rPr>
            </w:pPr>
            <w:r w:rsidRPr="00F97AA7">
              <w:rPr>
                <w:rFonts w:ascii="Times New Roman" w:hAnsi="Times New Roman" w:cs="Times New Roman"/>
                <w:noProof/>
                <w:color w:val="000000"/>
              </w:rPr>
              <w:t>0.03</w:t>
            </w:r>
          </w:p>
        </w:tc>
        <w:tc>
          <w:tcPr>
            <w:tcW w:w="657" w:type="dxa"/>
            <w:vAlign w:val="center"/>
          </w:tcPr>
          <w:p w14:paraId="48AFA34F" w14:textId="78266036" w:rsidR="00E81684" w:rsidRPr="009349F5" w:rsidRDefault="00DF1327" w:rsidP="00F97AA7">
            <w:pPr>
              <w:suppressAutoHyphens w:val="0"/>
              <w:jc w:val="center"/>
              <w:rPr>
                <w:noProof/>
                <w:color w:val="000000"/>
              </w:rPr>
            </w:pPr>
            <w:r w:rsidRPr="00F97AA7">
              <w:rPr>
                <w:rFonts w:ascii="Times New Roman" w:hAnsi="Times New Roman" w:cs="Times New Roman"/>
                <w:noProof/>
                <w:color w:val="000000"/>
              </w:rPr>
              <w:t>0.03</w:t>
            </w:r>
          </w:p>
        </w:tc>
        <w:tc>
          <w:tcPr>
            <w:tcW w:w="657" w:type="dxa"/>
            <w:vAlign w:val="center"/>
          </w:tcPr>
          <w:p w14:paraId="1518DB1A" w14:textId="6F4946E5" w:rsidR="00E81684" w:rsidRPr="009349F5" w:rsidRDefault="00DF1327" w:rsidP="00F97AA7">
            <w:pPr>
              <w:suppressAutoHyphens w:val="0"/>
              <w:jc w:val="center"/>
              <w:rPr>
                <w:noProof/>
                <w:color w:val="000000"/>
              </w:rPr>
            </w:pPr>
            <w:r w:rsidRPr="00F97AA7">
              <w:rPr>
                <w:rFonts w:ascii="Times New Roman" w:hAnsi="Times New Roman" w:cs="Times New Roman"/>
                <w:noProof/>
                <w:color w:val="000000"/>
              </w:rPr>
              <w:t>0.01</w:t>
            </w:r>
          </w:p>
        </w:tc>
        <w:tc>
          <w:tcPr>
            <w:tcW w:w="640" w:type="dxa"/>
            <w:vAlign w:val="center"/>
          </w:tcPr>
          <w:p w14:paraId="759A4045" w14:textId="2BB8E8BA" w:rsidR="00E81684" w:rsidRPr="009349F5" w:rsidRDefault="00197691" w:rsidP="00E81684">
            <w:pPr>
              <w:pStyle w:val="Paragraph"/>
              <w:spacing w:after="0" w:line="240" w:lineRule="auto"/>
              <w:jc w:val="center"/>
              <w:rPr>
                <w:rFonts w:eastAsia="Calibri"/>
                <w:noProof/>
                <w:color w:val="000000"/>
                <w:sz w:val="22"/>
                <w:szCs w:val="22"/>
              </w:rPr>
            </w:pPr>
            <w:r w:rsidRPr="009349F5">
              <w:rPr>
                <w:rFonts w:eastAsia="Calibri"/>
                <w:noProof/>
                <w:color w:val="000000"/>
                <w:sz w:val="22"/>
                <w:szCs w:val="22"/>
              </w:rPr>
              <w:t>0.00</w:t>
            </w:r>
          </w:p>
        </w:tc>
        <w:tc>
          <w:tcPr>
            <w:tcW w:w="649" w:type="dxa"/>
            <w:vAlign w:val="center"/>
          </w:tcPr>
          <w:p w14:paraId="39A09060" w14:textId="358BF27C" w:rsidR="00E81684" w:rsidRPr="009349F5" w:rsidRDefault="00267D43" w:rsidP="00E81684">
            <w:pPr>
              <w:pStyle w:val="Paragraph"/>
              <w:spacing w:after="0" w:line="240" w:lineRule="auto"/>
              <w:jc w:val="center"/>
              <w:rPr>
                <w:rFonts w:eastAsia="Calibri"/>
                <w:noProof/>
                <w:color w:val="000000"/>
                <w:sz w:val="22"/>
                <w:szCs w:val="22"/>
              </w:rPr>
            </w:pPr>
            <w:r>
              <w:rPr>
                <w:rFonts w:eastAsia="Calibri"/>
                <w:noProof/>
                <w:color w:val="000000"/>
                <w:sz w:val="22"/>
                <w:szCs w:val="22"/>
              </w:rPr>
              <w:t>0.02</w:t>
            </w:r>
          </w:p>
        </w:tc>
        <w:tc>
          <w:tcPr>
            <w:tcW w:w="665" w:type="dxa"/>
            <w:vAlign w:val="center"/>
          </w:tcPr>
          <w:p w14:paraId="5FCF8FB6" w14:textId="48B8EF0C" w:rsidR="00E81684" w:rsidRPr="009349F5" w:rsidRDefault="00197691" w:rsidP="00F97AA7">
            <w:pPr>
              <w:suppressAutoHyphens w:val="0"/>
              <w:jc w:val="center"/>
              <w:rPr>
                <w:noProof/>
                <w:color w:val="000000"/>
              </w:rPr>
            </w:pPr>
            <w:r w:rsidRPr="00F97AA7">
              <w:rPr>
                <w:rFonts w:ascii="Times New Roman" w:hAnsi="Times New Roman" w:cs="Times New Roman"/>
                <w:noProof/>
                <w:color w:val="000000"/>
              </w:rPr>
              <w:t>0.11</w:t>
            </w:r>
          </w:p>
        </w:tc>
        <w:tc>
          <w:tcPr>
            <w:tcW w:w="632" w:type="dxa"/>
            <w:vAlign w:val="center"/>
          </w:tcPr>
          <w:p w14:paraId="38C914FB" w14:textId="796D22D5" w:rsidR="00E81684" w:rsidRPr="009349F5" w:rsidRDefault="00197691" w:rsidP="00F97AA7">
            <w:pPr>
              <w:suppressAutoHyphens w:val="0"/>
              <w:jc w:val="center"/>
              <w:rPr>
                <w:noProof/>
                <w:color w:val="000000"/>
              </w:rPr>
            </w:pPr>
            <w:r w:rsidRPr="00F97AA7">
              <w:rPr>
                <w:rFonts w:ascii="Times New Roman" w:hAnsi="Times New Roman" w:cs="Times New Roman"/>
                <w:noProof/>
                <w:color w:val="000000"/>
              </w:rPr>
              <w:t>0.01</w:t>
            </w:r>
          </w:p>
        </w:tc>
        <w:tc>
          <w:tcPr>
            <w:tcW w:w="632" w:type="dxa"/>
            <w:vAlign w:val="center"/>
          </w:tcPr>
          <w:p w14:paraId="1536AF30" w14:textId="112524F4" w:rsidR="00E81684" w:rsidRPr="009349F5" w:rsidRDefault="00197691" w:rsidP="00F97AA7">
            <w:pPr>
              <w:suppressAutoHyphens w:val="0"/>
              <w:jc w:val="center"/>
              <w:rPr>
                <w:noProof/>
                <w:color w:val="000000"/>
              </w:rPr>
            </w:pPr>
            <w:r w:rsidRPr="00F97AA7">
              <w:rPr>
                <w:rFonts w:ascii="Times New Roman" w:hAnsi="Times New Roman" w:cs="Times New Roman"/>
                <w:noProof/>
                <w:color w:val="000000"/>
              </w:rPr>
              <w:t>0.02</w:t>
            </w:r>
          </w:p>
        </w:tc>
        <w:tc>
          <w:tcPr>
            <w:tcW w:w="632" w:type="dxa"/>
            <w:vAlign w:val="center"/>
          </w:tcPr>
          <w:p w14:paraId="6DEB7B48" w14:textId="115661B5" w:rsidR="00E81684" w:rsidRPr="009349F5" w:rsidRDefault="00197691" w:rsidP="00F97AA7">
            <w:pPr>
              <w:suppressAutoHyphens w:val="0"/>
              <w:jc w:val="center"/>
              <w:rPr>
                <w:noProof/>
                <w:color w:val="000000"/>
              </w:rPr>
            </w:pPr>
            <w:r w:rsidRPr="00F97AA7">
              <w:rPr>
                <w:rFonts w:ascii="Times New Roman" w:hAnsi="Times New Roman" w:cs="Times New Roman"/>
                <w:noProof/>
                <w:color w:val="000000"/>
              </w:rPr>
              <w:t>0.00</w:t>
            </w:r>
          </w:p>
        </w:tc>
        <w:tc>
          <w:tcPr>
            <w:tcW w:w="657" w:type="dxa"/>
            <w:vAlign w:val="center"/>
          </w:tcPr>
          <w:p w14:paraId="7DE577DB" w14:textId="5CCC1C7E" w:rsidR="00E81684" w:rsidRPr="009349F5" w:rsidRDefault="009349F5" w:rsidP="00F97AA7">
            <w:pPr>
              <w:suppressAutoHyphens w:val="0"/>
              <w:jc w:val="center"/>
              <w:rPr>
                <w:noProof/>
                <w:color w:val="000000"/>
              </w:rPr>
            </w:pPr>
            <w:r w:rsidRPr="00F97AA7">
              <w:rPr>
                <w:rFonts w:ascii="Times New Roman" w:hAnsi="Times New Roman" w:cs="Times New Roman"/>
                <w:noProof/>
                <w:color w:val="000000"/>
              </w:rPr>
              <w:t>0.11</w:t>
            </w:r>
          </w:p>
        </w:tc>
        <w:tc>
          <w:tcPr>
            <w:tcW w:w="665" w:type="dxa"/>
            <w:vAlign w:val="center"/>
          </w:tcPr>
          <w:p w14:paraId="673412C1" w14:textId="1E0D5259" w:rsidR="00E81684" w:rsidRPr="009349F5" w:rsidRDefault="009349F5" w:rsidP="00F97AA7">
            <w:pPr>
              <w:suppressAutoHyphens w:val="0"/>
              <w:jc w:val="center"/>
              <w:rPr>
                <w:noProof/>
                <w:color w:val="000000"/>
              </w:rPr>
            </w:pPr>
            <w:r w:rsidRPr="00F97AA7">
              <w:rPr>
                <w:rFonts w:ascii="Times New Roman" w:hAnsi="Times New Roman" w:cs="Times New Roman"/>
                <w:noProof/>
                <w:color w:val="000000"/>
              </w:rPr>
              <w:t>0.01</w:t>
            </w:r>
          </w:p>
        </w:tc>
        <w:tc>
          <w:tcPr>
            <w:tcW w:w="601" w:type="dxa"/>
            <w:vAlign w:val="center"/>
          </w:tcPr>
          <w:p w14:paraId="53C05C3D" w14:textId="64F8FA74" w:rsidR="00E81684" w:rsidRPr="009349F5" w:rsidRDefault="009349F5" w:rsidP="00E81684">
            <w:pPr>
              <w:suppressAutoHyphens w:val="0"/>
              <w:rPr>
                <w:rFonts w:ascii="Times New Roman" w:hAnsi="Times New Roman" w:cs="Times New Roman"/>
                <w:noProof/>
                <w:color w:val="000000"/>
              </w:rPr>
            </w:pPr>
            <w:r w:rsidRPr="00F97AA7">
              <w:rPr>
                <w:rFonts w:ascii="Times New Roman" w:hAnsi="Times New Roman" w:cs="Times New Roman"/>
                <w:noProof/>
                <w:color w:val="000000"/>
              </w:rPr>
              <w:t>0.02</w:t>
            </w:r>
          </w:p>
        </w:tc>
        <w:tc>
          <w:tcPr>
            <w:tcW w:w="657" w:type="dxa"/>
            <w:vAlign w:val="center"/>
          </w:tcPr>
          <w:p w14:paraId="159F801B" w14:textId="45D21A83" w:rsidR="00E81684" w:rsidRPr="009349F5" w:rsidRDefault="009349F5" w:rsidP="00F97AA7">
            <w:pPr>
              <w:suppressAutoHyphens w:val="0"/>
              <w:jc w:val="center"/>
              <w:rPr>
                <w:b/>
                <w:bCs/>
                <w:noProof/>
                <w:color w:val="000000"/>
              </w:rPr>
            </w:pPr>
            <w:r w:rsidRPr="00F97AA7">
              <w:rPr>
                <w:rFonts w:ascii="Times New Roman" w:hAnsi="Times New Roman" w:cs="Times New Roman"/>
                <w:b/>
                <w:bCs/>
                <w:noProof/>
                <w:color w:val="000000"/>
              </w:rPr>
              <w:t>0.06</w:t>
            </w:r>
          </w:p>
        </w:tc>
      </w:tr>
    </w:tbl>
    <w:p w14:paraId="3E69FE94" w14:textId="15F25C7B" w:rsidR="00C1173C" w:rsidRPr="00486446" w:rsidRDefault="00C1173C">
      <w:pPr>
        <w:suppressAutoHyphens w:val="0"/>
        <w:rPr>
          <w:rFonts w:ascii="Times New Roman" w:hAnsi="Times New Roman" w:cs="Times New Roman"/>
          <w:noProof/>
          <w:lang w:val="en-IE"/>
        </w:rPr>
      </w:pPr>
    </w:p>
    <w:p w14:paraId="34F01BEC" w14:textId="610E40DD" w:rsidR="00D9227B" w:rsidRDefault="00D9227B">
      <w:pPr>
        <w:suppressAutoHyphens w:val="0"/>
        <w:rPr>
          <w:rFonts w:ascii="Times New Roman" w:hAnsi="Times New Roman" w:cs="Times New Roman"/>
          <w:noProof/>
          <w:lang w:val="en-IE"/>
        </w:rPr>
      </w:pPr>
      <w:r>
        <w:rPr>
          <w:rFonts w:ascii="Times New Roman" w:hAnsi="Times New Roman" w:cs="Times New Roman"/>
          <w:noProof/>
          <w:lang w:val="en-IE"/>
        </w:rPr>
        <w:br w:type="page"/>
      </w:r>
    </w:p>
    <w:p w14:paraId="4FB84F07" w14:textId="7F226FE9" w:rsidR="00730B7A" w:rsidRPr="00E9362C" w:rsidRDefault="00730B7A" w:rsidP="0065549F">
      <w:pPr>
        <w:pStyle w:val="Heading3"/>
        <w:spacing w:before="0" w:after="160" w:line="250" w:lineRule="auto"/>
        <w:rPr>
          <w:rFonts w:ascii="Times New Roman" w:hAnsi="Times New Roman"/>
          <w:b/>
          <w:bCs/>
          <w:noProof/>
          <w:color w:val="auto"/>
        </w:rPr>
      </w:pPr>
      <w:bookmarkStart w:id="116" w:name="_Toc220103457"/>
      <w:r w:rsidRPr="00E9362C">
        <w:rPr>
          <w:rFonts w:ascii="Times New Roman" w:hAnsi="Times New Roman"/>
          <w:b/>
          <w:bCs/>
          <w:noProof/>
          <w:color w:val="auto"/>
        </w:rPr>
        <w:t>KPI 2</w:t>
      </w:r>
      <w:r w:rsidR="00093A89">
        <w:rPr>
          <w:rFonts w:ascii="Times New Roman" w:hAnsi="Times New Roman"/>
          <w:b/>
          <w:bCs/>
          <w:noProof/>
          <w:color w:val="auto"/>
        </w:rPr>
        <w:t>1</w:t>
      </w:r>
      <w:r w:rsidRPr="00E9362C">
        <w:rPr>
          <w:rFonts w:ascii="Times New Roman" w:hAnsi="Times New Roman"/>
          <w:b/>
          <w:bCs/>
          <w:noProof/>
          <w:color w:val="auto"/>
        </w:rPr>
        <w:t xml:space="preserve">: EU investments supporting </w:t>
      </w:r>
      <w:r w:rsidR="00813E0A">
        <w:rPr>
          <w:rFonts w:ascii="Times New Roman" w:hAnsi="Times New Roman"/>
          <w:b/>
          <w:bCs/>
          <w:noProof/>
          <w:color w:val="auto"/>
        </w:rPr>
        <w:t xml:space="preserve">the </w:t>
      </w:r>
      <w:r w:rsidRPr="00E9362C">
        <w:rPr>
          <w:rFonts w:ascii="Times New Roman" w:hAnsi="Times New Roman"/>
          <w:b/>
          <w:bCs/>
          <w:noProof/>
          <w:color w:val="auto"/>
        </w:rPr>
        <w:t>industrial transition</w:t>
      </w:r>
      <w:bookmarkEnd w:id="116"/>
    </w:p>
    <w:p w14:paraId="6EBA5052" w14:textId="672C44E3" w:rsidR="00730B7A" w:rsidRPr="00486446" w:rsidRDefault="0087678A" w:rsidP="00730B7A">
      <w:pPr>
        <w:pStyle w:val="Paragraph"/>
        <w:rPr>
          <w:noProof/>
          <w:lang w:val="en-IE"/>
        </w:rPr>
      </w:pPr>
      <w:r w:rsidRPr="00486446">
        <w:rPr>
          <w:noProof/>
          <w:lang w:val="en-IE"/>
        </w:rPr>
        <w:t>KPI</w:t>
      </w:r>
      <w:r w:rsidR="00730B7A" w:rsidRPr="00486446">
        <w:rPr>
          <w:noProof/>
          <w:lang w:val="en-IE"/>
        </w:rPr>
        <w:t xml:space="preserve"> 2</w:t>
      </w:r>
      <w:r w:rsidR="00093A89">
        <w:rPr>
          <w:noProof/>
          <w:lang w:val="en-IE"/>
        </w:rPr>
        <w:t>1</w:t>
      </w:r>
      <w:r w:rsidR="00730B7A" w:rsidRPr="00486446">
        <w:rPr>
          <w:noProof/>
          <w:lang w:val="en-IE"/>
        </w:rPr>
        <w:t xml:space="preserve"> shows the cumulative volume of InvestEU investments supporting </w:t>
      </w:r>
      <w:r w:rsidR="00EE12E8" w:rsidRPr="00486446">
        <w:rPr>
          <w:noProof/>
          <w:lang w:val="en-IE"/>
        </w:rPr>
        <w:t>industry’s green and digital transition</w:t>
      </w:r>
      <w:r w:rsidR="008C0668">
        <w:rPr>
          <w:noProof/>
          <w:lang w:val="en-IE"/>
        </w:rPr>
        <w:t xml:space="preserve"> </w:t>
      </w:r>
      <w:r w:rsidR="00575165">
        <w:rPr>
          <w:noProof/>
          <w:lang w:val="en-IE"/>
        </w:rPr>
        <w:t>s</w:t>
      </w:r>
      <w:r w:rsidR="00575165" w:rsidRPr="00944E0B">
        <w:rPr>
          <w:noProof/>
          <w:lang w:val="en-IE"/>
        </w:rPr>
        <w:t>ince the programme became operational in 2021</w:t>
      </w:r>
      <w:r w:rsidR="00730B7A" w:rsidRPr="00486446">
        <w:rPr>
          <w:noProof/>
          <w:lang w:val="en-IE"/>
        </w:rPr>
        <w:t>.</w:t>
      </w:r>
    </w:p>
    <w:p w14:paraId="03ED1811" w14:textId="3127A10A" w:rsidR="00960BE4" w:rsidRDefault="0087678A" w:rsidP="00730B7A">
      <w:pPr>
        <w:pStyle w:val="Paragraph"/>
        <w:rPr>
          <w:noProof/>
          <w:lang w:val="en-IE"/>
        </w:rPr>
      </w:pPr>
      <w:r w:rsidRPr="00486446">
        <w:rPr>
          <w:noProof/>
          <w:lang w:val="en-IE"/>
        </w:rPr>
        <w:t>This KPI tracks progress against the objective laid down in the Clean Industrial Deal</w:t>
      </w:r>
      <w:r w:rsidR="00973165" w:rsidRPr="00486446">
        <w:rPr>
          <w:noProof/>
          <w:lang w:val="en-IE"/>
        </w:rPr>
        <w:t xml:space="preserve"> of increasing</w:t>
      </w:r>
      <w:r w:rsidR="00F15D3C" w:rsidRPr="00486446">
        <w:rPr>
          <w:noProof/>
          <w:lang w:val="en-IE"/>
        </w:rPr>
        <w:t xml:space="preserve"> the </w:t>
      </w:r>
      <w:r w:rsidR="007E6D97">
        <w:rPr>
          <w:noProof/>
          <w:lang w:val="en-IE"/>
        </w:rPr>
        <w:t xml:space="preserve">cumulative </w:t>
      </w:r>
      <w:r w:rsidR="00F15D3C" w:rsidRPr="00486446">
        <w:rPr>
          <w:noProof/>
          <w:lang w:val="en-IE"/>
        </w:rPr>
        <w:t>volume of investment supporting industrial</w:t>
      </w:r>
      <w:r w:rsidR="00A34902">
        <w:rPr>
          <w:noProof/>
          <w:lang w:val="en-IE"/>
        </w:rPr>
        <w:t xml:space="preserve"> the</w:t>
      </w:r>
      <w:r w:rsidR="00F15D3C" w:rsidRPr="00486446">
        <w:rPr>
          <w:noProof/>
          <w:lang w:val="en-IE"/>
        </w:rPr>
        <w:t xml:space="preserve"> transition</w:t>
      </w:r>
      <w:r w:rsidR="00944E0B">
        <w:rPr>
          <w:noProof/>
          <w:lang w:val="en-IE"/>
        </w:rPr>
        <w:t xml:space="preserve"> </w:t>
      </w:r>
      <w:r w:rsidR="007E6D97">
        <w:rPr>
          <w:noProof/>
          <w:lang w:val="en-IE"/>
        </w:rPr>
        <w:t xml:space="preserve">from </w:t>
      </w:r>
      <w:r w:rsidR="007E6D97" w:rsidRPr="00AB740D">
        <w:rPr>
          <w:noProof/>
          <w:lang w:val="en-US"/>
        </w:rPr>
        <w:t>EUR 52.7 billion</w:t>
      </w:r>
      <w:r w:rsidR="00FB0B6C">
        <w:rPr>
          <w:noProof/>
          <w:lang w:val="en-IE"/>
        </w:rPr>
        <w:t xml:space="preserve"> (</w:t>
      </w:r>
      <w:r w:rsidR="00CE6865">
        <w:rPr>
          <w:noProof/>
          <w:lang w:val="en-IE"/>
        </w:rPr>
        <w:t xml:space="preserve">value </w:t>
      </w:r>
      <w:r w:rsidR="00A70999">
        <w:rPr>
          <w:noProof/>
          <w:lang w:val="en-IE"/>
        </w:rPr>
        <w:t>as of June 2024</w:t>
      </w:r>
      <w:r w:rsidR="00A70999" w:rsidRPr="73A74AC3">
        <w:rPr>
          <w:noProof/>
          <w:lang w:val="en-IE"/>
        </w:rPr>
        <w:t>)</w:t>
      </w:r>
      <w:r w:rsidR="00D52012">
        <w:rPr>
          <w:noProof/>
          <w:lang w:val="en-IE"/>
        </w:rPr>
        <w:t xml:space="preserve">. </w:t>
      </w:r>
    </w:p>
    <w:p w14:paraId="4C21321F" w14:textId="21D55EC5" w:rsidR="00A70C54" w:rsidRDefault="00A70C54" w:rsidP="00A70C54">
      <w:pPr>
        <w:pStyle w:val="Paragraph"/>
        <w:spacing w:line="250" w:lineRule="auto"/>
        <w:rPr>
          <w:noProof/>
          <w:lang w:val="en-IE"/>
        </w:rPr>
      </w:pPr>
      <w:r>
        <w:rPr>
          <w:noProof/>
          <w:lang w:val="en-IE"/>
        </w:rPr>
        <w:t>A</w:t>
      </w:r>
      <w:r w:rsidRPr="34317150">
        <w:rPr>
          <w:noProof/>
          <w:lang w:val="en-IE"/>
        </w:rPr>
        <w:t xml:space="preserve">s of </w:t>
      </w:r>
      <w:r>
        <w:rPr>
          <w:noProof/>
          <w:lang w:val="en-IE"/>
        </w:rPr>
        <w:t>June</w:t>
      </w:r>
      <w:r w:rsidRPr="34317150">
        <w:rPr>
          <w:noProof/>
          <w:lang w:val="en-IE"/>
        </w:rPr>
        <w:t xml:space="preserve"> 202</w:t>
      </w:r>
      <w:r>
        <w:rPr>
          <w:noProof/>
          <w:lang w:val="en-IE"/>
        </w:rPr>
        <w:t xml:space="preserve">5 EU investments supporting the industrial transition amounted </w:t>
      </w:r>
      <w:r w:rsidRPr="73A74AC3">
        <w:rPr>
          <w:noProof/>
          <w:lang w:val="en-IE"/>
        </w:rPr>
        <w:t>to</w:t>
      </w:r>
      <w:r w:rsidRPr="34317150">
        <w:rPr>
          <w:noProof/>
          <w:lang w:val="en-IE"/>
        </w:rPr>
        <w:t xml:space="preserve"> EUR </w:t>
      </w:r>
      <w:r w:rsidRPr="004D6BEE">
        <w:rPr>
          <w:noProof/>
        </w:rPr>
        <w:t xml:space="preserve">115.5 </w:t>
      </w:r>
      <w:r w:rsidRPr="34317150">
        <w:rPr>
          <w:noProof/>
          <w:lang w:val="en-IE"/>
        </w:rPr>
        <w:t>billion.</w:t>
      </w:r>
      <w:r>
        <w:rPr>
          <w:noProof/>
          <w:lang w:val="en-IE"/>
        </w:rPr>
        <w:t xml:space="preserve"> </w:t>
      </w:r>
    </w:p>
    <w:p w14:paraId="308C9CE4" w14:textId="77777777" w:rsidR="00A70C54" w:rsidRPr="00486446" w:rsidRDefault="00A70C54" w:rsidP="00A70C54">
      <w:pPr>
        <w:pStyle w:val="Paragraph"/>
        <w:spacing w:line="250" w:lineRule="auto"/>
        <w:rPr>
          <w:noProof/>
          <w:lang w:val="en-IE"/>
        </w:rPr>
      </w:pPr>
    </w:p>
    <w:p w14:paraId="1D6B9133" w14:textId="285BB36D" w:rsidR="00A70C54" w:rsidRDefault="00A70C54" w:rsidP="00A70C54">
      <w:pPr>
        <w:pStyle w:val="Paragraph"/>
        <w:spacing w:line="250" w:lineRule="auto"/>
        <w:rPr>
          <w:noProof/>
        </w:rPr>
      </w:pPr>
      <w:r w:rsidRPr="00486446">
        <w:rPr>
          <w:b/>
          <w:bCs/>
          <w:noProof/>
          <w:lang w:val="en-IE"/>
        </w:rPr>
        <w:t>Figure 2</w:t>
      </w:r>
      <w:r w:rsidR="00093A89">
        <w:rPr>
          <w:b/>
          <w:bCs/>
          <w:noProof/>
          <w:lang w:val="en-IE"/>
        </w:rPr>
        <w:t>1</w:t>
      </w:r>
      <w:r w:rsidRPr="00486446">
        <w:rPr>
          <w:noProof/>
          <w:lang w:val="en-IE"/>
        </w:rPr>
        <w:t xml:space="preserve">: </w:t>
      </w:r>
      <w:r w:rsidRPr="00486446">
        <w:rPr>
          <w:noProof/>
        </w:rPr>
        <w:t xml:space="preserve">EU investments supporting </w:t>
      </w:r>
      <w:r>
        <w:rPr>
          <w:noProof/>
        </w:rPr>
        <w:t xml:space="preserve">the </w:t>
      </w:r>
      <w:r w:rsidRPr="00486446">
        <w:rPr>
          <w:noProof/>
        </w:rPr>
        <w:t>industrial green and digital transition</w:t>
      </w:r>
      <w:r w:rsidR="00656D9C">
        <w:rPr>
          <w:noProof/>
        </w:rPr>
        <w:t>.</w:t>
      </w:r>
    </w:p>
    <w:p w14:paraId="42AE181C" w14:textId="77777777" w:rsidR="00A70C54" w:rsidRPr="00486446" w:rsidRDefault="00A70C54" w:rsidP="00A70C54">
      <w:pPr>
        <w:pStyle w:val="Paragraph"/>
        <w:jc w:val="center"/>
        <w:rPr>
          <w:noProof/>
          <w:lang w:val="en-IE"/>
        </w:rPr>
      </w:pPr>
      <w:r>
        <w:rPr>
          <w:noProof/>
          <w:lang w:eastAsia="en-GB"/>
        </w:rPr>
        <w:drawing>
          <wp:inline distT="0" distB="0" distL="0" distR="0" wp14:anchorId="430AB1C7" wp14:editId="0C530054">
            <wp:extent cx="4295775" cy="2781300"/>
            <wp:effectExtent l="0" t="0" r="9525" b="0"/>
            <wp:docPr id="4604397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00812" name=""/>
                    <pic:cNvPicPr/>
                  </pic:nvPicPr>
                  <pic:blipFill>
                    <a:blip r:embed="rId88">
                      <a:extLst>
                        <a:ext uri="{96DAC541-7B7A-43D3-8B79-37D633B846F1}">
                          <asvg:svgBlip xmlns:asvg="http://schemas.microsoft.com/office/drawing/2016/SVG/main" r:embed="rId89"/>
                        </a:ext>
                      </a:extLst>
                    </a:blip>
                    <a:stretch>
                      <a:fillRect/>
                    </a:stretch>
                  </pic:blipFill>
                  <pic:spPr>
                    <a:xfrm>
                      <a:off x="0" y="0"/>
                      <a:ext cx="4295775" cy="2781300"/>
                    </a:xfrm>
                    <a:prstGeom prst="rect">
                      <a:avLst/>
                    </a:prstGeom>
                  </pic:spPr>
                </pic:pic>
              </a:graphicData>
            </a:graphic>
          </wp:inline>
        </w:drawing>
      </w:r>
    </w:p>
    <w:p w14:paraId="2BDFC80F" w14:textId="0CE25FA2" w:rsidR="00A70C54" w:rsidRPr="001D74EB" w:rsidRDefault="00A70C54" w:rsidP="00A70C54">
      <w:pPr>
        <w:pStyle w:val="Paragraph"/>
        <w:rPr>
          <w:noProof/>
          <w:sz w:val="20"/>
          <w:szCs w:val="20"/>
          <w:lang w:val="en-IE"/>
        </w:rPr>
      </w:pPr>
      <w:r w:rsidRPr="002040F7">
        <w:rPr>
          <w:noProof/>
          <w:sz w:val="20"/>
          <w:szCs w:val="20"/>
          <w:lang w:val="en-IE"/>
        </w:rPr>
        <w:t>Source:</w:t>
      </w:r>
      <w:r w:rsidRPr="001D74EB">
        <w:rPr>
          <w:rFonts w:eastAsia="Calibri"/>
          <w:noProof/>
          <w:sz w:val="20"/>
          <w:szCs w:val="20"/>
          <w:lang w:val="en-IE"/>
        </w:rPr>
        <w:t xml:space="preserve"> </w:t>
      </w:r>
      <w:r w:rsidRPr="001D74EB">
        <w:rPr>
          <w:noProof/>
          <w:sz w:val="20"/>
          <w:szCs w:val="20"/>
          <w:lang w:val="en-IE"/>
        </w:rPr>
        <w:t>European Commission services, InvestEU indicators</w:t>
      </w:r>
      <w:r>
        <w:rPr>
          <w:rStyle w:val="FootnoteReference"/>
          <w:noProof/>
          <w:sz w:val="20"/>
          <w:szCs w:val="20"/>
          <w:lang w:val="fr-BE"/>
        </w:rPr>
        <w:footnoteReference w:id="23"/>
      </w:r>
      <w:r w:rsidRPr="001D74EB">
        <w:rPr>
          <w:noProof/>
          <w:lang w:val="en-IE"/>
        </w:rPr>
        <w:t xml:space="preserve"> </w:t>
      </w:r>
    </w:p>
    <w:p w14:paraId="6C148273" w14:textId="351EE1DA" w:rsidR="00D9227B" w:rsidRPr="00967C71" w:rsidRDefault="00D9227B">
      <w:pPr>
        <w:suppressAutoHyphens w:val="0"/>
        <w:rPr>
          <w:rFonts w:ascii="Times New Roman" w:eastAsia="Times New Roman" w:hAnsi="Times New Roman" w:cs="Times New Roman"/>
          <w:noProof/>
          <w:sz w:val="24"/>
          <w:szCs w:val="24"/>
          <w:lang w:val="en-IE"/>
        </w:rPr>
      </w:pPr>
      <w:r w:rsidRPr="00967C71">
        <w:rPr>
          <w:noProof/>
          <w:lang w:val="en-IE"/>
        </w:rPr>
        <w:br w:type="page"/>
      </w:r>
    </w:p>
    <w:p w14:paraId="3A82F8E0" w14:textId="3482D5CA" w:rsidR="00730B7A" w:rsidRPr="00E9362C" w:rsidRDefault="00730B7A" w:rsidP="0065549F">
      <w:pPr>
        <w:pStyle w:val="Heading3"/>
        <w:spacing w:before="0" w:after="160" w:line="250" w:lineRule="auto"/>
        <w:rPr>
          <w:rFonts w:ascii="Times New Roman" w:hAnsi="Times New Roman"/>
          <w:b/>
          <w:bCs/>
          <w:noProof/>
          <w:color w:val="auto"/>
        </w:rPr>
      </w:pPr>
      <w:bookmarkStart w:id="117" w:name="_Toc220103458"/>
      <w:r w:rsidRPr="00E9362C">
        <w:rPr>
          <w:rFonts w:ascii="Times New Roman" w:hAnsi="Times New Roman"/>
          <w:b/>
          <w:bCs/>
          <w:noProof/>
          <w:color w:val="auto"/>
        </w:rPr>
        <w:t>KPI 2</w:t>
      </w:r>
      <w:r w:rsidR="00BE61E6">
        <w:rPr>
          <w:rFonts w:ascii="Times New Roman" w:hAnsi="Times New Roman"/>
          <w:b/>
          <w:bCs/>
          <w:noProof/>
          <w:color w:val="auto"/>
        </w:rPr>
        <w:t>2</w:t>
      </w:r>
      <w:r w:rsidRPr="00E9362C">
        <w:rPr>
          <w:rFonts w:ascii="Times New Roman" w:hAnsi="Times New Roman"/>
          <w:b/>
          <w:bCs/>
          <w:noProof/>
          <w:color w:val="auto"/>
        </w:rPr>
        <w:t xml:space="preserve">: </w:t>
      </w:r>
      <w:r w:rsidR="00331E60" w:rsidRPr="00E9362C">
        <w:rPr>
          <w:rFonts w:ascii="Times New Roman" w:hAnsi="Times New Roman"/>
          <w:b/>
          <w:bCs/>
          <w:noProof/>
          <w:color w:val="auto"/>
        </w:rPr>
        <w:t xml:space="preserve">Electricity prices for </w:t>
      </w:r>
      <w:r w:rsidR="00D772AD" w:rsidRPr="00E9362C">
        <w:rPr>
          <w:rFonts w:ascii="Times New Roman" w:hAnsi="Times New Roman"/>
          <w:b/>
          <w:bCs/>
          <w:noProof/>
          <w:color w:val="auto"/>
        </w:rPr>
        <w:t>businesses</w:t>
      </w:r>
      <w:bookmarkEnd w:id="117"/>
    </w:p>
    <w:p w14:paraId="0A7848C7" w14:textId="1D67FB7A" w:rsidR="00331E60" w:rsidRPr="00FD0882" w:rsidRDefault="00C2407F" w:rsidP="00331E60">
      <w:pPr>
        <w:pStyle w:val="Paragraph"/>
        <w:rPr>
          <w:noProof/>
          <w:lang w:val="en-IE"/>
        </w:rPr>
      </w:pPr>
      <w:r w:rsidRPr="00FD0882">
        <w:rPr>
          <w:noProof/>
          <w:lang w:val="en-IE"/>
        </w:rPr>
        <w:t>KPI 2</w:t>
      </w:r>
      <w:r w:rsidR="00BE61E6">
        <w:rPr>
          <w:noProof/>
          <w:lang w:val="en-IE"/>
        </w:rPr>
        <w:t>2</w:t>
      </w:r>
      <w:r w:rsidR="00331E60" w:rsidRPr="00FD0882">
        <w:rPr>
          <w:noProof/>
          <w:lang w:val="en-IE"/>
        </w:rPr>
        <w:t xml:space="preserve"> tracks non-household retail electricity prices in the EU, </w:t>
      </w:r>
      <w:r w:rsidRPr="00FD0882">
        <w:rPr>
          <w:noProof/>
          <w:lang w:val="en-IE"/>
        </w:rPr>
        <w:t>US,</w:t>
      </w:r>
      <w:r w:rsidR="00331E60" w:rsidRPr="00FD0882">
        <w:rPr>
          <w:noProof/>
          <w:lang w:val="en-IE"/>
        </w:rPr>
        <w:t xml:space="preserve"> UK</w:t>
      </w:r>
      <w:r w:rsidRPr="00FD0882">
        <w:rPr>
          <w:noProof/>
          <w:lang w:val="en-IE"/>
        </w:rPr>
        <w:t xml:space="preserve"> </w:t>
      </w:r>
      <w:r w:rsidR="00331E60" w:rsidRPr="00FD0882">
        <w:rPr>
          <w:noProof/>
          <w:lang w:val="en-IE"/>
        </w:rPr>
        <w:t xml:space="preserve">and Japan. It gives an idea of energy costs and cost-competitiveness, especially for industries where electricity prices make up a significant proportion of total energy costs. </w:t>
      </w:r>
    </w:p>
    <w:p w14:paraId="08745EEA" w14:textId="03263468" w:rsidR="00331E60" w:rsidRPr="00FD0882" w:rsidRDefault="00331E60" w:rsidP="00331E60">
      <w:pPr>
        <w:pStyle w:val="Paragraph"/>
        <w:rPr>
          <w:noProof/>
          <w:lang w:val="en-IE"/>
        </w:rPr>
      </w:pPr>
      <w:r w:rsidRPr="00FD0882">
        <w:rPr>
          <w:noProof/>
          <w:lang w:val="en-IE"/>
        </w:rPr>
        <w:t xml:space="preserve">Non-household retail electricity prices in the EU are broken down into two consumption bands. Prices are measured in EUR per kWh, excluding value added tax and other duties that companies can recover. </w:t>
      </w:r>
    </w:p>
    <w:p w14:paraId="3EFF839E" w14:textId="1BA43013" w:rsidR="00331E60" w:rsidRPr="00FD0882" w:rsidRDefault="00331E60" w:rsidP="00331E60">
      <w:pPr>
        <w:pStyle w:val="Paragraph"/>
        <w:rPr>
          <w:noProof/>
          <w:lang w:val="en-IE"/>
        </w:rPr>
      </w:pPr>
      <w:r w:rsidRPr="00FD0882">
        <w:rPr>
          <w:noProof/>
          <w:lang w:val="en-IE"/>
        </w:rPr>
        <w:t xml:space="preserve">The IC consumption band </w:t>
      </w:r>
      <w:r w:rsidR="00A70456">
        <w:rPr>
          <w:noProof/>
          <w:lang w:val="en-IE"/>
        </w:rPr>
        <w:t>covers</w:t>
      </w:r>
      <w:r w:rsidRPr="00FD0882">
        <w:rPr>
          <w:noProof/>
          <w:lang w:val="en-IE"/>
        </w:rPr>
        <w:t xml:space="preserve"> medium-sized consumers with an annual consumption of between 500 MWh and 2 000 MWh, i.e. the vast majority of small-sized </w:t>
      </w:r>
      <w:r w:rsidR="00391FA8">
        <w:rPr>
          <w:noProof/>
          <w:lang w:val="en-IE"/>
        </w:rPr>
        <w:t>companies</w:t>
      </w:r>
      <w:r w:rsidR="00391FA8" w:rsidRPr="00FD0882">
        <w:rPr>
          <w:noProof/>
          <w:lang w:val="en-IE"/>
        </w:rPr>
        <w:t xml:space="preserve"> </w:t>
      </w:r>
      <w:r w:rsidRPr="00FD0882">
        <w:rPr>
          <w:noProof/>
          <w:lang w:val="en-IE"/>
        </w:rPr>
        <w:t xml:space="preserve">in services and manufacturing sectors, and gives an insight into affordability. </w:t>
      </w:r>
    </w:p>
    <w:p w14:paraId="1844F9B4" w14:textId="06C2694A" w:rsidR="007B2AC2" w:rsidRPr="00FD0882" w:rsidRDefault="00331E60" w:rsidP="00331E60">
      <w:pPr>
        <w:pStyle w:val="Paragraph"/>
        <w:rPr>
          <w:noProof/>
          <w:lang w:val="en-IE"/>
        </w:rPr>
      </w:pPr>
      <w:r w:rsidRPr="00FD0882">
        <w:rPr>
          <w:noProof/>
          <w:lang w:val="en-IE"/>
        </w:rPr>
        <w:t xml:space="preserve">The ID consumption band </w:t>
      </w:r>
      <w:r w:rsidR="002942D2">
        <w:rPr>
          <w:noProof/>
          <w:lang w:val="en-IE"/>
        </w:rPr>
        <w:t>covers</w:t>
      </w:r>
      <w:r w:rsidRPr="00FD0882">
        <w:rPr>
          <w:noProof/>
          <w:lang w:val="en-IE"/>
        </w:rPr>
        <w:t xml:space="preserve"> large consumers with an annual consumption of between </w:t>
      </w:r>
      <w:r w:rsidR="00791723" w:rsidRPr="00FD0882">
        <w:rPr>
          <w:noProof/>
          <w:lang w:val="en-IE"/>
        </w:rPr>
        <w:t>2</w:t>
      </w:r>
      <w:r w:rsidR="00791723">
        <w:rPr>
          <w:noProof/>
          <w:lang w:val="en-IE"/>
        </w:rPr>
        <w:t> </w:t>
      </w:r>
      <w:r w:rsidRPr="00FD0882">
        <w:rPr>
          <w:noProof/>
          <w:lang w:val="en-IE"/>
        </w:rPr>
        <w:t>000 MWh and 20 000 MWh, such as</w:t>
      </w:r>
      <w:r w:rsidR="00391FA8">
        <w:rPr>
          <w:noProof/>
          <w:lang w:val="en-IE"/>
        </w:rPr>
        <w:t xml:space="preserve"> companies</w:t>
      </w:r>
      <w:r w:rsidRPr="00FD0882">
        <w:rPr>
          <w:noProof/>
          <w:lang w:val="en-IE"/>
        </w:rPr>
        <w:t xml:space="preserve"> in electricity-intensive manufacturing sectors, and gives an insight into </w:t>
      </w:r>
      <w:r w:rsidR="008A5E7D">
        <w:rPr>
          <w:noProof/>
          <w:lang w:val="en-IE"/>
        </w:rPr>
        <w:t xml:space="preserve">their </w:t>
      </w:r>
      <w:r w:rsidRPr="00FD0882">
        <w:rPr>
          <w:noProof/>
          <w:lang w:val="en-IE"/>
        </w:rPr>
        <w:t>international competitiveness.</w:t>
      </w:r>
    </w:p>
    <w:p w14:paraId="203E0F3E" w14:textId="0ECE59C4" w:rsidR="007B2AC2" w:rsidRPr="00FD0882" w:rsidRDefault="5A742D5C" w:rsidP="00331E60">
      <w:pPr>
        <w:pStyle w:val="Paragraph"/>
        <w:rPr>
          <w:noProof/>
          <w:lang w:val="en-IE"/>
        </w:rPr>
      </w:pPr>
      <w:r w:rsidRPr="00FD0882">
        <w:rPr>
          <w:noProof/>
          <w:lang w:val="en-IE"/>
        </w:rPr>
        <w:t xml:space="preserve">In the first semester of 2025, electricity prices for large industrial users </w:t>
      </w:r>
      <w:r w:rsidR="00B63CFF" w:rsidRPr="00FD0882">
        <w:rPr>
          <w:noProof/>
          <w:lang w:val="en-IE"/>
        </w:rPr>
        <w:t>in the ID band</w:t>
      </w:r>
      <w:r w:rsidRPr="00FD0882">
        <w:rPr>
          <w:noProof/>
          <w:lang w:val="en-IE"/>
        </w:rPr>
        <w:t xml:space="preserve"> were </w:t>
      </w:r>
      <w:r w:rsidR="007564AE" w:rsidRPr="00FD0882">
        <w:rPr>
          <w:noProof/>
          <w:lang w:val="en-IE"/>
        </w:rPr>
        <w:t xml:space="preserve">EUR </w:t>
      </w:r>
      <w:r w:rsidRPr="00FD0882">
        <w:rPr>
          <w:noProof/>
          <w:lang w:val="en-IE"/>
        </w:rPr>
        <w:t xml:space="preserve">0.16 /KWh. </w:t>
      </w:r>
      <w:r w:rsidR="00F17A07" w:rsidRPr="00FD0882">
        <w:rPr>
          <w:noProof/>
          <w:lang w:val="en-IE"/>
        </w:rPr>
        <w:t xml:space="preserve">This </w:t>
      </w:r>
      <w:r w:rsidRPr="00FD0882">
        <w:rPr>
          <w:noProof/>
          <w:lang w:val="en-IE"/>
        </w:rPr>
        <w:t xml:space="preserve">is lower </w:t>
      </w:r>
      <w:r w:rsidR="00926DE2">
        <w:rPr>
          <w:noProof/>
          <w:lang w:val="en-IE"/>
        </w:rPr>
        <w:t>than</w:t>
      </w:r>
      <w:r w:rsidRPr="00FD0882">
        <w:rPr>
          <w:noProof/>
          <w:lang w:val="en-IE"/>
        </w:rPr>
        <w:t xml:space="preserve"> the peak </w:t>
      </w:r>
      <w:r w:rsidR="00F17A07">
        <w:rPr>
          <w:noProof/>
          <w:lang w:val="en-IE"/>
        </w:rPr>
        <w:t xml:space="preserve">seen </w:t>
      </w:r>
      <w:r w:rsidRPr="00FD0882">
        <w:rPr>
          <w:noProof/>
          <w:lang w:val="en-IE"/>
        </w:rPr>
        <w:t xml:space="preserve">in 2023, </w:t>
      </w:r>
      <w:r w:rsidR="00B56164" w:rsidRPr="00FD0882">
        <w:rPr>
          <w:noProof/>
          <w:lang w:val="en-IE"/>
        </w:rPr>
        <w:t xml:space="preserve">but </w:t>
      </w:r>
      <w:r w:rsidR="005E65EF">
        <w:rPr>
          <w:noProof/>
          <w:lang w:val="en-IE"/>
        </w:rPr>
        <w:t xml:space="preserve">since then </w:t>
      </w:r>
      <w:r w:rsidRPr="00FD0882">
        <w:rPr>
          <w:noProof/>
          <w:lang w:val="en-IE"/>
        </w:rPr>
        <w:t xml:space="preserve">electricity prices have seemingly stabilised at historically high levels, 50% </w:t>
      </w:r>
      <w:r w:rsidR="00F20135">
        <w:rPr>
          <w:noProof/>
          <w:lang w:val="en-IE"/>
        </w:rPr>
        <w:t xml:space="preserve">higher </w:t>
      </w:r>
      <w:r w:rsidR="005965C5">
        <w:rPr>
          <w:noProof/>
          <w:lang w:val="en-IE"/>
        </w:rPr>
        <w:t>than</w:t>
      </w:r>
      <w:r w:rsidR="005965C5" w:rsidRPr="00FD0882">
        <w:rPr>
          <w:noProof/>
          <w:lang w:val="en-IE"/>
        </w:rPr>
        <w:t xml:space="preserve"> </w:t>
      </w:r>
      <w:r w:rsidRPr="00FD0882">
        <w:rPr>
          <w:noProof/>
          <w:lang w:val="en-IE"/>
        </w:rPr>
        <w:t>2020</w:t>
      </w:r>
      <w:r w:rsidR="00F20135">
        <w:rPr>
          <w:noProof/>
          <w:lang w:val="en-IE"/>
        </w:rPr>
        <w:t xml:space="preserve"> levels</w:t>
      </w:r>
      <w:r w:rsidRPr="00FD0882">
        <w:rPr>
          <w:noProof/>
          <w:lang w:val="en-IE"/>
        </w:rPr>
        <w:t>.</w:t>
      </w:r>
      <w:r w:rsidR="005F25E7">
        <w:rPr>
          <w:noProof/>
          <w:lang w:val="en-IE"/>
        </w:rPr>
        <w:t xml:space="preserve"> By contrast,</w:t>
      </w:r>
      <w:r w:rsidRPr="00FD0882">
        <w:rPr>
          <w:noProof/>
          <w:lang w:val="en-IE"/>
        </w:rPr>
        <w:t xml:space="preserve"> US prices remained around </w:t>
      </w:r>
      <w:r w:rsidR="005F25E7" w:rsidRPr="00FD0882">
        <w:rPr>
          <w:noProof/>
          <w:lang w:val="en-IE"/>
        </w:rPr>
        <w:t xml:space="preserve">EUR </w:t>
      </w:r>
      <w:r w:rsidRPr="00FD0882">
        <w:rPr>
          <w:noProof/>
          <w:lang w:val="en-IE"/>
        </w:rPr>
        <w:t xml:space="preserve">0.07 /KWh </w:t>
      </w:r>
      <w:r w:rsidR="00E20413">
        <w:rPr>
          <w:noProof/>
          <w:lang w:val="en-IE"/>
        </w:rPr>
        <w:t>over</w:t>
      </w:r>
      <w:r w:rsidR="00E20413" w:rsidRPr="00FD0882">
        <w:rPr>
          <w:noProof/>
          <w:lang w:val="en-IE"/>
        </w:rPr>
        <w:t xml:space="preserve"> </w:t>
      </w:r>
      <w:r w:rsidRPr="00FD0882">
        <w:rPr>
          <w:noProof/>
          <w:lang w:val="en-IE"/>
        </w:rPr>
        <w:t>this period.</w:t>
      </w:r>
    </w:p>
    <w:p w14:paraId="583F06F1" w14:textId="29A9CFD1" w:rsidR="009D2309" w:rsidRPr="00486446" w:rsidRDefault="00730B7A" w:rsidP="00D84FEF">
      <w:pPr>
        <w:pStyle w:val="Paragraph"/>
        <w:spacing w:after="0" w:line="250" w:lineRule="auto"/>
        <w:rPr>
          <w:noProof/>
        </w:rPr>
      </w:pPr>
      <w:r w:rsidRPr="00486446">
        <w:rPr>
          <w:b/>
          <w:bCs/>
          <w:noProof/>
          <w:lang w:val="en-IE"/>
        </w:rPr>
        <w:t xml:space="preserve">Figure </w:t>
      </w:r>
      <w:r w:rsidR="008B4E7D">
        <w:rPr>
          <w:b/>
          <w:bCs/>
          <w:noProof/>
          <w:lang w:val="en-IE"/>
        </w:rPr>
        <w:t>22</w:t>
      </w:r>
      <w:r w:rsidRPr="00486446">
        <w:rPr>
          <w:b/>
          <w:bCs/>
          <w:noProof/>
          <w:lang w:val="en-IE"/>
        </w:rPr>
        <w:t>:</w:t>
      </w:r>
      <w:r w:rsidRPr="00486446">
        <w:rPr>
          <w:noProof/>
          <w:lang w:val="en-IE"/>
        </w:rPr>
        <w:t xml:space="preserve"> </w:t>
      </w:r>
      <w:r w:rsidR="009906AC" w:rsidRPr="00486446">
        <w:rPr>
          <w:noProof/>
        </w:rPr>
        <w:t>Electricity prices for businesses</w:t>
      </w:r>
      <w:r w:rsidR="0040726C" w:rsidRPr="00486446">
        <w:rPr>
          <w:noProof/>
        </w:rPr>
        <w:t>.</w:t>
      </w:r>
      <w:r w:rsidR="009D2309">
        <w:rPr>
          <w:noProof/>
        </w:rPr>
        <w:t xml:space="preserve"> </w:t>
      </w:r>
    </w:p>
    <w:p w14:paraId="7BC3F14A" w14:textId="1D5662E3" w:rsidR="00A97B71" w:rsidRPr="006E0577" w:rsidRDefault="009D2309" w:rsidP="00B70108">
      <w:pPr>
        <w:pStyle w:val="Paragraph"/>
        <w:spacing w:after="0" w:line="250" w:lineRule="auto"/>
        <w:rPr>
          <w:noProof/>
          <w:sz w:val="18"/>
          <w:szCs w:val="18"/>
        </w:rPr>
      </w:pPr>
      <w:r>
        <w:rPr>
          <w:noProof/>
          <w:lang w:eastAsia="en-GB"/>
        </w:rPr>
        <w:drawing>
          <wp:inline distT="0" distB="0" distL="0" distR="0" wp14:anchorId="53FEC82F" wp14:editId="4BFB37BF">
            <wp:extent cx="5731510" cy="3491865"/>
            <wp:effectExtent l="0" t="0" r="2540" b="0"/>
            <wp:docPr id="11627597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759795" name=""/>
                    <pic:cNvPicPr/>
                  </pic:nvPicPr>
                  <pic:blipFill>
                    <a:blip r:embed="rId90">
                      <a:extLst>
                        <a:ext uri="{96DAC541-7B7A-43D3-8B79-37D633B846F1}">
                          <asvg:svgBlip xmlns:asvg="http://schemas.microsoft.com/office/drawing/2016/SVG/main" r:embed="rId91"/>
                        </a:ext>
                      </a:extLst>
                    </a:blip>
                    <a:stretch>
                      <a:fillRect/>
                    </a:stretch>
                  </pic:blipFill>
                  <pic:spPr>
                    <a:xfrm>
                      <a:off x="0" y="0"/>
                      <a:ext cx="5731510" cy="3491865"/>
                    </a:xfrm>
                    <a:prstGeom prst="rect">
                      <a:avLst/>
                    </a:prstGeom>
                  </pic:spPr>
                </pic:pic>
              </a:graphicData>
            </a:graphic>
          </wp:inline>
        </w:drawing>
      </w:r>
    </w:p>
    <w:p w14:paraId="134F4EA5" w14:textId="2A7F777C" w:rsidR="0050407A" w:rsidRPr="009906AC" w:rsidRDefault="00730B7A" w:rsidP="006E0577">
      <w:pPr>
        <w:pStyle w:val="Paragraph"/>
        <w:spacing w:after="60" w:line="250" w:lineRule="auto"/>
        <w:rPr>
          <w:noProof/>
          <w:sz w:val="20"/>
          <w:szCs w:val="20"/>
        </w:rPr>
      </w:pPr>
      <w:r w:rsidRPr="00486446">
        <w:rPr>
          <w:noProof/>
          <w:sz w:val="20"/>
          <w:szCs w:val="20"/>
          <w:lang w:val="en-IE"/>
        </w:rPr>
        <w:t>Source:</w:t>
      </w:r>
      <w:r w:rsidRPr="00486446">
        <w:rPr>
          <w:rFonts w:eastAsia="Calibri"/>
          <w:noProof/>
          <w:sz w:val="20"/>
          <w:szCs w:val="20"/>
        </w:rPr>
        <w:t xml:space="preserve"> </w:t>
      </w:r>
      <w:r w:rsidR="00B60099" w:rsidRPr="00486446">
        <w:rPr>
          <w:noProof/>
          <w:sz w:val="20"/>
          <w:szCs w:val="20"/>
        </w:rPr>
        <w:t>Eurostat; US Energy Information Administration; UK Department for Energy Security and Net Zero;</w:t>
      </w:r>
      <w:r w:rsidR="00D84FEF">
        <w:rPr>
          <w:noProof/>
          <w:sz w:val="20"/>
          <w:szCs w:val="20"/>
        </w:rPr>
        <w:t xml:space="preserve"> </w:t>
      </w:r>
      <w:r w:rsidR="00B60099" w:rsidRPr="00486446">
        <w:rPr>
          <w:noProof/>
          <w:sz w:val="20"/>
          <w:szCs w:val="20"/>
        </w:rPr>
        <w:t>International Energy Agency (2025)</w:t>
      </w:r>
    </w:p>
    <w:p w14:paraId="7971439A" w14:textId="2899EA6D" w:rsidR="00331E60" w:rsidRPr="00486446" w:rsidRDefault="00331E60" w:rsidP="00D84FEF">
      <w:pPr>
        <w:pStyle w:val="Source"/>
        <w:spacing w:after="60" w:line="250" w:lineRule="auto"/>
        <w:rPr>
          <w:noProof/>
          <w:color w:val="auto"/>
          <w:sz w:val="24"/>
          <w:szCs w:val="24"/>
          <w:lang w:val="en-IE"/>
        </w:rPr>
      </w:pPr>
      <w:r w:rsidRPr="00486446">
        <w:rPr>
          <w:noProof/>
          <w:color w:val="auto"/>
          <w:sz w:val="24"/>
          <w:szCs w:val="24"/>
          <w:lang w:val="en-IE"/>
        </w:rPr>
        <w:t>National data (202</w:t>
      </w:r>
      <w:r w:rsidR="00C2407F" w:rsidRPr="00486446">
        <w:rPr>
          <w:noProof/>
          <w:color w:val="auto"/>
          <w:sz w:val="24"/>
          <w:szCs w:val="24"/>
          <w:lang w:val="en-IE"/>
        </w:rPr>
        <w:t>5</w:t>
      </w:r>
      <w:r w:rsidRPr="00486446">
        <w:rPr>
          <w:noProof/>
          <w:color w:val="auto"/>
          <w:sz w:val="24"/>
          <w:szCs w:val="24"/>
          <w:lang w:val="en-IE"/>
        </w:rPr>
        <w:t>)</w:t>
      </w:r>
      <w:r w:rsidR="00A56324">
        <w:rPr>
          <w:noProof/>
          <w:color w:val="auto"/>
          <w:sz w:val="24"/>
          <w:szCs w:val="24"/>
          <w:lang w:val="en-IE"/>
        </w:rPr>
        <w:t xml:space="preserve"> – ID price band</w:t>
      </w:r>
      <w:r w:rsidR="00E2647D">
        <w:rPr>
          <w:noProof/>
          <w:color w:val="auto"/>
          <w:sz w:val="24"/>
          <w:szCs w:val="24"/>
          <w:lang w:val="en-IE"/>
        </w:rPr>
        <w:t xml:space="preserve"> (EUR/kWh)</w:t>
      </w:r>
    </w:p>
    <w:tbl>
      <w:tblPr>
        <w:tblStyle w:val="TableGrid"/>
        <w:tblW w:w="0" w:type="auto"/>
        <w:jc w:val="center"/>
        <w:tblLook w:val="04A0" w:firstRow="1" w:lastRow="0" w:firstColumn="1" w:lastColumn="0" w:noHBand="0" w:noVBand="1"/>
      </w:tblPr>
      <w:tblGrid>
        <w:gridCol w:w="631"/>
        <w:gridCol w:w="641"/>
        <w:gridCol w:w="657"/>
        <w:gridCol w:w="657"/>
        <w:gridCol w:w="640"/>
        <w:gridCol w:w="649"/>
        <w:gridCol w:w="665"/>
        <w:gridCol w:w="632"/>
        <w:gridCol w:w="632"/>
        <w:gridCol w:w="632"/>
        <w:gridCol w:w="657"/>
        <w:gridCol w:w="665"/>
        <w:gridCol w:w="601"/>
        <w:gridCol w:w="657"/>
      </w:tblGrid>
      <w:tr w:rsidR="00D9227B" w:rsidRPr="00D84FEF" w14:paraId="6C56AC59" w14:textId="77777777" w:rsidTr="00221417">
        <w:trPr>
          <w:trHeight w:val="300"/>
          <w:jc w:val="center"/>
        </w:trPr>
        <w:tc>
          <w:tcPr>
            <w:tcW w:w="631" w:type="dxa"/>
            <w:shd w:val="clear" w:color="auto" w:fill="D9E2F3" w:themeFill="accent1" w:themeFillTint="33"/>
            <w:vAlign w:val="center"/>
            <w:hideMark/>
          </w:tcPr>
          <w:p w14:paraId="457C12F1"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 xml:space="preserve">AT </w:t>
            </w:r>
          </w:p>
        </w:tc>
        <w:tc>
          <w:tcPr>
            <w:tcW w:w="641" w:type="dxa"/>
            <w:shd w:val="clear" w:color="auto" w:fill="D9E2F3" w:themeFill="accent1" w:themeFillTint="33"/>
            <w:vAlign w:val="center"/>
            <w:hideMark/>
          </w:tcPr>
          <w:p w14:paraId="43EF8DC1"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BE</w:t>
            </w:r>
          </w:p>
        </w:tc>
        <w:tc>
          <w:tcPr>
            <w:tcW w:w="657" w:type="dxa"/>
            <w:shd w:val="clear" w:color="auto" w:fill="D9E2F3" w:themeFill="accent1" w:themeFillTint="33"/>
            <w:vAlign w:val="center"/>
            <w:hideMark/>
          </w:tcPr>
          <w:p w14:paraId="581DF5A9"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BG</w:t>
            </w:r>
          </w:p>
        </w:tc>
        <w:tc>
          <w:tcPr>
            <w:tcW w:w="657" w:type="dxa"/>
            <w:shd w:val="clear" w:color="auto" w:fill="D9E2F3" w:themeFill="accent1" w:themeFillTint="33"/>
            <w:vAlign w:val="center"/>
            <w:hideMark/>
          </w:tcPr>
          <w:p w14:paraId="1066385A"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CY</w:t>
            </w:r>
          </w:p>
        </w:tc>
        <w:tc>
          <w:tcPr>
            <w:tcW w:w="640" w:type="dxa"/>
            <w:shd w:val="clear" w:color="auto" w:fill="D9E2F3" w:themeFill="accent1" w:themeFillTint="33"/>
            <w:vAlign w:val="center"/>
            <w:hideMark/>
          </w:tcPr>
          <w:p w14:paraId="3C8C9403"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CZ</w:t>
            </w:r>
          </w:p>
        </w:tc>
        <w:tc>
          <w:tcPr>
            <w:tcW w:w="649" w:type="dxa"/>
            <w:shd w:val="clear" w:color="auto" w:fill="D9E2F3" w:themeFill="accent1" w:themeFillTint="33"/>
            <w:vAlign w:val="center"/>
            <w:hideMark/>
          </w:tcPr>
          <w:p w14:paraId="7816FD38"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DE</w:t>
            </w:r>
          </w:p>
        </w:tc>
        <w:tc>
          <w:tcPr>
            <w:tcW w:w="665" w:type="dxa"/>
            <w:shd w:val="clear" w:color="auto" w:fill="D9E2F3" w:themeFill="accent1" w:themeFillTint="33"/>
            <w:vAlign w:val="center"/>
            <w:hideMark/>
          </w:tcPr>
          <w:p w14:paraId="24FD4E26"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DK</w:t>
            </w:r>
          </w:p>
        </w:tc>
        <w:tc>
          <w:tcPr>
            <w:tcW w:w="632" w:type="dxa"/>
            <w:shd w:val="clear" w:color="auto" w:fill="D9E2F3" w:themeFill="accent1" w:themeFillTint="33"/>
            <w:vAlign w:val="center"/>
            <w:hideMark/>
          </w:tcPr>
          <w:p w14:paraId="24ABC493"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EE</w:t>
            </w:r>
          </w:p>
        </w:tc>
        <w:tc>
          <w:tcPr>
            <w:tcW w:w="632" w:type="dxa"/>
            <w:shd w:val="clear" w:color="auto" w:fill="D9E2F3" w:themeFill="accent1" w:themeFillTint="33"/>
            <w:vAlign w:val="center"/>
            <w:hideMark/>
          </w:tcPr>
          <w:p w14:paraId="6CA0FACA"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EL</w:t>
            </w:r>
          </w:p>
        </w:tc>
        <w:tc>
          <w:tcPr>
            <w:tcW w:w="632" w:type="dxa"/>
            <w:shd w:val="clear" w:color="auto" w:fill="D9E2F3" w:themeFill="accent1" w:themeFillTint="33"/>
            <w:vAlign w:val="center"/>
            <w:hideMark/>
          </w:tcPr>
          <w:p w14:paraId="76C20AD8"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ES</w:t>
            </w:r>
          </w:p>
        </w:tc>
        <w:tc>
          <w:tcPr>
            <w:tcW w:w="657" w:type="dxa"/>
            <w:shd w:val="clear" w:color="auto" w:fill="D9E2F3" w:themeFill="accent1" w:themeFillTint="33"/>
            <w:vAlign w:val="center"/>
          </w:tcPr>
          <w:p w14:paraId="0D26FD3A"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FI</w:t>
            </w:r>
          </w:p>
        </w:tc>
        <w:tc>
          <w:tcPr>
            <w:tcW w:w="665" w:type="dxa"/>
            <w:shd w:val="clear" w:color="auto" w:fill="D9E2F3" w:themeFill="accent1" w:themeFillTint="33"/>
            <w:vAlign w:val="center"/>
          </w:tcPr>
          <w:p w14:paraId="2BCD5E2F"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FR</w:t>
            </w:r>
          </w:p>
        </w:tc>
        <w:tc>
          <w:tcPr>
            <w:tcW w:w="601" w:type="dxa"/>
            <w:shd w:val="clear" w:color="auto" w:fill="D9E2F3" w:themeFill="accent1" w:themeFillTint="33"/>
            <w:vAlign w:val="center"/>
          </w:tcPr>
          <w:p w14:paraId="00A2E8D3"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HR</w:t>
            </w:r>
          </w:p>
        </w:tc>
        <w:tc>
          <w:tcPr>
            <w:tcW w:w="657" w:type="dxa"/>
            <w:shd w:val="clear" w:color="auto" w:fill="D9E2F3" w:themeFill="accent1" w:themeFillTint="33"/>
            <w:vAlign w:val="center"/>
          </w:tcPr>
          <w:p w14:paraId="04CA9F87"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HU</w:t>
            </w:r>
          </w:p>
        </w:tc>
      </w:tr>
      <w:tr w:rsidR="00A26234" w:rsidRPr="00D84FEF" w14:paraId="0F7E6127" w14:textId="77777777" w:rsidTr="00221417">
        <w:trPr>
          <w:trHeight w:val="315"/>
          <w:jc w:val="center"/>
        </w:trPr>
        <w:tc>
          <w:tcPr>
            <w:tcW w:w="631" w:type="dxa"/>
            <w:vAlign w:val="center"/>
          </w:tcPr>
          <w:p w14:paraId="541EC168" w14:textId="4B877B31" w:rsidR="004D69DD" w:rsidRPr="00D84FEF" w:rsidRDefault="00716B7E" w:rsidP="009E6ED4">
            <w:pPr>
              <w:pStyle w:val="Paragraph"/>
              <w:spacing w:after="0" w:line="240" w:lineRule="auto"/>
              <w:jc w:val="center"/>
              <w:rPr>
                <w:noProof/>
                <w:sz w:val="22"/>
                <w:szCs w:val="22"/>
                <w:lang w:val="en-IE"/>
              </w:rPr>
            </w:pPr>
            <w:r w:rsidRPr="00D84FEF">
              <w:rPr>
                <w:noProof/>
                <w:sz w:val="22"/>
                <w:szCs w:val="22"/>
                <w:lang w:val="en-IE"/>
              </w:rPr>
              <w:t>0.18</w:t>
            </w:r>
          </w:p>
        </w:tc>
        <w:tc>
          <w:tcPr>
            <w:tcW w:w="641" w:type="dxa"/>
            <w:vAlign w:val="center"/>
          </w:tcPr>
          <w:p w14:paraId="3AEEA319" w14:textId="36ACB03A" w:rsidR="004D69DD" w:rsidRPr="00D84FEF" w:rsidRDefault="000D3DEB" w:rsidP="009E6ED4">
            <w:pPr>
              <w:pStyle w:val="Paragraph"/>
              <w:spacing w:after="0" w:line="240" w:lineRule="auto"/>
              <w:jc w:val="center"/>
              <w:rPr>
                <w:noProof/>
                <w:sz w:val="22"/>
                <w:szCs w:val="22"/>
                <w:lang w:val="en-IE"/>
              </w:rPr>
            </w:pPr>
            <w:r w:rsidRPr="00D84FEF">
              <w:rPr>
                <w:noProof/>
                <w:sz w:val="22"/>
                <w:szCs w:val="22"/>
                <w:lang w:val="en-IE"/>
              </w:rPr>
              <w:t>0.1</w:t>
            </w:r>
            <w:r w:rsidR="00D9227B" w:rsidRPr="00D84FEF">
              <w:rPr>
                <w:noProof/>
                <w:sz w:val="22"/>
                <w:szCs w:val="22"/>
                <w:lang w:val="en-IE"/>
              </w:rPr>
              <w:t>7</w:t>
            </w:r>
          </w:p>
        </w:tc>
        <w:tc>
          <w:tcPr>
            <w:tcW w:w="657" w:type="dxa"/>
            <w:vAlign w:val="center"/>
          </w:tcPr>
          <w:p w14:paraId="6FF3DAA2" w14:textId="19F17C56" w:rsidR="004D69DD" w:rsidRPr="00D84FEF" w:rsidRDefault="00A26234" w:rsidP="009E6ED4">
            <w:pPr>
              <w:pStyle w:val="Paragraph"/>
              <w:spacing w:after="0" w:line="240" w:lineRule="auto"/>
              <w:jc w:val="center"/>
              <w:rPr>
                <w:noProof/>
                <w:sz w:val="22"/>
                <w:szCs w:val="22"/>
                <w:lang w:val="en-IE"/>
              </w:rPr>
            </w:pPr>
            <w:r w:rsidRPr="00D84FEF">
              <w:rPr>
                <w:noProof/>
                <w:sz w:val="22"/>
                <w:szCs w:val="22"/>
                <w:lang w:val="en-IE"/>
              </w:rPr>
              <w:t>0.12</w:t>
            </w:r>
          </w:p>
        </w:tc>
        <w:tc>
          <w:tcPr>
            <w:tcW w:w="657" w:type="dxa"/>
            <w:vAlign w:val="center"/>
          </w:tcPr>
          <w:p w14:paraId="79176FE9" w14:textId="789F9E00" w:rsidR="004D69DD" w:rsidRPr="00D84FEF" w:rsidRDefault="00FE72B2" w:rsidP="009E6ED4">
            <w:pPr>
              <w:pStyle w:val="Paragraph"/>
              <w:spacing w:after="0" w:line="240" w:lineRule="auto"/>
              <w:jc w:val="center"/>
              <w:rPr>
                <w:noProof/>
                <w:sz w:val="22"/>
                <w:szCs w:val="22"/>
                <w:lang w:val="en-IE"/>
              </w:rPr>
            </w:pPr>
            <w:r w:rsidRPr="00D84FEF">
              <w:rPr>
                <w:noProof/>
                <w:sz w:val="22"/>
                <w:szCs w:val="22"/>
                <w:lang w:val="en-IE"/>
              </w:rPr>
              <w:t>0.2</w:t>
            </w:r>
            <w:r w:rsidR="00D9227B" w:rsidRPr="00D84FEF">
              <w:rPr>
                <w:noProof/>
                <w:sz w:val="22"/>
                <w:szCs w:val="22"/>
                <w:lang w:val="en-IE"/>
              </w:rPr>
              <w:t>3</w:t>
            </w:r>
          </w:p>
        </w:tc>
        <w:tc>
          <w:tcPr>
            <w:tcW w:w="640" w:type="dxa"/>
            <w:vAlign w:val="center"/>
          </w:tcPr>
          <w:p w14:paraId="132D2F9D" w14:textId="0025E5B3" w:rsidR="004D69DD" w:rsidRPr="00D84FEF" w:rsidRDefault="00A26234" w:rsidP="009E6ED4">
            <w:pPr>
              <w:pStyle w:val="Paragraph"/>
              <w:spacing w:after="0" w:line="240" w:lineRule="auto"/>
              <w:jc w:val="center"/>
              <w:rPr>
                <w:noProof/>
                <w:sz w:val="22"/>
                <w:szCs w:val="22"/>
                <w:lang w:val="en-IE"/>
              </w:rPr>
            </w:pPr>
            <w:r w:rsidRPr="00D84FEF">
              <w:rPr>
                <w:noProof/>
                <w:sz w:val="22"/>
                <w:szCs w:val="22"/>
                <w:lang w:val="en-IE"/>
              </w:rPr>
              <w:t>0.1</w:t>
            </w:r>
            <w:r w:rsidR="00D9227B" w:rsidRPr="00D84FEF">
              <w:rPr>
                <w:noProof/>
                <w:sz w:val="22"/>
                <w:szCs w:val="22"/>
                <w:lang w:val="en-IE"/>
              </w:rPr>
              <w:t>7</w:t>
            </w:r>
          </w:p>
        </w:tc>
        <w:tc>
          <w:tcPr>
            <w:tcW w:w="649" w:type="dxa"/>
            <w:vAlign w:val="center"/>
          </w:tcPr>
          <w:p w14:paraId="47885827" w14:textId="48E9B927" w:rsidR="004D69DD" w:rsidRPr="00D84FEF" w:rsidRDefault="00A26234" w:rsidP="009E6ED4">
            <w:pPr>
              <w:pStyle w:val="Paragraph"/>
              <w:spacing w:after="0" w:line="240" w:lineRule="auto"/>
              <w:jc w:val="center"/>
              <w:rPr>
                <w:noProof/>
                <w:sz w:val="22"/>
                <w:szCs w:val="22"/>
                <w:lang w:val="en-IE"/>
              </w:rPr>
            </w:pPr>
            <w:r w:rsidRPr="00D84FEF">
              <w:rPr>
                <w:noProof/>
                <w:sz w:val="22"/>
                <w:szCs w:val="22"/>
                <w:lang w:val="en-IE"/>
              </w:rPr>
              <w:t>0.19</w:t>
            </w:r>
          </w:p>
        </w:tc>
        <w:tc>
          <w:tcPr>
            <w:tcW w:w="665" w:type="dxa"/>
            <w:vAlign w:val="center"/>
          </w:tcPr>
          <w:p w14:paraId="54AA99E5" w14:textId="702464BF" w:rsidR="004D69DD" w:rsidRPr="00D84FEF" w:rsidRDefault="00A26234" w:rsidP="009E6ED4">
            <w:pPr>
              <w:pStyle w:val="Paragraph"/>
              <w:spacing w:after="0" w:line="240" w:lineRule="auto"/>
              <w:jc w:val="center"/>
              <w:rPr>
                <w:noProof/>
                <w:sz w:val="22"/>
                <w:szCs w:val="22"/>
                <w:lang w:val="en-IE"/>
              </w:rPr>
            </w:pPr>
            <w:r w:rsidRPr="00D84FEF">
              <w:rPr>
                <w:noProof/>
                <w:sz w:val="22"/>
                <w:szCs w:val="22"/>
                <w:lang w:val="en-IE"/>
              </w:rPr>
              <w:t>0.1</w:t>
            </w:r>
            <w:r w:rsidR="00D9227B" w:rsidRPr="00D84FEF">
              <w:rPr>
                <w:noProof/>
                <w:sz w:val="22"/>
                <w:szCs w:val="22"/>
                <w:lang w:val="en-IE"/>
              </w:rPr>
              <w:t>3</w:t>
            </w:r>
          </w:p>
        </w:tc>
        <w:tc>
          <w:tcPr>
            <w:tcW w:w="632" w:type="dxa"/>
            <w:vAlign w:val="center"/>
          </w:tcPr>
          <w:p w14:paraId="2FDEDC34" w14:textId="3F39F324" w:rsidR="004D69DD" w:rsidRPr="00D84FEF" w:rsidRDefault="00A26234" w:rsidP="009E6ED4">
            <w:pPr>
              <w:pStyle w:val="Paragraph"/>
              <w:spacing w:after="0" w:line="240" w:lineRule="auto"/>
              <w:jc w:val="center"/>
              <w:rPr>
                <w:noProof/>
                <w:sz w:val="22"/>
                <w:szCs w:val="22"/>
                <w:lang w:val="en-IE"/>
              </w:rPr>
            </w:pPr>
            <w:r w:rsidRPr="00D84FEF">
              <w:rPr>
                <w:noProof/>
                <w:sz w:val="22"/>
                <w:szCs w:val="22"/>
                <w:lang w:val="en-IE"/>
              </w:rPr>
              <w:t>0.13</w:t>
            </w:r>
          </w:p>
        </w:tc>
        <w:tc>
          <w:tcPr>
            <w:tcW w:w="632" w:type="dxa"/>
            <w:vAlign w:val="center"/>
          </w:tcPr>
          <w:p w14:paraId="13B293F4" w14:textId="2D317A61" w:rsidR="004D69DD" w:rsidRPr="00D84FEF" w:rsidRDefault="00A26234" w:rsidP="009E6ED4">
            <w:pPr>
              <w:pStyle w:val="Paragraph"/>
              <w:spacing w:after="0" w:line="240" w:lineRule="auto"/>
              <w:jc w:val="center"/>
              <w:rPr>
                <w:noProof/>
                <w:sz w:val="22"/>
                <w:szCs w:val="22"/>
                <w:lang w:val="en-IE"/>
              </w:rPr>
            </w:pPr>
            <w:r w:rsidRPr="00D84FEF">
              <w:rPr>
                <w:noProof/>
                <w:sz w:val="22"/>
                <w:szCs w:val="22"/>
                <w:lang w:val="en-IE"/>
              </w:rPr>
              <w:t>0.18</w:t>
            </w:r>
          </w:p>
        </w:tc>
        <w:tc>
          <w:tcPr>
            <w:tcW w:w="632" w:type="dxa"/>
            <w:vAlign w:val="center"/>
          </w:tcPr>
          <w:p w14:paraId="44E2C20B" w14:textId="518D31F7" w:rsidR="004D69DD" w:rsidRPr="00D84FEF" w:rsidRDefault="00A26234" w:rsidP="009E6ED4">
            <w:pPr>
              <w:pStyle w:val="Paragraph"/>
              <w:spacing w:after="0" w:line="240" w:lineRule="auto"/>
              <w:jc w:val="center"/>
              <w:rPr>
                <w:noProof/>
                <w:sz w:val="22"/>
                <w:szCs w:val="22"/>
                <w:lang w:val="en-IE"/>
              </w:rPr>
            </w:pPr>
            <w:r w:rsidRPr="00D84FEF">
              <w:rPr>
                <w:noProof/>
                <w:sz w:val="22"/>
                <w:szCs w:val="22"/>
                <w:lang w:val="en-IE"/>
              </w:rPr>
              <w:t>0.1</w:t>
            </w:r>
            <w:r w:rsidR="00D9227B" w:rsidRPr="00D84FEF">
              <w:rPr>
                <w:noProof/>
                <w:sz w:val="22"/>
                <w:szCs w:val="22"/>
                <w:lang w:val="en-IE"/>
              </w:rPr>
              <w:t>3</w:t>
            </w:r>
          </w:p>
        </w:tc>
        <w:tc>
          <w:tcPr>
            <w:tcW w:w="657" w:type="dxa"/>
            <w:vAlign w:val="center"/>
          </w:tcPr>
          <w:p w14:paraId="4A3B07FF" w14:textId="7EFF0859" w:rsidR="004D69DD" w:rsidRPr="00D84FEF" w:rsidRDefault="009E6ED4" w:rsidP="009E6ED4">
            <w:pPr>
              <w:pStyle w:val="Paragraph"/>
              <w:spacing w:after="0" w:line="240" w:lineRule="auto"/>
              <w:jc w:val="center"/>
              <w:rPr>
                <w:noProof/>
                <w:sz w:val="22"/>
                <w:szCs w:val="22"/>
                <w:lang w:val="en-IE"/>
              </w:rPr>
            </w:pPr>
            <w:r w:rsidRPr="00D84FEF">
              <w:rPr>
                <w:noProof/>
                <w:sz w:val="22"/>
                <w:szCs w:val="22"/>
                <w:lang w:val="en-IE"/>
              </w:rPr>
              <w:t>0.07</w:t>
            </w:r>
          </w:p>
        </w:tc>
        <w:tc>
          <w:tcPr>
            <w:tcW w:w="665" w:type="dxa"/>
            <w:vAlign w:val="center"/>
          </w:tcPr>
          <w:p w14:paraId="55AE9FF8" w14:textId="18F03F36" w:rsidR="004D69DD" w:rsidRPr="00D84FEF" w:rsidRDefault="00A26234" w:rsidP="009E6ED4">
            <w:pPr>
              <w:pStyle w:val="Paragraph"/>
              <w:spacing w:after="0" w:line="240" w:lineRule="auto"/>
              <w:jc w:val="center"/>
              <w:rPr>
                <w:noProof/>
                <w:sz w:val="22"/>
                <w:szCs w:val="22"/>
                <w:lang w:val="en-IE"/>
              </w:rPr>
            </w:pPr>
            <w:r w:rsidRPr="00D84FEF">
              <w:rPr>
                <w:noProof/>
                <w:sz w:val="22"/>
                <w:szCs w:val="22"/>
                <w:lang w:val="en-IE"/>
              </w:rPr>
              <w:t>0.13</w:t>
            </w:r>
          </w:p>
        </w:tc>
        <w:tc>
          <w:tcPr>
            <w:tcW w:w="601" w:type="dxa"/>
            <w:vAlign w:val="center"/>
          </w:tcPr>
          <w:p w14:paraId="273BE13C" w14:textId="376BAFDE" w:rsidR="004D69DD" w:rsidRPr="00D84FEF" w:rsidRDefault="00FE72B2" w:rsidP="009E6ED4">
            <w:pPr>
              <w:pStyle w:val="Paragraph"/>
              <w:spacing w:after="0" w:line="240" w:lineRule="auto"/>
              <w:jc w:val="center"/>
              <w:rPr>
                <w:noProof/>
                <w:sz w:val="22"/>
                <w:szCs w:val="22"/>
                <w:lang w:val="en-IE"/>
              </w:rPr>
            </w:pPr>
            <w:r w:rsidRPr="00D84FEF">
              <w:rPr>
                <w:noProof/>
                <w:sz w:val="22"/>
                <w:szCs w:val="22"/>
                <w:lang w:val="en-IE"/>
              </w:rPr>
              <w:t>0.</w:t>
            </w:r>
            <w:r w:rsidR="00D9227B" w:rsidRPr="00D84FEF">
              <w:rPr>
                <w:noProof/>
                <w:sz w:val="22"/>
                <w:szCs w:val="22"/>
                <w:lang w:val="en-IE"/>
              </w:rPr>
              <w:t>20</w:t>
            </w:r>
          </w:p>
        </w:tc>
        <w:tc>
          <w:tcPr>
            <w:tcW w:w="657" w:type="dxa"/>
            <w:vAlign w:val="center"/>
          </w:tcPr>
          <w:p w14:paraId="3F3C831A" w14:textId="086B9C23" w:rsidR="004D69DD" w:rsidRPr="00D84FEF" w:rsidRDefault="00716B7E" w:rsidP="009E6ED4">
            <w:pPr>
              <w:pStyle w:val="Paragraph"/>
              <w:spacing w:after="0" w:line="240" w:lineRule="auto"/>
              <w:jc w:val="center"/>
              <w:rPr>
                <w:noProof/>
                <w:sz w:val="22"/>
                <w:szCs w:val="22"/>
                <w:lang w:val="en-IE"/>
              </w:rPr>
            </w:pPr>
            <w:r w:rsidRPr="00D84FEF">
              <w:rPr>
                <w:noProof/>
                <w:sz w:val="22"/>
                <w:szCs w:val="22"/>
                <w:lang w:val="en-IE"/>
              </w:rPr>
              <w:t>0.1</w:t>
            </w:r>
            <w:r w:rsidR="00D9227B" w:rsidRPr="00D84FEF">
              <w:rPr>
                <w:noProof/>
                <w:sz w:val="22"/>
                <w:szCs w:val="22"/>
                <w:lang w:val="en-IE"/>
              </w:rPr>
              <w:t>9</w:t>
            </w:r>
          </w:p>
        </w:tc>
      </w:tr>
      <w:tr w:rsidR="00D9227B" w:rsidRPr="00D84FEF" w14:paraId="6DEDF5F3" w14:textId="77777777" w:rsidTr="00221417">
        <w:trPr>
          <w:trHeight w:val="300"/>
          <w:jc w:val="center"/>
        </w:trPr>
        <w:tc>
          <w:tcPr>
            <w:tcW w:w="631" w:type="dxa"/>
            <w:shd w:val="clear" w:color="auto" w:fill="D9E2F3" w:themeFill="accent1" w:themeFillTint="33"/>
            <w:vAlign w:val="center"/>
          </w:tcPr>
          <w:p w14:paraId="7E61CD70"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IE</w:t>
            </w:r>
          </w:p>
        </w:tc>
        <w:tc>
          <w:tcPr>
            <w:tcW w:w="641" w:type="dxa"/>
            <w:shd w:val="clear" w:color="auto" w:fill="D9E2F3" w:themeFill="accent1" w:themeFillTint="33"/>
            <w:vAlign w:val="center"/>
          </w:tcPr>
          <w:p w14:paraId="09132B57"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IT</w:t>
            </w:r>
          </w:p>
        </w:tc>
        <w:tc>
          <w:tcPr>
            <w:tcW w:w="657" w:type="dxa"/>
            <w:shd w:val="clear" w:color="auto" w:fill="D9E2F3" w:themeFill="accent1" w:themeFillTint="33"/>
            <w:vAlign w:val="center"/>
          </w:tcPr>
          <w:p w14:paraId="3F726094"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LT</w:t>
            </w:r>
          </w:p>
        </w:tc>
        <w:tc>
          <w:tcPr>
            <w:tcW w:w="657" w:type="dxa"/>
            <w:shd w:val="clear" w:color="auto" w:fill="D9E2F3" w:themeFill="accent1" w:themeFillTint="33"/>
            <w:vAlign w:val="center"/>
          </w:tcPr>
          <w:p w14:paraId="21EFDB8B"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LU</w:t>
            </w:r>
          </w:p>
        </w:tc>
        <w:tc>
          <w:tcPr>
            <w:tcW w:w="640" w:type="dxa"/>
            <w:shd w:val="clear" w:color="auto" w:fill="D9E2F3" w:themeFill="accent1" w:themeFillTint="33"/>
            <w:vAlign w:val="center"/>
          </w:tcPr>
          <w:p w14:paraId="09C62BCE"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LV</w:t>
            </w:r>
          </w:p>
        </w:tc>
        <w:tc>
          <w:tcPr>
            <w:tcW w:w="649" w:type="dxa"/>
            <w:shd w:val="clear" w:color="auto" w:fill="D9E2F3" w:themeFill="accent1" w:themeFillTint="33"/>
            <w:vAlign w:val="center"/>
          </w:tcPr>
          <w:p w14:paraId="128B3C2E"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MT</w:t>
            </w:r>
          </w:p>
        </w:tc>
        <w:tc>
          <w:tcPr>
            <w:tcW w:w="665" w:type="dxa"/>
            <w:shd w:val="clear" w:color="auto" w:fill="D9E2F3" w:themeFill="accent1" w:themeFillTint="33"/>
            <w:vAlign w:val="center"/>
          </w:tcPr>
          <w:p w14:paraId="029068FC"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NL</w:t>
            </w:r>
          </w:p>
        </w:tc>
        <w:tc>
          <w:tcPr>
            <w:tcW w:w="632" w:type="dxa"/>
            <w:shd w:val="clear" w:color="auto" w:fill="D9E2F3" w:themeFill="accent1" w:themeFillTint="33"/>
            <w:vAlign w:val="center"/>
          </w:tcPr>
          <w:p w14:paraId="79184ED4"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PL</w:t>
            </w:r>
          </w:p>
        </w:tc>
        <w:tc>
          <w:tcPr>
            <w:tcW w:w="632" w:type="dxa"/>
            <w:shd w:val="clear" w:color="auto" w:fill="D9E2F3" w:themeFill="accent1" w:themeFillTint="33"/>
            <w:vAlign w:val="center"/>
          </w:tcPr>
          <w:p w14:paraId="34951F91"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PT</w:t>
            </w:r>
          </w:p>
        </w:tc>
        <w:tc>
          <w:tcPr>
            <w:tcW w:w="632" w:type="dxa"/>
            <w:shd w:val="clear" w:color="auto" w:fill="D9E2F3" w:themeFill="accent1" w:themeFillTint="33"/>
            <w:vAlign w:val="center"/>
          </w:tcPr>
          <w:p w14:paraId="57E8D484"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RO</w:t>
            </w:r>
          </w:p>
        </w:tc>
        <w:tc>
          <w:tcPr>
            <w:tcW w:w="657" w:type="dxa"/>
            <w:shd w:val="clear" w:color="auto" w:fill="D9E2F3" w:themeFill="accent1" w:themeFillTint="33"/>
            <w:vAlign w:val="center"/>
          </w:tcPr>
          <w:p w14:paraId="1A2DB9CD"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SE</w:t>
            </w:r>
          </w:p>
        </w:tc>
        <w:tc>
          <w:tcPr>
            <w:tcW w:w="665" w:type="dxa"/>
            <w:shd w:val="clear" w:color="auto" w:fill="D9E2F3" w:themeFill="accent1" w:themeFillTint="33"/>
            <w:vAlign w:val="center"/>
            <w:hideMark/>
          </w:tcPr>
          <w:p w14:paraId="673DABE3"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SI</w:t>
            </w:r>
          </w:p>
        </w:tc>
        <w:tc>
          <w:tcPr>
            <w:tcW w:w="601" w:type="dxa"/>
            <w:shd w:val="clear" w:color="auto" w:fill="D9E2F3" w:themeFill="accent1" w:themeFillTint="33"/>
            <w:vAlign w:val="center"/>
            <w:hideMark/>
          </w:tcPr>
          <w:p w14:paraId="43F80911" w14:textId="77777777" w:rsidR="004D69DD" w:rsidRPr="00D84FEF" w:rsidRDefault="004D69DD" w:rsidP="00221417">
            <w:pPr>
              <w:pStyle w:val="Paragraph"/>
              <w:spacing w:after="0" w:line="240" w:lineRule="auto"/>
              <w:jc w:val="center"/>
              <w:rPr>
                <w:noProof/>
                <w:sz w:val="22"/>
                <w:szCs w:val="22"/>
                <w:lang w:val="en-IE"/>
              </w:rPr>
            </w:pPr>
            <w:r w:rsidRPr="00D84FEF">
              <w:rPr>
                <w:noProof/>
                <w:sz w:val="22"/>
                <w:szCs w:val="22"/>
                <w:lang w:val="en-IE"/>
              </w:rPr>
              <w:t>SK</w:t>
            </w:r>
          </w:p>
        </w:tc>
        <w:tc>
          <w:tcPr>
            <w:tcW w:w="657" w:type="dxa"/>
            <w:shd w:val="clear" w:color="auto" w:fill="D9E2F3" w:themeFill="accent1" w:themeFillTint="33"/>
            <w:vAlign w:val="center"/>
            <w:hideMark/>
          </w:tcPr>
          <w:p w14:paraId="1D80B6B5" w14:textId="77777777" w:rsidR="004D69DD" w:rsidRPr="00D84FEF" w:rsidRDefault="004D69DD" w:rsidP="00221417">
            <w:pPr>
              <w:pStyle w:val="Paragraph"/>
              <w:spacing w:after="0" w:line="240" w:lineRule="auto"/>
              <w:jc w:val="center"/>
              <w:rPr>
                <w:b/>
                <w:noProof/>
                <w:sz w:val="22"/>
                <w:szCs w:val="22"/>
                <w:lang w:val="en-IE"/>
              </w:rPr>
            </w:pPr>
            <w:r w:rsidRPr="00D84FEF">
              <w:rPr>
                <w:b/>
                <w:noProof/>
                <w:sz w:val="22"/>
                <w:szCs w:val="22"/>
                <w:lang w:val="en-IE"/>
              </w:rPr>
              <w:t>EU</w:t>
            </w:r>
          </w:p>
        </w:tc>
      </w:tr>
      <w:tr w:rsidR="00A26234" w:rsidRPr="00F85507" w14:paraId="67E17AF4" w14:textId="77777777" w:rsidTr="00221417">
        <w:trPr>
          <w:trHeight w:val="315"/>
          <w:jc w:val="center"/>
        </w:trPr>
        <w:tc>
          <w:tcPr>
            <w:tcW w:w="631" w:type="dxa"/>
            <w:vAlign w:val="center"/>
          </w:tcPr>
          <w:p w14:paraId="5D014DF5" w14:textId="0B0B40EF" w:rsidR="004D69DD" w:rsidRPr="00D84FEF" w:rsidRDefault="00A26234" w:rsidP="009E6ED4">
            <w:pPr>
              <w:pStyle w:val="Paragraph"/>
              <w:spacing w:after="0" w:line="240" w:lineRule="auto"/>
              <w:jc w:val="center"/>
              <w:rPr>
                <w:noProof/>
                <w:sz w:val="22"/>
                <w:szCs w:val="22"/>
                <w:lang w:val="en-IE"/>
              </w:rPr>
            </w:pPr>
            <w:r w:rsidRPr="00D84FEF">
              <w:rPr>
                <w:noProof/>
                <w:sz w:val="22"/>
                <w:szCs w:val="22"/>
                <w:lang w:val="en-IE"/>
              </w:rPr>
              <w:t>0.2</w:t>
            </w:r>
            <w:r w:rsidR="00D9227B" w:rsidRPr="00D84FEF">
              <w:rPr>
                <w:noProof/>
                <w:sz w:val="22"/>
                <w:szCs w:val="22"/>
                <w:lang w:val="en-IE"/>
              </w:rPr>
              <w:t>3</w:t>
            </w:r>
          </w:p>
        </w:tc>
        <w:tc>
          <w:tcPr>
            <w:tcW w:w="641" w:type="dxa"/>
            <w:vAlign w:val="center"/>
          </w:tcPr>
          <w:p w14:paraId="16189263" w14:textId="49C6C726" w:rsidR="004D69DD" w:rsidRPr="00D84FEF" w:rsidRDefault="00FE72B2" w:rsidP="009E6ED4">
            <w:pPr>
              <w:pStyle w:val="Paragraph"/>
              <w:spacing w:after="0" w:line="240" w:lineRule="auto"/>
              <w:jc w:val="center"/>
              <w:rPr>
                <w:noProof/>
                <w:sz w:val="22"/>
                <w:szCs w:val="22"/>
                <w:lang w:val="en-IE"/>
              </w:rPr>
            </w:pPr>
            <w:r w:rsidRPr="00D84FEF">
              <w:rPr>
                <w:noProof/>
                <w:sz w:val="22"/>
                <w:szCs w:val="22"/>
                <w:lang w:val="en-IE"/>
              </w:rPr>
              <w:t>0.20</w:t>
            </w:r>
          </w:p>
        </w:tc>
        <w:tc>
          <w:tcPr>
            <w:tcW w:w="657" w:type="dxa"/>
            <w:vAlign w:val="center"/>
          </w:tcPr>
          <w:p w14:paraId="47B4A666" w14:textId="72965A1E" w:rsidR="004D69DD" w:rsidRPr="00D84FEF" w:rsidRDefault="00FE72B2" w:rsidP="009E6ED4">
            <w:pPr>
              <w:pStyle w:val="Paragraph"/>
              <w:spacing w:after="0" w:line="240" w:lineRule="auto"/>
              <w:jc w:val="center"/>
              <w:rPr>
                <w:noProof/>
                <w:sz w:val="22"/>
                <w:szCs w:val="22"/>
                <w:lang w:val="en-IE"/>
              </w:rPr>
            </w:pPr>
            <w:r w:rsidRPr="00D84FEF">
              <w:rPr>
                <w:noProof/>
                <w:sz w:val="22"/>
                <w:szCs w:val="22"/>
                <w:lang w:val="en-IE"/>
              </w:rPr>
              <w:t>0.1</w:t>
            </w:r>
            <w:r w:rsidR="00EF26F8">
              <w:rPr>
                <w:noProof/>
                <w:sz w:val="22"/>
                <w:szCs w:val="22"/>
                <w:lang w:val="en-IE"/>
              </w:rPr>
              <w:t>3</w:t>
            </w:r>
          </w:p>
        </w:tc>
        <w:tc>
          <w:tcPr>
            <w:tcW w:w="657" w:type="dxa"/>
            <w:vAlign w:val="center"/>
          </w:tcPr>
          <w:p w14:paraId="78606700" w14:textId="7CD32980" w:rsidR="004D69DD" w:rsidRPr="00D84FEF" w:rsidRDefault="00716B7E" w:rsidP="009E6ED4">
            <w:pPr>
              <w:pStyle w:val="Paragraph"/>
              <w:spacing w:after="0" w:line="240" w:lineRule="auto"/>
              <w:jc w:val="center"/>
              <w:rPr>
                <w:noProof/>
                <w:sz w:val="22"/>
                <w:szCs w:val="22"/>
                <w:lang w:val="en-IE"/>
              </w:rPr>
            </w:pPr>
            <w:r w:rsidRPr="00D84FEF">
              <w:rPr>
                <w:noProof/>
                <w:sz w:val="22"/>
                <w:szCs w:val="22"/>
                <w:lang w:val="en-IE"/>
              </w:rPr>
              <w:t>0.1</w:t>
            </w:r>
            <w:r w:rsidR="00D9227B" w:rsidRPr="00D84FEF">
              <w:rPr>
                <w:noProof/>
                <w:sz w:val="22"/>
                <w:szCs w:val="22"/>
                <w:lang w:val="en-IE"/>
              </w:rPr>
              <w:t>5</w:t>
            </w:r>
          </w:p>
        </w:tc>
        <w:tc>
          <w:tcPr>
            <w:tcW w:w="640" w:type="dxa"/>
            <w:vAlign w:val="center"/>
          </w:tcPr>
          <w:p w14:paraId="255C63F0" w14:textId="4BEC1FB1" w:rsidR="004D69DD" w:rsidRPr="00D84FEF" w:rsidRDefault="00FE72B2" w:rsidP="009E6ED4">
            <w:pPr>
              <w:pStyle w:val="Paragraph"/>
              <w:spacing w:after="0" w:line="240" w:lineRule="auto"/>
              <w:jc w:val="center"/>
              <w:rPr>
                <w:noProof/>
                <w:sz w:val="22"/>
                <w:szCs w:val="22"/>
                <w:lang w:val="en-IE"/>
              </w:rPr>
            </w:pPr>
            <w:r w:rsidRPr="00D84FEF">
              <w:rPr>
                <w:noProof/>
                <w:sz w:val="22"/>
                <w:szCs w:val="22"/>
                <w:lang w:val="en-IE"/>
              </w:rPr>
              <w:t>0.11</w:t>
            </w:r>
          </w:p>
        </w:tc>
        <w:tc>
          <w:tcPr>
            <w:tcW w:w="649" w:type="dxa"/>
            <w:vAlign w:val="center"/>
          </w:tcPr>
          <w:p w14:paraId="6472A841" w14:textId="6C82C872" w:rsidR="004D69DD" w:rsidRPr="00D84FEF" w:rsidRDefault="00716B7E" w:rsidP="009E6ED4">
            <w:pPr>
              <w:pStyle w:val="Paragraph"/>
              <w:spacing w:after="0" w:line="240" w:lineRule="auto"/>
              <w:jc w:val="center"/>
              <w:rPr>
                <w:noProof/>
                <w:sz w:val="22"/>
                <w:szCs w:val="22"/>
                <w:lang w:val="en-IE"/>
              </w:rPr>
            </w:pPr>
            <w:r w:rsidRPr="00D84FEF">
              <w:rPr>
                <w:noProof/>
                <w:sz w:val="22"/>
                <w:szCs w:val="22"/>
                <w:lang w:val="en-IE"/>
              </w:rPr>
              <w:t>0.1</w:t>
            </w:r>
            <w:r w:rsidR="00D9227B" w:rsidRPr="00D84FEF">
              <w:rPr>
                <w:noProof/>
                <w:sz w:val="22"/>
                <w:szCs w:val="22"/>
                <w:lang w:val="en-IE"/>
              </w:rPr>
              <w:t>2</w:t>
            </w:r>
          </w:p>
        </w:tc>
        <w:tc>
          <w:tcPr>
            <w:tcW w:w="665" w:type="dxa"/>
            <w:vAlign w:val="center"/>
          </w:tcPr>
          <w:p w14:paraId="1DADBD0D" w14:textId="7050BBE4" w:rsidR="004D69DD" w:rsidRPr="00D84FEF" w:rsidRDefault="00716B7E" w:rsidP="009E6ED4">
            <w:pPr>
              <w:pStyle w:val="Paragraph"/>
              <w:spacing w:after="0" w:line="240" w:lineRule="auto"/>
              <w:jc w:val="center"/>
              <w:rPr>
                <w:noProof/>
                <w:sz w:val="22"/>
                <w:szCs w:val="22"/>
                <w:lang w:val="en-IE"/>
              </w:rPr>
            </w:pPr>
            <w:r w:rsidRPr="00D84FEF">
              <w:rPr>
                <w:noProof/>
                <w:sz w:val="22"/>
                <w:szCs w:val="22"/>
                <w:lang w:val="en-IE"/>
              </w:rPr>
              <w:t>0.18</w:t>
            </w:r>
          </w:p>
        </w:tc>
        <w:tc>
          <w:tcPr>
            <w:tcW w:w="632" w:type="dxa"/>
            <w:vAlign w:val="center"/>
          </w:tcPr>
          <w:p w14:paraId="2D3A63BB" w14:textId="64450B0B" w:rsidR="004D69DD" w:rsidRPr="00D84FEF" w:rsidRDefault="00716B7E" w:rsidP="009E6ED4">
            <w:pPr>
              <w:pStyle w:val="Paragraph"/>
              <w:spacing w:after="0" w:line="240" w:lineRule="auto"/>
              <w:jc w:val="center"/>
              <w:rPr>
                <w:noProof/>
                <w:sz w:val="22"/>
                <w:szCs w:val="22"/>
                <w:lang w:val="en-IE"/>
              </w:rPr>
            </w:pPr>
            <w:r w:rsidRPr="00D84FEF">
              <w:rPr>
                <w:noProof/>
                <w:sz w:val="22"/>
                <w:szCs w:val="22"/>
                <w:lang w:val="en-IE"/>
              </w:rPr>
              <w:t>0.17</w:t>
            </w:r>
          </w:p>
        </w:tc>
        <w:tc>
          <w:tcPr>
            <w:tcW w:w="632" w:type="dxa"/>
            <w:vAlign w:val="center"/>
          </w:tcPr>
          <w:p w14:paraId="3410C5C4" w14:textId="47C59085" w:rsidR="004D69DD" w:rsidRPr="00D84FEF" w:rsidRDefault="00716B7E" w:rsidP="009E6ED4">
            <w:pPr>
              <w:pStyle w:val="Paragraph"/>
              <w:spacing w:after="0" w:line="240" w:lineRule="auto"/>
              <w:jc w:val="center"/>
              <w:rPr>
                <w:noProof/>
                <w:sz w:val="22"/>
                <w:szCs w:val="22"/>
                <w:lang w:val="en-IE"/>
              </w:rPr>
            </w:pPr>
            <w:r w:rsidRPr="00D84FEF">
              <w:rPr>
                <w:noProof/>
                <w:sz w:val="22"/>
                <w:szCs w:val="22"/>
                <w:lang w:val="en-IE"/>
              </w:rPr>
              <w:t>0.12</w:t>
            </w:r>
          </w:p>
        </w:tc>
        <w:tc>
          <w:tcPr>
            <w:tcW w:w="632" w:type="dxa"/>
            <w:vAlign w:val="center"/>
          </w:tcPr>
          <w:p w14:paraId="027FB8F6" w14:textId="01460AE6" w:rsidR="004D69DD" w:rsidRPr="00D84FEF" w:rsidRDefault="00716B7E" w:rsidP="009E6ED4">
            <w:pPr>
              <w:pStyle w:val="Paragraph"/>
              <w:spacing w:after="0" w:line="240" w:lineRule="auto"/>
              <w:jc w:val="center"/>
              <w:rPr>
                <w:noProof/>
                <w:sz w:val="22"/>
                <w:szCs w:val="22"/>
                <w:lang w:val="en-IE"/>
              </w:rPr>
            </w:pPr>
            <w:r w:rsidRPr="00D84FEF">
              <w:rPr>
                <w:noProof/>
                <w:sz w:val="22"/>
                <w:szCs w:val="22"/>
                <w:lang w:val="en-IE"/>
              </w:rPr>
              <w:t>0.16</w:t>
            </w:r>
          </w:p>
        </w:tc>
        <w:tc>
          <w:tcPr>
            <w:tcW w:w="657" w:type="dxa"/>
            <w:vAlign w:val="center"/>
          </w:tcPr>
          <w:p w14:paraId="78E77727" w14:textId="771CBF17" w:rsidR="004D69DD" w:rsidRPr="00D84FEF" w:rsidRDefault="009E6ED4" w:rsidP="009E6ED4">
            <w:pPr>
              <w:pStyle w:val="Paragraph"/>
              <w:spacing w:after="0" w:line="240" w:lineRule="auto"/>
              <w:jc w:val="center"/>
              <w:rPr>
                <w:noProof/>
                <w:sz w:val="22"/>
                <w:szCs w:val="22"/>
                <w:lang w:val="en-IE"/>
              </w:rPr>
            </w:pPr>
            <w:r w:rsidRPr="00D84FEF">
              <w:rPr>
                <w:noProof/>
                <w:sz w:val="22"/>
                <w:szCs w:val="22"/>
                <w:lang w:val="en-IE"/>
              </w:rPr>
              <w:t>0.08</w:t>
            </w:r>
          </w:p>
        </w:tc>
        <w:tc>
          <w:tcPr>
            <w:tcW w:w="665" w:type="dxa"/>
            <w:vAlign w:val="center"/>
          </w:tcPr>
          <w:p w14:paraId="62D2FF71" w14:textId="23CBE321" w:rsidR="004D69DD" w:rsidRPr="00D84FEF" w:rsidRDefault="009E6ED4" w:rsidP="009E6ED4">
            <w:pPr>
              <w:pStyle w:val="Paragraph"/>
              <w:spacing w:after="0" w:line="240" w:lineRule="auto"/>
              <w:jc w:val="center"/>
              <w:rPr>
                <w:noProof/>
                <w:sz w:val="22"/>
                <w:szCs w:val="22"/>
                <w:lang w:val="en-IE"/>
              </w:rPr>
            </w:pPr>
            <w:r w:rsidRPr="00D84FEF">
              <w:rPr>
                <w:noProof/>
                <w:sz w:val="22"/>
                <w:szCs w:val="22"/>
                <w:lang w:val="en-IE"/>
              </w:rPr>
              <w:t>0.1</w:t>
            </w:r>
            <w:r w:rsidR="00D9227B" w:rsidRPr="00D84FEF">
              <w:rPr>
                <w:noProof/>
                <w:sz w:val="22"/>
                <w:szCs w:val="22"/>
                <w:lang w:val="en-IE"/>
              </w:rPr>
              <w:t>5</w:t>
            </w:r>
          </w:p>
        </w:tc>
        <w:tc>
          <w:tcPr>
            <w:tcW w:w="601" w:type="dxa"/>
            <w:vAlign w:val="center"/>
          </w:tcPr>
          <w:p w14:paraId="539E6E96" w14:textId="290F8020" w:rsidR="004D69DD" w:rsidRPr="00D84FEF" w:rsidRDefault="009E6ED4" w:rsidP="0065549F">
            <w:pPr>
              <w:pStyle w:val="Paragraph"/>
              <w:spacing w:after="0" w:line="240" w:lineRule="auto"/>
              <w:jc w:val="center"/>
              <w:rPr>
                <w:noProof/>
                <w:sz w:val="22"/>
                <w:szCs w:val="22"/>
                <w:lang w:val="en-IE"/>
              </w:rPr>
            </w:pPr>
            <w:r w:rsidRPr="00D84FEF">
              <w:rPr>
                <w:noProof/>
                <w:sz w:val="22"/>
                <w:szCs w:val="22"/>
                <w:lang w:val="en-IE"/>
              </w:rPr>
              <w:t>0.1</w:t>
            </w:r>
            <w:r w:rsidR="00D9227B" w:rsidRPr="00D84FEF">
              <w:rPr>
                <w:noProof/>
                <w:sz w:val="22"/>
                <w:szCs w:val="22"/>
                <w:lang w:val="en-IE"/>
              </w:rPr>
              <w:t>8</w:t>
            </w:r>
          </w:p>
        </w:tc>
        <w:tc>
          <w:tcPr>
            <w:tcW w:w="657" w:type="dxa"/>
            <w:vAlign w:val="center"/>
          </w:tcPr>
          <w:p w14:paraId="000556D9" w14:textId="52B312F5" w:rsidR="004D69DD" w:rsidRPr="00D84FEF" w:rsidRDefault="00864C79" w:rsidP="009E6ED4">
            <w:pPr>
              <w:pStyle w:val="Paragraph"/>
              <w:spacing w:after="0" w:line="240" w:lineRule="auto"/>
              <w:jc w:val="center"/>
              <w:rPr>
                <w:rFonts w:eastAsia="Calibri"/>
                <w:b/>
                <w:noProof/>
                <w:sz w:val="22"/>
                <w:szCs w:val="22"/>
                <w:lang w:val="en-IE"/>
              </w:rPr>
            </w:pPr>
            <w:r w:rsidRPr="00D84FEF">
              <w:rPr>
                <w:b/>
                <w:noProof/>
                <w:sz w:val="22"/>
                <w:szCs w:val="22"/>
                <w:lang w:val="en-IE"/>
              </w:rPr>
              <w:t>0.16</w:t>
            </w:r>
          </w:p>
        </w:tc>
      </w:tr>
    </w:tbl>
    <w:p w14:paraId="7AA0264C" w14:textId="3A37F829" w:rsidR="00E55216" w:rsidRDefault="00E55216">
      <w:pPr>
        <w:suppressAutoHyphens w:val="0"/>
        <w:rPr>
          <w:noProof/>
          <w:sz w:val="2"/>
          <w:szCs w:val="2"/>
        </w:rPr>
      </w:pPr>
      <w:r>
        <w:rPr>
          <w:noProof/>
          <w:sz w:val="2"/>
          <w:szCs w:val="2"/>
        </w:rPr>
        <w:br w:type="page"/>
      </w:r>
    </w:p>
    <w:p w14:paraId="10381191" w14:textId="77777777" w:rsidR="00E55216" w:rsidRPr="006E0577" w:rsidRDefault="00E55216" w:rsidP="006E0577">
      <w:pPr>
        <w:spacing w:after="0" w:line="120" w:lineRule="auto"/>
        <w:rPr>
          <w:noProof/>
          <w:sz w:val="2"/>
          <w:szCs w:val="2"/>
        </w:rPr>
      </w:pPr>
    </w:p>
    <w:p w14:paraId="46E097B1" w14:textId="0D0C1EE6" w:rsidR="00331E60" w:rsidRPr="00E9362C" w:rsidRDefault="00331E60" w:rsidP="0065549F">
      <w:pPr>
        <w:pStyle w:val="Heading3"/>
        <w:spacing w:before="0" w:after="160" w:line="250" w:lineRule="auto"/>
        <w:rPr>
          <w:rFonts w:ascii="Times New Roman" w:hAnsi="Times New Roman"/>
          <w:b/>
          <w:bCs/>
          <w:noProof/>
          <w:color w:val="auto"/>
        </w:rPr>
      </w:pPr>
      <w:bookmarkStart w:id="118" w:name="_Toc220103459"/>
      <w:r w:rsidRPr="00E9362C">
        <w:rPr>
          <w:rFonts w:ascii="Times New Roman" w:hAnsi="Times New Roman"/>
          <w:b/>
          <w:bCs/>
          <w:noProof/>
          <w:color w:val="auto"/>
        </w:rPr>
        <w:t>KPI 2</w:t>
      </w:r>
      <w:r w:rsidR="005F35CF">
        <w:rPr>
          <w:rFonts w:ascii="Times New Roman" w:hAnsi="Times New Roman"/>
          <w:b/>
          <w:bCs/>
          <w:noProof/>
          <w:color w:val="auto"/>
        </w:rPr>
        <w:t>3</w:t>
      </w:r>
      <w:r w:rsidRPr="00E9362C">
        <w:rPr>
          <w:rFonts w:ascii="Times New Roman" w:hAnsi="Times New Roman"/>
          <w:b/>
          <w:bCs/>
          <w:noProof/>
          <w:color w:val="auto"/>
        </w:rPr>
        <w:t>: Electrification</w:t>
      </w:r>
      <w:r w:rsidR="002432C3" w:rsidRPr="00E9362C">
        <w:rPr>
          <w:rFonts w:ascii="Times New Roman" w:hAnsi="Times New Roman"/>
          <w:b/>
          <w:bCs/>
          <w:noProof/>
          <w:color w:val="auto"/>
        </w:rPr>
        <w:t xml:space="preserve"> rate</w:t>
      </w:r>
      <w:bookmarkEnd w:id="118"/>
    </w:p>
    <w:p w14:paraId="31283140" w14:textId="250A038C" w:rsidR="00331E60" w:rsidRPr="00486446" w:rsidRDefault="000D5236" w:rsidP="006E0577">
      <w:pPr>
        <w:pStyle w:val="Paragraph"/>
        <w:spacing w:line="250" w:lineRule="auto"/>
        <w:rPr>
          <w:noProof/>
          <w:lang w:val="en-IE"/>
        </w:rPr>
      </w:pPr>
      <w:r w:rsidRPr="00486446">
        <w:rPr>
          <w:noProof/>
          <w:lang w:val="en-IE"/>
        </w:rPr>
        <w:t>KPI</w:t>
      </w:r>
      <w:r w:rsidR="00331E60" w:rsidRPr="00486446">
        <w:rPr>
          <w:noProof/>
          <w:lang w:val="en-IE"/>
        </w:rPr>
        <w:t xml:space="preserve"> 2</w:t>
      </w:r>
      <w:r w:rsidR="005F35CF">
        <w:rPr>
          <w:noProof/>
          <w:lang w:val="en-IE"/>
        </w:rPr>
        <w:t>3</w:t>
      </w:r>
      <w:r w:rsidR="00331E60" w:rsidRPr="00486446">
        <w:rPr>
          <w:noProof/>
          <w:lang w:val="en-IE"/>
        </w:rPr>
        <w:t xml:space="preserve"> shows </w:t>
      </w:r>
      <w:r w:rsidR="00C2407F" w:rsidRPr="00486446">
        <w:rPr>
          <w:noProof/>
          <w:lang w:val="en-IE"/>
        </w:rPr>
        <w:t xml:space="preserve">the consumption of </w:t>
      </w:r>
      <w:r w:rsidR="00331E60" w:rsidRPr="00486446">
        <w:rPr>
          <w:noProof/>
          <w:lang w:val="en-IE"/>
        </w:rPr>
        <w:t xml:space="preserve">electricity as a share of the </w:t>
      </w:r>
      <w:r w:rsidR="005D14D1">
        <w:rPr>
          <w:noProof/>
          <w:lang w:val="en-IE"/>
        </w:rPr>
        <w:t>final</w:t>
      </w:r>
      <w:r w:rsidR="005D14D1" w:rsidRPr="00486446">
        <w:rPr>
          <w:noProof/>
          <w:lang w:val="en-IE"/>
        </w:rPr>
        <w:t xml:space="preserve"> </w:t>
      </w:r>
      <w:r w:rsidR="00C2407F" w:rsidRPr="00486446">
        <w:rPr>
          <w:noProof/>
          <w:lang w:val="en-IE"/>
        </w:rPr>
        <w:t xml:space="preserve"> </w:t>
      </w:r>
      <w:r w:rsidR="00331E60" w:rsidRPr="00486446">
        <w:rPr>
          <w:noProof/>
          <w:lang w:val="en-IE"/>
        </w:rPr>
        <w:t>energy consumption.</w:t>
      </w:r>
      <w:r w:rsidR="20D7D43E" w:rsidRPr="1F6BD21A">
        <w:rPr>
          <w:noProof/>
          <w:lang w:val="en-IE"/>
        </w:rPr>
        <w:t xml:space="preserve"> Final energy consumption is the total energy consumed by end users, such as households, industry, agriculture and transport (inc</w:t>
      </w:r>
      <w:r w:rsidR="00516E0A">
        <w:rPr>
          <w:noProof/>
          <w:lang w:val="en-IE"/>
        </w:rPr>
        <w:t>luding</w:t>
      </w:r>
      <w:r w:rsidR="20D7D43E" w:rsidRPr="1F6BD21A">
        <w:rPr>
          <w:noProof/>
          <w:lang w:val="en-IE"/>
        </w:rPr>
        <w:t xml:space="preserve"> </w:t>
      </w:r>
      <w:r w:rsidR="000F797E" w:rsidRPr="1F6BD21A">
        <w:rPr>
          <w:noProof/>
          <w:lang w:val="en-IE"/>
        </w:rPr>
        <w:t>I</w:t>
      </w:r>
      <w:r w:rsidR="20D7D43E" w:rsidRPr="1F6BD21A">
        <w:rPr>
          <w:noProof/>
          <w:lang w:val="en-IE"/>
        </w:rPr>
        <w:t>ntra</w:t>
      </w:r>
      <w:r w:rsidR="000F797E">
        <w:rPr>
          <w:noProof/>
          <w:lang w:val="en-IE"/>
        </w:rPr>
        <w:t>-</w:t>
      </w:r>
      <w:r w:rsidR="20D7D43E" w:rsidRPr="1F6BD21A">
        <w:rPr>
          <w:noProof/>
          <w:lang w:val="en-IE"/>
        </w:rPr>
        <w:t>EU aviation, but excluding international aviation). It excludes energy used in transformation processes, fuels used for non-energy purposes and energy used by the energy sector.</w:t>
      </w:r>
    </w:p>
    <w:p w14:paraId="5202EC64" w14:textId="77777777" w:rsidR="0069041A" w:rsidRDefault="000D5236" w:rsidP="006E0577">
      <w:pPr>
        <w:pStyle w:val="Paragraph"/>
        <w:spacing w:line="250" w:lineRule="auto"/>
        <w:rPr>
          <w:noProof/>
        </w:rPr>
      </w:pPr>
      <w:r w:rsidRPr="00486446">
        <w:rPr>
          <w:noProof/>
          <w:lang w:val="en-IE"/>
        </w:rPr>
        <w:t>This KPI tracks progress against the objective laid down in the Clean Industrial Deal</w:t>
      </w:r>
      <w:r w:rsidR="00F15D3C" w:rsidRPr="00486446">
        <w:rPr>
          <w:noProof/>
          <w:lang w:val="en-IE"/>
        </w:rPr>
        <w:t xml:space="preserve"> of</w:t>
      </w:r>
      <w:r w:rsidR="004D29FE" w:rsidRPr="00486446">
        <w:rPr>
          <w:noProof/>
          <w:lang w:val="en-IE"/>
        </w:rPr>
        <w:t xml:space="preserve"> increasing the </w:t>
      </w:r>
      <w:r w:rsidR="004D29FE" w:rsidRPr="00486446">
        <w:rPr>
          <w:noProof/>
        </w:rPr>
        <w:t>economy-wide electrification rate to 32% by 2030.</w:t>
      </w:r>
      <w:r w:rsidR="69934A03" w:rsidRPr="34317150">
        <w:rPr>
          <w:noProof/>
        </w:rPr>
        <w:t xml:space="preserve"> </w:t>
      </w:r>
    </w:p>
    <w:p w14:paraId="0044D82C" w14:textId="2FA2DF6E" w:rsidR="000D5236" w:rsidRDefault="0069041A" w:rsidP="006E0577">
      <w:pPr>
        <w:pStyle w:val="Paragraph"/>
        <w:spacing w:line="250" w:lineRule="auto"/>
        <w:rPr>
          <w:noProof/>
        </w:rPr>
      </w:pPr>
      <w:r>
        <w:rPr>
          <w:noProof/>
        </w:rPr>
        <w:t>T</w:t>
      </w:r>
      <w:r w:rsidR="69934A03" w:rsidRPr="34317150">
        <w:rPr>
          <w:noProof/>
        </w:rPr>
        <w:t xml:space="preserve">he share of electrification has remained </w:t>
      </w:r>
      <w:r w:rsidR="004C75DD">
        <w:rPr>
          <w:noProof/>
        </w:rPr>
        <w:t>unchanged</w:t>
      </w:r>
      <w:r w:rsidR="004C75DD" w:rsidRPr="34317150">
        <w:rPr>
          <w:noProof/>
        </w:rPr>
        <w:t xml:space="preserve"> </w:t>
      </w:r>
      <w:r w:rsidR="00467A64">
        <w:rPr>
          <w:noProof/>
        </w:rPr>
        <w:t xml:space="preserve">at around 23% </w:t>
      </w:r>
      <w:r w:rsidR="69934A03" w:rsidRPr="34317150">
        <w:rPr>
          <w:noProof/>
        </w:rPr>
        <w:t>over the last decade</w:t>
      </w:r>
      <w:r w:rsidR="005B170C">
        <w:rPr>
          <w:rStyle w:val="FootnoteReference"/>
          <w:noProof/>
        </w:rPr>
        <w:footnoteReference w:id="24"/>
      </w:r>
      <w:r w:rsidR="69934A03" w:rsidRPr="34317150">
        <w:rPr>
          <w:noProof/>
        </w:rPr>
        <w:t>.</w:t>
      </w:r>
    </w:p>
    <w:p w14:paraId="11CFB1E5" w14:textId="77777777" w:rsidR="000C0B93" w:rsidRPr="00486446" w:rsidRDefault="000C0B93" w:rsidP="006E0577">
      <w:pPr>
        <w:pStyle w:val="Paragraph"/>
        <w:spacing w:line="250" w:lineRule="auto"/>
        <w:rPr>
          <w:noProof/>
          <w:lang w:val="en-IE"/>
        </w:rPr>
      </w:pPr>
    </w:p>
    <w:p w14:paraId="6396F015" w14:textId="0C36C8DC" w:rsidR="00734EFB" w:rsidRPr="00486446" w:rsidRDefault="00331E60" w:rsidP="006E0577">
      <w:pPr>
        <w:pStyle w:val="Paragraph"/>
        <w:spacing w:line="250" w:lineRule="auto"/>
        <w:rPr>
          <w:noProof/>
        </w:rPr>
      </w:pPr>
      <w:r w:rsidRPr="00486446">
        <w:rPr>
          <w:b/>
          <w:bCs/>
          <w:noProof/>
          <w:lang w:val="en-IE"/>
        </w:rPr>
        <w:t>Figure 2</w:t>
      </w:r>
      <w:r w:rsidR="005F35CF">
        <w:rPr>
          <w:b/>
          <w:bCs/>
          <w:noProof/>
          <w:lang w:val="en-IE"/>
        </w:rPr>
        <w:t>3</w:t>
      </w:r>
      <w:r w:rsidRPr="00486446">
        <w:rPr>
          <w:b/>
          <w:bCs/>
          <w:noProof/>
          <w:lang w:val="en-IE"/>
        </w:rPr>
        <w:t>:</w:t>
      </w:r>
      <w:r w:rsidRPr="00486446">
        <w:rPr>
          <w:noProof/>
          <w:lang w:val="en-IE"/>
        </w:rPr>
        <w:t xml:space="preserve"> </w:t>
      </w:r>
      <w:r w:rsidR="0048349B">
        <w:rPr>
          <w:noProof/>
          <w:lang w:val="en-IE"/>
        </w:rPr>
        <w:t>Evolution of</w:t>
      </w:r>
      <w:r w:rsidR="008E22BD" w:rsidRPr="00486446">
        <w:rPr>
          <w:noProof/>
          <w:lang w:val="en-IE"/>
        </w:rPr>
        <w:t xml:space="preserve"> </w:t>
      </w:r>
      <w:r w:rsidR="00CF7A11" w:rsidRPr="00486446">
        <w:rPr>
          <w:noProof/>
          <w:lang w:val="en-IE"/>
        </w:rPr>
        <w:t xml:space="preserve">the </w:t>
      </w:r>
      <w:r w:rsidR="00503AD7" w:rsidRPr="00486446">
        <w:rPr>
          <w:noProof/>
          <w:lang w:val="en-IE"/>
        </w:rPr>
        <w:t xml:space="preserve">EU average </w:t>
      </w:r>
      <w:r w:rsidR="00503AD7" w:rsidRPr="00486446">
        <w:rPr>
          <w:noProof/>
        </w:rPr>
        <w:t>e</w:t>
      </w:r>
      <w:r w:rsidR="002432C3" w:rsidRPr="00486446">
        <w:rPr>
          <w:noProof/>
        </w:rPr>
        <w:t>lectrification rate</w:t>
      </w:r>
      <w:r w:rsidR="0040726C" w:rsidRPr="00486446">
        <w:rPr>
          <w:noProof/>
        </w:rPr>
        <w:t>.</w:t>
      </w:r>
    </w:p>
    <w:p w14:paraId="5D8BE640" w14:textId="049D6C43" w:rsidR="00331E60" w:rsidRPr="00486446" w:rsidRDefault="00B22BF6" w:rsidP="00EB17F0">
      <w:pPr>
        <w:pStyle w:val="Paragraph"/>
        <w:jc w:val="center"/>
        <w:rPr>
          <w:b/>
          <w:noProof/>
          <w:lang w:val="en-IE"/>
        </w:rPr>
      </w:pPr>
      <w:r>
        <w:rPr>
          <w:noProof/>
          <w:lang w:eastAsia="en-GB"/>
        </w:rPr>
        <w:drawing>
          <wp:inline distT="0" distB="0" distL="0" distR="0" wp14:anchorId="6A408386" wp14:editId="205EA0E0">
            <wp:extent cx="5731510" cy="3352800"/>
            <wp:effectExtent l="0" t="0" r="2540" b="0"/>
            <wp:docPr id="16894396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439692" name=""/>
                    <pic:cNvPicPr/>
                  </pic:nvPicPr>
                  <pic:blipFill>
                    <a:blip r:embed="rId92">
                      <a:extLst>
                        <a:ext uri="{96DAC541-7B7A-43D3-8B79-37D633B846F1}">
                          <asvg:svgBlip xmlns:asvg="http://schemas.microsoft.com/office/drawing/2016/SVG/main" r:embed="rId93"/>
                        </a:ext>
                      </a:extLst>
                    </a:blip>
                    <a:stretch>
                      <a:fillRect/>
                    </a:stretch>
                  </pic:blipFill>
                  <pic:spPr>
                    <a:xfrm>
                      <a:off x="0" y="0"/>
                      <a:ext cx="5731510" cy="3352800"/>
                    </a:xfrm>
                    <a:prstGeom prst="rect">
                      <a:avLst/>
                    </a:prstGeom>
                  </pic:spPr>
                </pic:pic>
              </a:graphicData>
            </a:graphic>
          </wp:inline>
        </w:drawing>
      </w:r>
    </w:p>
    <w:p w14:paraId="5B0D0F92" w14:textId="6AA738A7" w:rsidR="00331E60" w:rsidRPr="00486446" w:rsidRDefault="00331E60" w:rsidP="00331E60">
      <w:pPr>
        <w:pStyle w:val="Source"/>
        <w:rPr>
          <w:noProof/>
          <w:color w:val="auto"/>
        </w:rPr>
      </w:pPr>
      <w:r w:rsidRPr="00486446">
        <w:rPr>
          <w:noProof/>
          <w:color w:val="auto"/>
          <w:lang w:val="en-IE"/>
        </w:rPr>
        <w:t>Source:</w:t>
      </w:r>
      <w:r w:rsidRPr="00486446">
        <w:rPr>
          <w:rFonts w:eastAsia="Calibri"/>
          <w:noProof/>
          <w:color w:val="auto"/>
        </w:rPr>
        <w:t xml:space="preserve"> </w:t>
      </w:r>
      <w:r w:rsidRPr="00486446">
        <w:rPr>
          <w:noProof/>
          <w:color w:val="auto"/>
        </w:rPr>
        <w:t>Eurostat</w:t>
      </w:r>
    </w:p>
    <w:p w14:paraId="28389E4A" w14:textId="3C6B66A6" w:rsidR="00331E60" w:rsidRPr="00486446" w:rsidRDefault="00331E60" w:rsidP="006E0577">
      <w:pPr>
        <w:spacing w:after="160" w:line="250" w:lineRule="auto"/>
        <w:jc w:val="both"/>
        <w:rPr>
          <w:rFonts w:ascii="Times New Roman" w:eastAsia="Times New Roman" w:hAnsi="Times New Roman" w:cs="Times New Roman"/>
          <w:noProof/>
          <w:sz w:val="24"/>
          <w:szCs w:val="24"/>
          <w:lang w:val="en-IE"/>
        </w:rPr>
      </w:pPr>
      <w:r w:rsidRPr="00BA70D2">
        <w:rPr>
          <w:rFonts w:ascii="Times New Roman" w:eastAsia="Times New Roman" w:hAnsi="Times New Roman" w:cs="Times New Roman"/>
          <w:noProof/>
          <w:sz w:val="24"/>
          <w:szCs w:val="24"/>
          <w:lang w:val="en-IE"/>
        </w:rPr>
        <w:t>National data</w:t>
      </w:r>
      <w:r w:rsidR="002C2066" w:rsidRPr="00BA70D2">
        <w:rPr>
          <w:rFonts w:ascii="Times New Roman" w:eastAsia="Times New Roman" w:hAnsi="Times New Roman" w:cs="Times New Roman"/>
          <w:noProof/>
          <w:sz w:val="24"/>
          <w:szCs w:val="24"/>
          <w:lang w:val="en-IE"/>
        </w:rPr>
        <w:t>, %</w:t>
      </w:r>
      <w:r w:rsidRPr="00BA70D2">
        <w:rPr>
          <w:rFonts w:ascii="Times New Roman" w:eastAsia="Times New Roman" w:hAnsi="Times New Roman" w:cs="Times New Roman"/>
          <w:noProof/>
          <w:sz w:val="24"/>
          <w:szCs w:val="24"/>
          <w:lang w:val="en-IE"/>
        </w:rPr>
        <w:t xml:space="preserve"> (</w:t>
      </w:r>
      <w:r w:rsidRPr="00F97AA7">
        <w:rPr>
          <w:rFonts w:ascii="Times New Roman" w:eastAsia="Times New Roman" w:hAnsi="Times New Roman" w:cs="Times New Roman"/>
          <w:noProof/>
          <w:sz w:val="24"/>
          <w:szCs w:val="24"/>
          <w:lang w:val="en-IE"/>
        </w:rPr>
        <w:t>2023</w:t>
      </w:r>
      <w:r w:rsidRPr="00BA70D2">
        <w:rPr>
          <w:rFonts w:ascii="Times New Roman" w:eastAsia="Times New Roman" w:hAnsi="Times New Roman" w:cs="Times New Roman"/>
          <w:noProof/>
          <w:sz w:val="24"/>
          <w:szCs w:val="24"/>
          <w:lang w:val="en-IE"/>
        </w:rPr>
        <w:t>)</w:t>
      </w:r>
    </w:p>
    <w:tbl>
      <w:tblPr>
        <w:tblStyle w:val="TableGrid"/>
        <w:tblW w:w="0" w:type="auto"/>
        <w:jc w:val="center"/>
        <w:tblLook w:val="04A0" w:firstRow="1" w:lastRow="0" w:firstColumn="1" w:lastColumn="0" w:noHBand="0" w:noVBand="1"/>
      </w:tblPr>
      <w:tblGrid>
        <w:gridCol w:w="631"/>
        <w:gridCol w:w="641"/>
        <w:gridCol w:w="657"/>
        <w:gridCol w:w="657"/>
        <w:gridCol w:w="640"/>
        <w:gridCol w:w="649"/>
        <w:gridCol w:w="665"/>
        <w:gridCol w:w="632"/>
        <w:gridCol w:w="632"/>
        <w:gridCol w:w="632"/>
        <w:gridCol w:w="657"/>
        <w:gridCol w:w="665"/>
        <w:gridCol w:w="601"/>
        <w:gridCol w:w="657"/>
      </w:tblGrid>
      <w:tr w:rsidR="004D69DD" w:rsidRPr="001C633D" w14:paraId="0A5829C7" w14:textId="77777777" w:rsidTr="00221417">
        <w:trPr>
          <w:trHeight w:val="300"/>
          <w:jc w:val="center"/>
        </w:trPr>
        <w:tc>
          <w:tcPr>
            <w:tcW w:w="631" w:type="dxa"/>
            <w:shd w:val="clear" w:color="auto" w:fill="D9E2F3" w:themeFill="accent1" w:themeFillTint="33"/>
            <w:vAlign w:val="center"/>
            <w:hideMark/>
          </w:tcPr>
          <w:p w14:paraId="4D2633CA"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 xml:space="preserve">AT </w:t>
            </w:r>
          </w:p>
        </w:tc>
        <w:tc>
          <w:tcPr>
            <w:tcW w:w="641" w:type="dxa"/>
            <w:shd w:val="clear" w:color="auto" w:fill="D9E2F3" w:themeFill="accent1" w:themeFillTint="33"/>
            <w:vAlign w:val="center"/>
            <w:hideMark/>
          </w:tcPr>
          <w:p w14:paraId="4D9DB774"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BE</w:t>
            </w:r>
          </w:p>
        </w:tc>
        <w:tc>
          <w:tcPr>
            <w:tcW w:w="657" w:type="dxa"/>
            <w:shd w:val="clear" w:color="auto" w:fill="D9E2F3" w:themeFill="accent1" w:themeFillTint="33"/>
            <w:vAlign w:val="center"/>
            <w:hideMark/>
          </w:tcPr>
          <w:p w14:paraId="3693CCA3"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BG</w:t>
            </w:r>
          </w:p>
        </w:tc>
        <w:tc>
          <w:tcPr>
            <w:tcW w:w="657" w:type="dxa"/>
            <w:shd w:val="clear" w:color="auto" w:fill="D9E2F3" w:themeFill="accent1" w:themeFillTint="33"/>
            <w:vAlign w:val="center"/>
            <w:hideMark/>
          </w:tcPr>
          <w:p w14:paraId="5F1E477B"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CY</w:t>
            </w:r>
          </w:p>
        </w:tc>
        <w:tc>
          <w:tcPr>
            <w:tcW w:w="640" w:type="dxa"/>
            <w:shd w:val="clear" w:color="auto" w:fill="D9E2F3" w:themeFill="accent1" w:themeFillTint="33"/>
            <w:vAlign w:val="center"/>
            <w:hideMark/>
          </w:tcPr>
          <w:p w14:paraId="27A9115A"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CZ</w:t>
            </w:r>
          </w:p>
        </w:tc>
        <w:tc>
          <w:tcPr>
            <w:tcW w:w="649" w:type="dxa"/>
            <w:shd w:val="clear" w:color="auto" w:fill="D9E2F3" w:themeFill="accent1" w:themeFillTint="33"/>
            <w:vAlign w:val="center"/>
            <w:hideMark/>
          </w:tcPr>
          <w:p w14:paraId="1C0B711B"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DE</w:t>
            </w:r>
          </w:p>
        </w:tc>
        <w:tc>
          <w:tcPr>
            <w:tcW w:w="665" w:type="dxa"/>
            <w:shd w:val="clear" w:color="auto" w:fill="D9E2F3" w:themeFill="accent1" w:themeFillTint="33"/>
            <w:vAlign w:val="center"/>
            <w:hideMark/>
          </w:tcPr>
          <w:p w14:paraId="7DFED04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DK</w:t>
            </w:r>
          </w:p>
        </w:tc>
        <w:tc>
          <w:tcPr>
            <w:tcW w:w="632" w:type="dxa"/>
            <w:shd w:val="clear" w:color="auto" w:fill="D9E2F3" w:themeFill="accent1" w:themeFillTint="33"/>
            <w:vAlign w:val="center"/>
            <w:hideMark/>
          </w:tcPr>
          <w:p w14:paraId="33883757"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EE</w:t>
            </w:r>
          </w:p>
        </w:tc>
        <w:tc>
          <w:tcPr>
            <w:tcW w:w="632" w:type="dxa"/>
            <w:shd w:val="clear" w:color="auto" w:fill="D9E2F3" w:themeFill="accent1" w:themeFillTint="33"/>
            <w:vAlign w:val="center"/>
            <w:hideMark/>
          </w:tcPr>
          <w:p w14:paraId="0BBFC379"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EL</w:t>
            </w:r>
          </w:p>
        </w:tc>
        <w:tc>
          <w:tcPr>
            <w:tcW w:w="632" w:type="dxa"/>
            <w:shd w:val="clear" w:color="auto" w:fill="D9E2F3" w:themeFill="accent1" w:themeFillTint="33"/>
            <w:vAlign w:val="center"/>
            <w:hideMark/>
          </w:tcPr>
          <w:p w14:paraId="56BABBA4"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ES</w:t>
            </w:r>
          </w:p>
        </w:tc>
        <w:tc>
          <w:tcPr>
            <w:tcW w:w="657" w:type="dxa"/>
            <w:shd w:val="clear" w:color="auto" w:fill="D9E2F3" w:themeFill="accent1" w:themeFillTint="33"/>
            <w:vAlign w:val="center"/>
          </w:tcPr>
          <w:p w14:paraId="54BD75BE"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FI</w:t>
            </w:r>
          </w:p>
        </w:tc>
        <w:tc>
          <w:tcPr>
            <w:tcW w:w="665" w:type="dxa"/>
            <w:shd w:val="clear" w:color="auto" w:fill="D9E2F3" w:themeFill="accent1" w:themeFillTint="33"/>
            <w:vAlign w:val="center"/>
          </w:tcPr>
          <w:p w14:paraId="035ADAD6"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FR</w:t>
            </w:r>
          </w:p>
        </w:tc>
        <w:tc>
          <w:tcPr>
            <w:tcW w:w="601" w:type="dxa"/>
            <w:shd w:val="clear" w:color="auto" w:fill="D9E2F3" w:themeFill="accent1" w:themeFillTint="33"/>
            <w:vAlign w:val="center"/>
          </w:tcPr>
          <w:p w14:paraId="4F89EAEE"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HR</w:t>
            </w:r>
          </w:p>
        </w:tc>
        <w:tc>
          <w:tcPr>
            <w:tcW w:w="657" w:type="dxa"/>
            <w:shd w:val="clear" w:color="auto" w:fill="D9E2F3" w:themeFill="accent1" w:themeFillTint="33"/>
            <w:vAlign w:val="center"/>
          </w:tcPr>
          <w:p w14:paraId="79068639"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HU</w:t>
            </w:r>
          </w:p>
        </w:tc>
      </w:tr>
      <w:tr w:rsidR="004D69DD" w:rsidRPr="001C633D" w14:paraId="5793A06B" w14:textId="77777777" w:rsidTr="00221417">
        <w:trPr>
          <w:trHeight w:val="315"/>
          <w:jc w:val="center"/>
        </w:trPr>
        <w:tc>
          <w:tcPr>
            <w:tcW w:w="631" w:type="dxa"/>
            <w:vAlign w:val="center"/>
          </w:tcPr>
          <w:p w14:paraId="73476E83" w14:textId="4D62D4B7" w:rsidR="004D69DD" w:rsidRPr="001C633D" w:rsidRDefault="0036797A" w:rsidP="00221417">
            <w:pPr>
              <w:pStyle w:val="Paragraph"/>
              <w:spacing w:after="0" w:line="240" w:lineRule="auto"/>
              <w:jc w:val="center"/>
              <w:rPr>
                <w:noProof/>
                <w:sz w:val="22"/>
                <w:szCs w:val="22"/>
                <w:lang w:val="en-IE"/>
              </w:rPr>
            </w:pPr>
            <w:r>
              <w:rPr>
                <w:noProof/>
                <w:sz w:val="22"/>
                <w:szCs w:val="22"/>
                <w:lang w:val="en-IE"/>
              </w:rPr>
              <w:t>22.3</w:t>
            </w:r>
          </w:p>
        </w:tc>
        <w:tc>
          <w:tcPr>
            <w:tcW w:w="641" w:type="dxa"/>
            <w:vAlign w:val="center"/>
          </w:tcPr>
          <w:p w14:paraId="166792C6" w14:textId="7197904F" w:rsidR="004D69DD" w:rsidRPr="001C633D" w:rsidRDefault="00A116F0" w:rsidP="00221417">
            <w:pPr>
              <w:pStyle w:val="Paragraph"/>
              <w:spacing w:after="0" w:line="240" w:lineRule="auto"/>
              <w:jc w:val="center"/>
              <w:rPr>
                <w:noProof/>
                <w:sz w:val="22"/>
                <w:szCs w:val="22"/>
                <w:lang w:val="en-IE"/>
              </w:rPr>
            </w:pPr>
            <w:r>
              <w:rPr>
                <w:noProof/>
                <w:sz w:val="22"/>
                <w:szCs w:val="22"/>
                <w:lang w:val="en-IE"/>
              </w:rPr>
              <w:t>21.7</w:t>
            </w:r>
          </w:p>
        </w:tc>
        <w:tc>
          <w:tcPr>
            <w:tcW w:w="657" w:type="dxa"/>
            <w:vAlign w:val="center"/>
          </w:tcPr>
          <w:p w14:paraId="1E768116" w14:textId="097D6562" w:rsidR="004D69DD" w:rsidRPr="001C633D" w:rsidRDefault="00A116F0" w:rsidP="00221417">
            <w:pPr>
              <w:pStyle w:val="Paragraph"/>
              <w:spacing w:after="0" w:line="240" w:lineRule="auto"/>
              <w:jc w:val="center"/>
              <w:rPr>
                <w:noProof/>
                <w:sz w:val="22"/>
                <w:szCs w:val="22"/>
                <w:lang w:val="en-IE"/>
              </w:rPr>
            </w:pPr>
            <w:r>
              <w:rPr>
                <w:noProof/>
                <w:sz w:val="22"/>
                <w:szCs w:val="22"/>
                <w:lang w:val="en-IE"/>
              </w:rPr>
              <w:t>27.1</w:t>
            </w:r>
          </w:p>
        </w:tc>
        <w:tc>
          <w:tcPr>
            <w:tcW w:w="657" w:type="dxa"/>
            <w:vAlign w:val="center"/>
          </w:tcPr>
          <w:p w14:paraId="4342E396" w14:textId="09305F77" w:rsidR="004D69DD" w:rsidRPr="001C633D" w:rsidRDefault="00A116F0" w:rsidP="00221417">
            <w:pPr>
              <w:pStyle w:val="Paragraph"/>
              <w:spacing w:after="0" w:line="240" w:lineRule="auto"/>
              <w:jc w:val="center"/>
              <w:rPr>
                <w:noProof/>
                <w:sz w:val="22"/>
                <w:szCs w:val="22"/>
                <w:lang w:val="en-IE"/>
              </w:rPr>
            </w:pPr>
            <w:r>
              <w:rPr>
                <w:noProof/>
                <w:sz w:val="22"/>
                <w:szCs w:val="22"/>
                <w:lang w:val="en-IE"/>
              </w:rPr>
              <w:t>26.1</w:t>
            </w:r>
          </w:p>
        </w:tc>
        <w:tc>
          <w:tcPr>
            <w:tcW w:w="640" w:type="dxa"/>
            <w:vAlign w:val="center"/>
          </w:tcPr>
          <w:p w14:paraId="7821CCFA" w14:textId="0FC65BEB" w:rsidR="004D69DD" w:rsidRPr="001C633D" w:rsidRDefault="00A116F0" w:rsidP="00221417">
            <w:pPr>
              <w:pStyle w:val="Paragraph"/>
              <w:spacing w:after="0" w:line="240" w:lineRule="auto"/>
              <w:jc w:val="center"/>
              <w:rPr>
                <w:noProof/>
                <w:sz w:val="22"/>
                <w:szCs w:val="22"/>
                <w:lang w:val="en-IE"/>
              </w:rPr>
            </w:pPr>
            <w:r>
              <w:rPr>
                <w:noProof/>
                <w:sz w:val="22"/>
                <w:szCs w:val="22"/>
                <w:lang w:val="en-IE"/>
              </w:rPr>
              <w:t>21.3</w:t>
            </w:r>
          </w:p>
        </w:tc>
        <w:tc>
          <w:tcPr>
            <w:tcW w:w="649" w:type="dxa"/>
            <w:vAlign w:val="center"/>
          </w:tcPr>
          <w:p w14:paraId="43C18AB5" w14:textId="3EC15075" w:rsidR="004D69DD" w:rsidRPr="001C633D" w:rsidRDefault="00A116F0" w:rsidP="00221417">
            <w:pPr>
              <w:pStyle w:val="Paragraph"/>
              <w:spacing w:after="0" w:line="240" w:lineRule="auto"/>
              <w:jc w:val="center"/>
              <w:rPr>
                <w:noProof/>
                <w:sz w:val="22"/>
                <w:szCs w:val="22"/>
                <w:lang w:val="en-IE"/>
              </w:rPr>
            </w:pPr>
            <w:r>
              <w:rPr>
                <w:noProof/>
                <w:sz w:val="22"/>
                <w:szCs w:val="22"/>
                <w:lang w:val="en-IE"/>
              </w:rPr>
              <w:t>21.7</w:t>
            </w:r>
          </w:p>
        </w:tc>
        <w:tc>
          <w:tcPr>
            <w:tcW w:w="665" w:type="dxa"/>
            <w:vAlign w:val="center"/>
          </w:tcPr>
          <w:p w14:paraId="72F30D34" w14:textId="3C4FEDF3" w:rsidR="004D69DD" w:rsidRPr="001C633D" w:rsidRDefault="00D8672B" w:rsidP="00221417">
            <w:pPr>
              <w:pStyle w:val="Paragraph"/>
              <w:spacing w:after="0" w:line="240" w:lineRule="auto"/>
              <w:jc w:val="center"/>
              <w:rPr>
                <w:noProof/>
                <w:sz w:val="22"/>
                <w:szCs w:val="22"/>
                <w:lang w:val="en-IE"/>
              </w:rPr>
            </w:pPr>
            <w:r>
              <w:rPr>
                <w:noProof/>
                <w:sz w:val="22"/>
                <w:szCs w:val="22"/>
                <w:lang w:val="en-IE"/>
              </w:rPr>
              <w:t>20.2</w:t>
            </w:r>
          </w:p>
        </w:tc>
        <w:tc>
          <w:tcPr>
            <w:tcW w:w="632" w:type="dxa"/>
            <w:vAlign w:val="center"/>
          </w:tcPr>
          <w:p w14:paraId="714E80B8" w14:textId="3390F47A" w:rsidR="004D69DD" w:rsidRPr="001C633D" w:rsidRDefault="00D8672B" w:rsidP="00221417">
            <w:pPr>
              <w:pStyle w:val="Paragraph"/>
              <w:spacing w:after="0" w:line="240" w:lineRule="auto"/>
              <w:jc w:val="center"/>
              <w:rPr>
                <w:noProof/>
                <w:sz w:val="22"/>
                <w:szCs w:val="22"/>
                <w:lang w:val="en-IE"/>
              </w:rPr>
            </w:pPr>
            <w:r>
              <w:rPr>
                <w:noProof/>
                <w:sz w:val="22"/>
                <w:szCs w:val="22"/>
                <w:lang w:val="en-IE"/>
              </w:rPr>
              <w:t>22.6</w:t>
            </w:r>
          </w:p>
        </w:tc>
        <w:tc>
          <w:tcPr>
            <w:tcW w:w="632" w:type="dxa"/>
            <w:vAlign w:val="center"/>
          </w:tcPr>
          <w:p w14:paraId="6BAD045C" w14:textId="7F352C29" w:rsidR="004D69DD" w:rsidRPr="001C633D" w:rsidRDefault="00D8672B" w:rsidP="00221417">
            <w:pPr>
              <w:pStyle w:val="Paragraph"/>
              <w:spacing w:after="0" w:line="240" w:lineRule="auto"/>
              <w:jc w:val="center"/>
              <w:rPr>
                <w:noProof/>
                <w:sz w:val="22"/>
                <w:szCs w:val="22"/>
                <w:lang w:val="en-IE"/>
              </w:rPr>
            </w:pPr>
            <w:r>
              <w:rPr>
                <w:noProof/>
                <w:sz w:val="22"/>
                <w:szCs w:val="22"/>
                <w:lang w:val="en-IE"/>
              </w:rPr>
              <w:t>26.6</w:t>
            </w:r>
          </w:p>
        </w:tc>
        <w:tc>
          <w:tcPr>
            <w:tcW w:w="632" w:type="dxa"/>
            <w:vAlign w:val="center"/>
          </w:tcPr>
          <w:p w14:paraId="678D1E74" w14:textId="476E087A" w:rsidR="004D69DD" w:rsidRPr="001C633D" w:rsidRDefault="00D8672B" w:rsidP="00221417">
            <w:pPr>
              <w:pStyle w:val="Paragraph"/>
              <w:spacing w:after="0" w:line="240" w:lineRule="auto"/>
              <w:jc w:val="center"/>
              <w:rPr>
                <w:noProof/>
                <w:sz w:val="22"/>
                <w:szCs w:val="22"/>
                <w:lang w:val="en-IE"/>
              </w:rPr>
            </w:pPr>
            <w:r>
              <w:rPr>
                <w:noProof/>
                <w:sz w:val="22"/>
                <w:szCs w:val="22"/>
                <w:lang w:val="en-IE"/>
              </w:rPr>
              <w:t>24.7</w:t>
            </w:r>
          </w:p>
        </w:tc>
        <w:tc>
          <w:tcPr>
            <w:tcW w:w="657" w:type="dxa"/>
            <w:vAlign w:val="center"/>
          </w:tcPr>
          <w:p w14:paraId="2BD62AAC" w14:textId="3C737F82" w:rsidR="004D69DD" w:rsidRPr="001C633D" w:rsidRDefault="00D8672B" w:rsidP="00221417">
            <w:pPr>
              <w:pStyle w:val="Paragraph"/>
              <w:spacing w:after="0" w:line="240" w:lineRule="auto"/>
              <w:jc w:val="center"/>
              <w:rPr>
                <w:noProof/>
                <w:sz w:val="22"/>
                <w:szCs w:val="22"/>
                <w:lang w:val="en-IE"/>
              </w:rPr>
            </w:pPr>
            <w:r>
              <w:rPr>
                <w:noProof/>
                <w:sz w:val="22"/>
                <w:szCs w:val="22"/>
                <w:lang w:val="en-IE"/>
              </w:rPr>
              <w:t>28.4</w:t>
            </w:r>
          </w:p>
        </w:tc>
        <w:tc>
          <w:tcPr>
            <w:tcW w:w="665" w:type="dxa"/>
            <w:vAlign w:val="center"/>
          </w:tcPr>
          <w:p w14:paraId="522FDCDA" w14:textId="571A7DB1" w:rsidR="004D69DD" w:rsidRPr="001C633D" w:rsidRDefault="00D8672B" w:rsidP="00221417">
            <w:pPr>
              <w:pStyle w:val="Paragraph"/>
              <w:spacing w:after="0" w:line="240" w:lineRule="auto"/>
              <w:jc w:val="center"/>
              <w:rPr>
                <w:noProof/>
                <w:sz w:val="22"/>
                <w:szCs w:val="22"/>
                <w:lang w:val="en-IE"/>
              </w:rPr>
            </w:pPr>
            <w:r>
              <w:rPr>
                <w:noProof/>
                <w:sz w:val="22"/>
                <w:szCs w:val="22"/>
                <w:lang w:val="en-IE"/>
              </w:rPr>
              <w:t>26.7</w:t>
            </w:r>
          </w:p>
        </w:tc>
        <w:tc>
          <w:tcPr>
            <w:tcW w:w="601" w:type="dxa"/>
            <w:vAlign w:val="center"/>
          </w:tcPr>
          <w:p w14:paraId="11388545" w14:textId="0959190B" w:rsidR="004D69DD" w:rsidRPr="001C633D" w:rsidRDefault="005137A9" w:rsidP="00221417">
            <w:pPr>
              <w:pStyle w:val="Paragraph"/>
              <w:spacing w:after="0" w:line="240" w:lineRule="auto"/>
              <w:jc w:val="center"/>
              <w:rPr>
                <w:noProof/>
                <w:sz w:val="22"/>
                <w:szCs w:val="22"/>
                <w:lang w:val="en-IE"/>
              </w:rPr>
            </w:pPr>
            <w:r>
              <w:rPr>
                <w:noProof/>
                <w:sz w:val="22"/>
                <w:szCs w:val="22"/>
                <w:lang w:val="en-IE"/>
              </w:rPr>
              <w:t>20.3</w:t>
            </w:r>
          </w:p>
        </w:tc>
        <w:tc>
          <w:tcPr>
            <w:tcW w:w="657" w:type="dxa"/>
            <w:vAlign w:val="center"/>
          </w:tcPr>
          <w:p w14:paraId="405D5506" w14:textId="6E0632BB" w:rsidR="004D69DD" w:rsidRPr="001C633D" w:rsidRDefault="005137A9" w:rsidP="00221417">
            <w:pPr>
              <w:pStyle w:val="Paragraph"/>
              <w:spacing w:after="0" w:line="240" w:lineRule="auto"/>
              <w:jc w:val="center"/>
              <w:rPr>
                <w:noProof/>
                <w:sz w:val="22"/>
                <w:szCs w:val="22"/>
                <w:lang w:val="en-IE"/>
              </w:rPr>
            </w:pPr>
            <w:r>
              <w:rPr>
                <w:noProof/>
                <w:sz w:val="22"/>
                <w:szCs w:val="22"/>
                <w:lang w:val="en-IE"/>
              </w:rPr>
              <w:t>21.5</w:t>
            </w:r>
          </w:p>
        </w:tc>
      </w:tr>
      <w:tr w:rsidR="004D69DD" w:rsidRPr="001C633D" w14:paraId="7B6E6441" w14:textId="77777777" w:rsidTr="00221417">
        <w:trPr>
          <w:trHeight w:val="300"/>
          <w:jc w:val="center"/>
        </w:trPr>
        <w:tc>
          <w:tcPr>
            <w:tcW w:w="631" w:type="dxa"/>
            <w:shd w:val="clear" w:color="auto" w:fill="D9E2F3" w:themeFill="accent1" w:themeFillTint="33"/>
            <w:vAlign w:val="center"/>
          </w:tcPr>
          <w:p w14:paraId="557E0F86"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IE</w:t>
            </w:r>
          </w:p>
        </w:tc>
        <w:tc>
          <w:tcPr>
            <w:tcW w:w="641" w:type="dxa"/>
            <w:shd w:val="clear" w:color="auto" w:fill="D9E2F3" w:themeFill="accent1" w:themeFillTint="33"/>
            <w:vAlign w:val="center"/>
          </w:tcPr>
          <w:p w14:paraId="60265BAC"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IT</w:t>
            </w:r>
          </w:p>
        </w:tc>
        <w:tc>
          <w:tcPr>
            <w:tcW w:w="657" w:type="dxa"/>
            <w:shd w:val="clear" w:color="auto" w:fill="D9E2F3" w:themeFill="accent1" w:themeFillTint="33"/>
            <w:vAlign w:val="center"/>
          </w:tcPr>
          <w:p w14:paraId="3A97C714"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LT</w:t>
            </w:r>
          </w:p>
        </w:tc>
        <w:tc>
          <w:tcPr>
            <w:tcW w:w="657" w:type="dxa"/>
            <w:shd w:val="clear" w:color="auto" w:fill="D9E2F3" w:themeFill="accent1" w:themeFillTint="33"/>
            <w:vAlign w:val="center"/>
          </w:tcPr>
          <w:p w14:paraId="6BBD0BD3"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LU</w:t>
            </w:r>
          </w:p>
        </w:tc>
        <w:tc>
          <w:tcPr>
            <w:tcW w:w="640" w:type="dxa"/>
            <w:shd w:val="clear" w:color="auto" w:fill="D9E2F3" w:themeFill="accent1" w:themeFillTint="33"/>
            <w:vAlign w:val="center"/>
          </w:tcPr>
          <w:p w14:paraId="4E7B9B62"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LV</w:t>
            </w:r>
          </w:p>
        </w:tc>
        <w:tc>
          <w:tcPr>
            <w:tcW w:w="649" w:type="dxa"/>
            <w:shd w:val="clear" w:color="auto" w:fill="D9E2F3" w:themeFill="accent1" w:themeFillTint="33"/>
            <w:vAlign w:val="center"/>
          </w:tcPr>
          <w:p w14:paraId="7704D0A5"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MT</w:t>
            </w:r>
          </w:p>
        </w:tc>
        <w:tc>
          <w:tcPr>
            <w:tcW w:w="665" w:type="dxa"/>
            <w:shd w:val="clear" w:color="auto" w:fill="D9E2F3" w:themeFill="accent1" w:themeFillTint="33"/>
            <w:vAlign w:val="center"/>
          </w:tcPr>
          <w:p w14:paraId="0EC5462D"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NL</w:t>
            </w:r>
          </w:p>
        </w:tc>
        <w:tc>
          <w:tcPr>
            <w:tcW w:w="632" w:type="dxa"/>
            <w:shd w:val="clear" w:color="auto" w:fill="D9E2F3" w:themeFill="accent1" w:themeFillTint="33"/>
            <w:vAlign w:val="center"/>
          </w:tcPr>
          <w:p w14:paraId="4121E61E"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PL</w:t>
            </w:r>
          </w:p>
        </w:tc>
        <w:tc>
          <w:tcPr>
            <w:tcW w:w="632" w:type="dxa"/>
            <w:shd w:val="clear" w:color="auto" w:fill="D9E2F3" w:themeFill="accent1" w:themeFillTint="33"/>
            <w:vAlign w:val="center"/>
          </w:tcPr>
          <w:p w14:paraId="4C85E876"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PT</w:t>
            </w:r>
          </w:p>
        </w:tc>
        <w:tc>
          <w:tcPr>
            <w:tcW w:w="632" w:type="dxa"/>
            <w:shd w:val="clear" w:color="auto" w:fill="D9E2F3" w:themeFill="accent1" w:themeFillTint="33"/>
            <w:vAlign w:val="center"/>
          </w:tcPr>
          <w:p w14:paraId="4833CF5B"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RO</w:t>
            </w:r>
          </w:p>
        </w:tc>
        <w:tc>
          <w:tcPr>
            <w:tcW w:w="657" w:type="dxa"/>
            <w:shd w:val="clear" w:color="auto" w:fill="D9E2F3" w:themeFill="accent1" w:themeFillTint="33"/>
            <w:vAlign w:val="center"/>
          </w:tcPr>
          <w:p w14:paraId="06A6C3C2"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SE</w:t>
            </w:r>
          </w:p>
        </w:tc>
        <w:tc>
          <w:tcPr>
            <w:tcW w:w="665" w:type="dxa"/>
            <w:shd w:val="clear" w:color="auto" w:fill="D9E2F3" w:themeFill="accent1" w:themeFillTint="33"/>
            <w:vAlign w:val="center"/>
            <w:hideMark/>
          </w:tcPr>
          <w:p w14:paraId="46B099F5"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SI</w:t>
            </w:r>
          </w:p>
        </w:tc>
        <w:tc>
          <w:tcPr>
            <w:tcW w:w="601" w:type="dxa"/>
            <w:shd w:val="clear" w:color="auto" w:fill="D9E2F3" w:themeFill="accent1" w:themeFillTint="33"/>
            <w:vAlign w:val="center"/>
            <w:hideMark/>
          </w:tcPr>
          <w:p w14:paraId="000F137D"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SK</w:t>
            </w:r>
          </w:p>
        </w:tc>
        <w:tc>
          <w:tcPr>
            <w:tcW w:w="657" w:type="dxa"/>
            <w:shd w:val="clear" w:color="auto" w:fill="D9E2F3" w:themeFill="accent1" w:themeFillTint="33"/>
            <w:vAlign w:val="center"/>
            <w:hideMark/>
          </w:tcPr>
          <w:p w14:paraId="5D6B60D3" w14:textId="77777777" w:rsidR="004D69DD" w:rsidRPr="001C633D" w:rsidRDefault="004D69DD" w:rsidP="00221417">
            <w:pPr>
              <w:pStyle w:val="Paragraph"/>
              <w:spacing w:after="0" w:line="240" w:lineRule="auto"/>
              <w:jc w:val="center"/>
              <w:rPr>
                <w:b/>
                <w:noProof/>
                <w:sz w:val="22"/>
                <w:szCs w:val="22"/>
                <w:lang w:val="en-IE"/>
              </w:rPr>
            </w:pPr>
            <w:r w:rsidRPr="001C633D">
              <w:rPr>
                <w:b/>
                <w:noProof/>
                <w:sz w:val="22"/>
                <w:szCs w:val="22"/>
                <w:lang w:val="en-IE"/>
              </w:rPr>
              <w:t>EU</w:t>
            </w:r>
          </w:p>
        </w:tc>
      </w:tr>
      <w:tr w:rsidR="004D69DD" w:rsidRPr="00047933" w14:paraId="4E6C1EC2" w14:textId="77777777" w:rsidTr="00221417">
        <w:trPr>
          <w:trHeight w:val="315"/>
          <w:jc w:val="center"/>
        </w:trPr>
        <w:tc>
          <w:tcPr>
            <w:tcW w:w="631" w:type="dxa"/>
            <w:vAlign w:val="center"/>
          </w:tcPr>
          <w:p w14:paraId="550904C7" w14:textId="6031AAED" w:rsidR="004D69DD" w:rsidRPr="009C0A42" w:rsidRDefault="005137A9"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24.5</w:t>
            </w:r>
          </w:p>
        </w:tc>
        <w:tc>
          <w:tcPr>
            <w:tcW w:w="641" w:type="dxa"/>
            <w:vAlign w:val="center"/>
          </w:tcPr>
          <w:p w14:paraId="5609272D" w14:textId="54D0B0A9" w:rsidR="004D69DD" w:rsidRPr="009C0A42" w:rsidRDefault="005137A9"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22.2</w:t>
            </w:r>
          </w:p>
        </w:tc>
        <w:tc>
          <w:tcPr>
            <w:tcW w:w="657" w:type="dxa"/>
            <w:vAlign w:val="center"/>
          </w:tcPr>
          <w:p w14:paraId="3830BDDE" w14:textId="02558D6B" w:rsidR="004D69DD" w:rsidRPr="009C0A42" w:rsidRDefault="005137A9"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16.5</w:t>
            </w:r>
          </w:p>
        </w:tc>
        <w:tc>
          <w:tcPr>
            <w:tcW w:w="657" w:type="dxa"/>
            <w:vAlign w:val="center"/>
          </w:tcPr>
          <w:p w14:paraId="40F0C34B" w14:textId="1A621D50" w:rsidR="004D69DD" w:rsidRPr="009C0A42" w:rsidRDefault="00CC3CE8"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17.8</w:t>
            </w:r>
          </w:p>
        </w:tc>
        <w:tc>
          <w:tcPr>
            <w:tcW w:w="640" w:type="dxa"/>
            <w:vAlign w:val="center"/>
          </w:tcPr>
          <w:p w14:paraId="6F80DF52" w14:textId="505063C6" w:rsidR="004D69DD" w:rsidRPr="009C0A42" w:rsidRDefault="00CC3CE8"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14.3</w:t>
            </w:r>
          </w:p>
        </w:tc>
        <w:tc>
          <w:tcPr>
            <w:tcW w:w="649" w:type="dxa"/>
            <w:vAlign w:val="center"/>
          </w:tcPr>
          <w:p w14:paraId="3E044D24" w14:textId="58EC7070" w:rsidR="004D69DD" w:rsidRPr="009C0A42" w:rsidRDefault="00CC3CE8"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39.7</w:t>
            </w:r>
          </w:p>
        </w:tc>
        <w:tc>
          <w:tcPr>
            <w:tcW w:w="665" w:type="dxa"/>
            <w:vAlign w:val="center"/>
          </w:tcPr>
          <w:p w14:paraId="46103DC3" w14:textId="090EE05B" w:rsidR="004D69DD" w:rsidRPr="009C0A42" w:rsidRDefault="00426F77"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23.0</w:t>
            </w:r>
          </w:p>
        </w:tc>
        <w:tc>
          <w:tcPr>
            <w:tcW w:w="632" w:type="dxa"/>
            <w:vAlign w:val="center"/>
          </w:tcPr>
          <w:p w14:paraId="781E39F4" w14:textId="6AFFBD99" w:rsidR="004D69DD" w:rsidRPr="009C0A42" w:rsidRDefault="00426F77"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16.6</w:t>
            </w:r>
          </w:p>
        </w:tc>
        <w:tc>
          <w:tcPr>
            <w:tcW w:w="632" w:type="dxa"/>
            <w:vAlign w:val="center"/>
          </w:tcPr>
          <w:p w14:paraId="3AA236DC" w14:textId="4CD1CE8C" w:rsidR="004D69DD" w:rsidRPr="009C0A42" w:rsidRDefault="00426F77"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25.9</w:t>
            </w:r>
          </w:p>
        </w:tc>
        <w:tc>
          <w:tcPr>
            <w:tcW w:w="632" w:type="dxa"/>
            <w:vAlign w:val="center"/>
          </w:tcPr>
          <w:p w14:paraId="7C1F5B14" w14:textId="1C33AE24" w:rsidR="004D69DD" w:rsidRPr="009C0A42" w:rsidRDefault="00426F77"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15.4</w:t>
            </w:r>
          </w:p>
        </w:tc>
        <w:tc>
          <w:tcPr>
            <w:tcW w:w="657" w:type="dxa"/>
            <w:vAlign w:val="center"/>
          </w:tcPr>
          <w:p w14:paraId="59F60134" w14:textId="60763372" w:rsidR="004D69DD" w:rsidRPr="009C0A42" w:rsidRDefault="00426F77"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33.2</w:t>
            </w:r>
          </w:p>
        </w:tc>
        <w:tc>
          <w:tcPr>
            <w:tcW w:w="665" w:type="dxa"/>
            <w:vAlign w:val="center"/>
          </w:tcPr>
          <w:p w14:paraId="4D991A4E" w14:textId="40B8C8CD" w:rsidR="004D69DD" w:rsidRPr="009C0A42" w:rsidRDefault="00AA068E" w:rsidP="00221417">
            <w:pPr>
              <w:pStyle w:val="Paragraph"/>
              <w:spacing w:after="0" w:line="240" w:lineRule="auto"/>
              <w:jc w:val="center"/>
              <w:rPr>
                <w:rFonts w:eastAsia="Calibri"/>
                <w:noProof/>
                <w:color w:val="000000"/>
                <w:sz w:val="22"/>
                <w:szCs w:val="22"/>
              </w:rPr>
            </w:pPr>
            <w:r>
              <w:rPr>
                <w:rFonts w:eastAsia="Calibri"/>
                <w:noProof/>
                <w:color w:val="000000"/>
                <w:sz w:val="22"/>
                <w:szCs w:val="22"/>
              </w:rPr>
              <w:t>23.5</w:t>
            </w:r>
          </w:p>
        </w:tc>
        <w:tc>
          <w:tcPr>
            <w:tcW w:w="601" w:type="dxa"/>
            <w:vAlign w:val="center"/>
          </w:tcPr>
          <w:p w14:paraId="05930A31" w14:textId="22DE49A4" w:rsidR="004D69DD" w:rsidRPr="009C0A42" w:rsidRDefault="00AA068E" w:rsidP="00221417">
            <w:pPr>
              <w:suppressAutoHyphens w:val="0"/>
              <w:rPr>
                <w:rFonts w:ascii="Times New Roman" w:hAnsi="Times New Roman" w:cs="Times New Roman"/>
                <w:noProof/>
                <w:color w:val="000000"/>
              </w:rPr>
            </w:pPr>
            <w:r>
              <w:rPr>
                <w:rFonts w:ascii="Times New Roman" w:hAnsi="Times New Roman" w:cs="Times New Roman"/>
                <w:noProof/>
                <w:color w:val="000000"/>
              </w:rPr>
              <w:t>19.9</w:t>
            </w:r>
          </w:p>
        </w:tc>
        <w:tc>
          <w:tcPr>
            <w:tcW w:w="657" w:type="dxa"/>
            <w:vAlign w:val="center"/>
          </w:tcPr>
          <w:p w14:paraId="74FAA3D5" w14:textId="67D1D73F" w:rsidR="004D69DD" w:rsidRPr="00047933" w:rsidRDefault="00AA068E" w:rsidP="00221417">
            <w:pPr>
              <w:pStyle w:val="Paragraph"/>
              <w:spacing w:after="0" w:line="240" w:lineRule="auto"/>
              <w:jc w:val="center"/>
              <w:rPr>
                <w:rFonts w:eastAsia="Calibri"/>
                <w:b/>
                <w:bCs/>
                <w:noProof/>
                <w:color w:val="000000"/>
                <w:sz w:val="22"/>
                <w:szCs w:val="22"/>
              </w:rPr>
            </w:pPr>
            <w:r>
              <w:rPr>
                <w:rFonts w:eastAsia="Calibri"/>
                <w:b/>
                <w:bCs/>
                <w:noProof/>
                <w:color w:val="000000"/>
                <w:sz w:val="22"/>
                <w:szCs w:val="22"/>
              </w:rPr>
              <w:t>23.0</w:t>
            </w:r>
          </w:p>
        </w:tc>
      </w:tr>
    </w:tbl>
    <w:p w14:paraId="5946286D" w14:textId="77777777" w:rsidR="00331E60" w:rsidRPr="00486446" w:rsidRDefault="00331E60" w:rsidP="00331E60">
      <w:pPr>
        <w:pStyle w:val="Source"/>
        <w:rPr>
          <w:noProof/>
          <w:color w:val="auto"/>
          <w:lang w:val="en-IE"/>
        </w:rPr>
      </w:pPr>
    </w:p>
    <w:p w14:paraId="7DE0FE14" w14:textId="77777777" w:rsidR="00A97B71" w:rsidRPr="00486446" w:rsidRDefault="00A97B71" w:rsidP="00331E60">
      <w:pPr>
        <w:pStyle w:val="Source"/>
        <w:rPr>
          <w:noProof/>
          <w:color w:val="auto"/>
          <w:lang w:val="en-IE"/>
        </w:rPr>
      </w:pPr>
    </w:p>
    <w:p w14:paraId="25FB9418" w14:textId="5CE70E98" w:rsidR="00D84FEF" w:rsidRDefault="00D84FEF">
      <w:pPr>
        <w:suppressAutoHyphens w:val="0"/>
        <w:rPr>
          <w:rFonts w:ascii="Times New Roman" w:eastAsia="Times New Roman" w:hAnsi="Times New Roman" w:cs="Times New Roman"/>
          <w:noProof/>
          <w:sz w:val="20"/>
          <w:szCs w:val="20"/>
          <w:shd w:val="clear" w:color="auto" w:fill="FFFFFF"/>
          <w:lang w:val="en-IE"/>
        </w:rPr>
      </w:pPr>
      <w:r>
        <w:rPr>
          <w:noProof/>
          <w:lang w:val="en-IE"/>
        </w:rPr>
        <w:br w:type="page"/>
      </w:r>
    </w:p>
    <w:p w14:paraId="513E1B17" w14:textId="264EFFD0" w:rsidR="00C1173C" w:rsidRPr="00E9362C" w:rsidRDefault="00F50AF8" w:rsidP="0065549F">
      <w:pPr>
        <w:pStyle w:val="Heading3"/>
        <w:spacing w:before="0" w:after="160" w:line="250" w:lineRule="auto"/>
        <w:rPr>
          <w:rFonts w:ascii="Times New Roman" w:hAnsi="Times New Roman"/>
          <w:b/>
          <w:bCs/>
          <w:noProof/>
          <w:color w:val="auto"/>
        </w:rPr>
      </w:pPr>
      <w:bookmarkStart w:id="119" w:name="_Toc183515536"/>
      <w:bookmarkStart w:id="120" w:name="_Toc185237900"/>
      <w:bookmarkStart w:id="121" w:name="_Toc185239903"/>
      <w:bookmarkStart w:id="122" w:name="_Toc185264666"/>
      <w:bookmarkStart w:id="123" w:name="_Toc185525759"/>
      <w:bookmarkStart w:id="124" w:name="_Toc185591299"/>
      <w:bookmarkStart w:id="125" w:name="_Toc220103460"/>
      <w:bookmarkEnd w:id="115"/>
      <w:r w:rsidRPr="00E9362C">
        <w:rPr>
          <w:rFonts w:ascii="Times New Roman" w:hAnsi="Times New Roman"/>
          <w:b/>
          <w:bCs/>
          <w:noProof/>
          <w:color w:val="auto"/>
        </w:rPr>
        <w:t xml:space="preserve">KPI </w:t>
      </w:r>
      <w:r w:rsidR="00331E60" w:rsidRPr="00E9362C">
        <w:rPr>
          <w:rFonts w:ascii="Times New Roman" w:hAnsi="Times New Roman"/>
          <w:b/>
          <w:bCs/>
          <w:noProof/>
          <w:color w:val="auto"/>
        </w:rPr>
        <w:t>2</w:t>
      </w:r>
      <w:r w:rsidR="005F35CF">
        <w:rPr>
          <w:rFonts w:ascii="Times New Roman" w:hAnsi="Times New Roman"/>
          <w:b/>
          <w:bCs/>
          <w:noProof/>
          <w:color w:val="auto"/>
        </w:rPr>
        <w:t>4</w:t>
      </w:r>
      <w:r w:rsidRPr="00E9362C">
        <w:rPr>
          <w:rFonts w:ascii="Times New Roman" w:hAnsi="Times New Roman"/>
          <w:b/>
          <w:bCs/>
          <w:noProof/>
          <w:color w:val="auto"/>
        </w:rPr>
        <w:t>: Energy from renewable sources</w:t>
      </w:r>
      <w:bookmarkEnd w:id="119"/>
      <w:bookmarkEnd w:id="120"/>
      <w:bookmarkEnd w:id="121"/>
      <w:bookmarkEnd w:id="122"/>
      <w:bookmarkEnd w:id="123"/>
      <w:bookmarkEnd w:id="124"/>
      <w:bookmarkEnd w:id="125"/>
    </w:p>
    <w:p w14:paraId="66F4A487" w14:textId="31846A5A" w:rsidR="00937B80" w:rsidRPr="00486446" w:rsidRDefault="00F35AC6" w:rsidP="006E0577">
      <w:pPr>
        <w:pStyle w:val="Paragraph"/>
        <w:spacing w:line="250" w:lineRule="auto"/>
        <w:rPr>
          <w:noProof/>
          <w:lang w:val="en-IE"/>
        </w:rPr>
      </w:pPr>
      <w:r w:rsidRPr="00486446">
        <w:rPr>
          <w:noProof/>
          <w:lang w:val="en-IE"/>
        </w:rPr>
        <w:t>KPI 2</w:t>
      </w:r>
      <w:r w:rsidR="005F35CF">
        <w:rPr>
          <w:noProof/>
          <w:lang w:val="en-IE"/>
        </w:rPr>
        <w:t>4</w:t>
      </w:r>
      <w:r w:rsidRPr="00486446">
        <w:rPr>
          <w:noProof/>
          <w:lang w:val="en-IE"/>
        </w:rPr>
        <w:t xml:space="preserve"> tracks</w:t>
      </w:r>
      <w:r w:rsidR="00F50AF8" w:rsidRPr="00486446">
        <w:rPr>
          <w:noProof/>
          <w:lang w:val="en-IE"/>
        </w:rPr>
        <w:t xml:space="preserve"> the share of energy from renewable sources</w:t>
      </w:r>
      <w:r w:rsidRPr="00486446">
        <w:rPr>
          <w:noProof/>
          <w:lang w:val="en-IE"/>
        </w:rPr>
        <w:t xml:space="preserve"> as a share of the total (final) energy consumption</w:t>
      </w:r>
      <w:r w:rsidR="0057112F" w:rsidRPr="00486446">
        <w:rPr>
          <w:noProof/>
          <w:lang w:val="en-IE"/>
        </w:rPr>
        <w:t xml:space="preserve"> in the EU, US, UK, Japan and China</w:t>
      </w:r>
      <w:r w:rsidR="00F50AF8" w:rsidRPr="00486446">
        <w:rPr>
          <w:noProof/>
          <w:lang w:val="en-IE"/>
        </w:rPr>
        <w:t>.</w:t>
      </w:r>
    </w:p>
    <w:p w14:paraId="7F64DD5E" w14:textId="392210AC" w:rsidR="2A888851" w:rsidRDefault="00D7450A" w:rsidP="006E0577">
      <w:pPr>
        <w:spacing w:after="160" w:line="25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R</w:t>
      </w:r>
      <w:r w:rsidR="6D4C7158" w:rsidRPr="5F7DCBC0">
        <w:rPr>
          <w:rFonts w:ascii="Times New Roman" w:eastAsia="Times New Roman" w:hAnsi="Times New Roman" w:cs="Times New Roman"/>
          <w:noProof/>
          <w:sz w:val="24"/>
          <w:szCs w:val="24"/>
          <w:lang w:val="en-IE"/>
        </w:rPr>
        <w:t>enewable energy generation accounted for 2</w:t>
      </w:r>
      <w:r w:rsidR="00455235">
        <w:rPr>
          <w:rFonts w:ascii="Times New Roman" w:eastAsia="Times New Roman" w:hAnsi="Times New Roman" w:cs="Times New Roman"/>
          <w:noProof/>
          <w:sz w:val="24"/>
          <w:szCs w:val="24"/>
          <w:lang w:val="en-IE"/>
        </w:rPr>
        <w:t>5</w:t>
      </w:r>
      <w:r w:rsidR="6D4C7158" w:rsidRPr="5F7DCBC0">
        <w:rPr>
          <w:rFonts w:ascii="Times New Roman" w:eastAsia="Times New Roman" w:hAnsi="Times New Roman" w:cs="Times New Roman"/>
          <w:noProof/>
          <w:sz w:val="24"/>
          <w:szCs w:val="24"/>
          <w:lang w:val="en-IE"/>
        </w:rPr>
        <w:t>.</w:t>
      </w:r>
      <w:r w:rsidR="00455235">
        <w:rPr>
          <w:rFonts w:ascii="Times New Roman" w:eastAsia="Times New Roman" w:hAnsi="Times New Roman" w:cs="Times New Roman"/>
          <w:noProof/>
          <w:sz w:val="24"/>
          <w:szCs w:val="24"/>
          <w:lang w:val="en-IE"/>
        </w:rPr>
        <w:t>2</w:t>
      </w:r>
      <w:r w:rsidR="6D4C7158" w:rsidRPr="5F7DCBC0">
        <w:rPr>
          <w:rFonts w:ascii="Times New Roman" w:eastAsia="Times New Roman" w:hAnsi="Times New Roman" w:cs="Times New Roman"/>
          <w:noProof/>
          <w:sz w:val="24"/>
          <w:szCs w:val="24"/>
          <w:lang w:val="en-IE"/>
        </w:rPr>
        <w:t>% of total energy consumption</w:t>
      </w:r>
      <w:r>
        <w:rPr>
          <w:rFonts w:ascii="Times New Roman" w:eastAsia="Times New Roman" w:hAnsi="Times New Roman" w:cs="Times New Roman"/>
          <w:noProof/>
          <w:sz w:val="24"/>
          <w:szCs w:val="24"/>
          <w:lang w:val="en-IE"/>
        </w:rPr>
        <w:t xml:space="preserve"> in 2024</w:t>
      </w:r>
      <w:r w:rsidR="6D4C7158" w:rsidRPr="2A888851">
        <w:rPr>
          <w:rFonts w:ascii="Times New Roman" w:eastAsia="Times New Roman" w:hAnsi="Times New Roman" w:cs="Times New Roman"/>
          <w:noProof/>
          <w:sz w:val="24"/>
          <w:szCs w:val="24"/>
          <w:lang w:val="en-IE"/>
        </w:rPr>
        <w:t xml:space="preserve">. </w:t>
      </w:r>
      <w:r w:rsidR="005778FB" w:rsidRPr="474EBB57">
        <w:rPr>
          <w:rFonts w:ascii="Times New Roman" w:eastAsia="Times New Roman" w:hAnsi="Times New Roman" w:cs="Times New Roman"/>
          <w:noProof/>
          <w:sz w:val="24"/>
          <w:szCs w:val="24"/>
          <w:lang w:val="en-IE"/>
        </w:rPr>
        <w:t xml:space="preserve">Progress has been strong in the electricity sector, with </w:t>
      </w:r>
      <w:r w:rsidR="00F934EB">
        <w:rPr>
          <w:rFonts w:ascii="Times New Roman" w:eastAsia="Times New Roman" w:hAnsi="Times New Roman" w:cs="Times New Roman"/>
          <w:noProof/>
          <w:sz w:val="24"/>
          <w:szCs w:val="24"/>
          <w:lang w:val="en-IE"/>
        </w:rPr>
        <w:t>the shar</w:t>
      </w:r>
      <w:r w:rsidR="00801D2B">
        <w:rPr>
          <w:rFonts w:ascii="Times New Roman" w:eastAsia="Times New Roman" w:hAnsi="Times New Roman" w:cs="Times New Roman"/>
          <w:noProof/>
          <w:sz w:val="24"/>
          <w:szCs w:val="24"/>
          <w:lang w:val="en-IE"/>
        </w:rPr>
        <w:t>e of</w:t>
      </w:r>
      <w:r w:rsidR="005778FB" w:rsidRPr="474EBB57">
        <w:rPr>
          <w:rFonts w:ascii="Times New Roman" w:eastAsia="Times New Roman" w:hAnsi="Times New Roman" w:cs="Times New Roman"/>
          <w:noProof/>
          <w:sz w:val="24"/>
          <w:szCs w:val="24"/>
          <w:lang w:val="en-IE"/>
        </w:rPr>
        <w:t xml:space="preserve"> renewables </w:t>
      </w:r>
      <w:r w:rsidR="00801D2B">
        <w:rPr>
          <w:rFonts w:ascii="Times New Roman" w:eastAsia="Times New Roman" w:hAnsi="Times New Roman" w:cs="Times New Roman"/>
          <w:noProof/>
          <w:sz w:val="24"/>
          <w:szCs w:val="24"/>
          <w:lang w:val="en-IE"/>
        </w:rPr>
        <w:t>increas</w:t>
      </w:r>
      <w:r w:rsidR="00185A5B">
        <w:rPr>
          <w:rFonts w:ascii="Times New Roman" w:eastAsia="Times New Roman" w:hAnsi="Times New Roman" w:cs="Times New Roman"/>
          <w:noProof/>
          <w:sz w:val="24"/>
          <w:szCs w:val="24"/>
          <w:lang w:val="en-IE"/>
        </w:rPr>
        <w:t>ing</w:t>
      </w:r>
      <w:r w:rsidR="00801D2B" w:rsidRPr="474EBB57">
        <w:rPr>
          <w:rFonts w:ascii="Times New Roman" w:eastAsia="Times New Roman" w:hAnsi="Times New Roman" w:cs="Times New Roman"/>
          <w:noProof/>
          <w:sz w:val="24"/>
          <w:szCs w:val="24"/>
          <w:lang w:val="en-IE"/>
        </w:rPr>
        <w:t xml:space="preserve"> </w:t>
      </w:r>
      <w:r w:rsidR="005778FB" w:rsidRPr="474EBB57">
        <w:rPr>
          <w:rFonts w:ascii="Times New Roman" w:eastAsia="Times New Roman" w:hAnsi="Times New Roman" w:cs="Times New Roman"/>
          <w:noProof/>
          <w:sz w:val="24"/>
          <w:szCs w:val="24"/>
          <w:lang w:val="en-IE"/>
        </w:rPr>
        <w:t>from 37.4% in 2020 to 4</w:t>
      </w:r>
      <w:r w:rsidR="006B387B">
        <w:rPr>
          <w:rFonts w:ascii="Times New Roman" w:eastAsia="Times New Roman" w:hAnsi="Times New Roman" w:cs="Times New Roman"/>
          <w:noProof/>
          <w:sz w:val="24"/>
          <w:szCs w:val="24"/>
          <w:lang w:val="en-IE"/>
        </w:rPr>
        <w:t>7</w:t>
      </w:r>
      <w:r w:rsidR="005778FB" w:rsidRPr="474EBB57">
        <w:rPr>
          <w:rFonts w:ascii="Times New Roman" w:eastAsia="Times New Roman" w:hAnsi="Times New Roman" w:cs="Times New Roman"/>
          <w:noProof/>
          <w:sz w:val="24"/>
          <w:szCs w:val="24"/>
          <w:lang w:val="en-IE"/>
        </w:rPr>
        <w:t>.</w:t>
      </w:r>
      <w:r w:rsidR="006B387B">
        <w:rPr>
          <w:rFonts w:ascii="Times New Roman" w:eastAsia="Times New Roman" w:hAnsi="Times New Roman" w:cs="Times New Roman"/>
          <w:noProof/>
          <w:sz w:val="24"/>
          <w:szCs w:val="24"/>
          <w:lang w:val="en-IE"/>
        </w:rPr>
        <w:t>5</w:t>
      </w:r>
      <w:r w:rsidR="005778FB" w:rsidRPr="474EBB57">
        <w:rPr>
          <w:rFonts w:ascii="Times New Roman" w:eastAsia="Times New Roman" w:hAnsi="Times New Roman" w:cs="Times New Roman"/>
          <w:noProof/>
          <w:sz w:val="24"/>
          <w:szCs w:val="24"/>
          <w:lang w:val="en-IE"/>
        </w:rPr>
        <w:t>% in 202</w:t>
      </w:r>
      <w:r w:rsidR="006B387B">
        <w:rPr>
          <w:rFonts w:ascii="Times New Roman" w:eastAsia="Times New Roman" w:hAnsi="Times New Roman" w:cs="Times New Roman"/>
          <w:noProof/>
          <w:sz w:val="24"/>
          <w:szCs w:val="24"/>
          <w:lang w:val="en-IE"/>
        </w:rPr>
        <w:t>4</w:t>
      </w:r>
      <w:r w:rsidR="005778FB" w:rsidRPr="474EBB57">
        <w:rPr>
          <w:rFonts w:ascii="Times New Roman" w:eastAsia="Times New Roman" w:hAnsi="Times New Roman" w:cs="Times New Roman"/>
          <w:noProof/>
          <w:sz w:val="24"/>
          <w:szCs w:val="24"/>
          <w:lang w:val="en-IE"/>
        </w:rPr>
        <w:t xml:space="preserve">. </w:t>
      </w:r>
      <w:r w:rsidR="001246D9" w:rsidRPr="474EBB57">
        <w:rPr>
          <w:rFonts w:ascii="Times New Roman" w:eastAsia="Times New Roman" w:hAnsi="Times New Roman" w:cs="Times New Roman"/>
          <w:noProof/>
          <w:sz w:val="24"/>
          <w:szCs w:val="24"/>
          <w:lang w:val="en-IE"/>
        </w:rPr>
        <w:t xml:space="preserve">Progress </w:t>
      </w:r>
      <w:r w:rsidR="001246D9">
        <w:rPr>
          <w:rFonts w:ascii="Times New Roman" w:eastAsia="Times New Roman" w:hAnsi="Times New Roman" w:cs="Times New Roman"/>
          <w:noProof/>
          <w:sz w:val="24"/>
          <w:szCs w:val="24"/>
        </w:rPr>
        <w:t xml:space="preserve">was more limited </w:t>
      </w:r>
      <w:r w:rsidR="005778FB" w:rsidRPr="474EBB57">
        <w:rPr>
          <w:rFonts w:ascii="Times New Roman" w:eastAsia="Times New Roman" w:hAnsi="Times New Roman" w:cs="Times New Roman"/>
          <w:noProof/>
          <w:sz w:val="24"/>
          <w:szCs w:val="24"/>
          <w:lang w:val="en-IE"/>
        </w:rPr>
        <w:t xml:space="preserve">in heating and cooling </w:t>
      </w:r>
      <w:r w:rsidR="00D14BED">
        <w:rPr>
          <w:rFonts w:ascii="Times New Roman" w:eastAsia="Times New Roman" w:hAnsi="Times New Roman" w:cs="Times New Roman"/>
          <w:noProof/>
          <w:sz w:val="24"/>
          <w:szCs w:val="24"/>
          <w:lang w:val="en-IE"/>
        </w:rPr>
        <w:t xml:space="preserve">sector </w:t>
      </w:r>
      <w:r w:rsidR="005778FB" w:rsidRPr="474EBB57">
        <w:rPr>
          <w:rFonts w:ascii="Times New Roman" w:eastAsia="Times New Roman" w:hAnsi="Times New Roman" w:cs="Times New Roman"/>
          <w:noProof/>
          <w:sz w:val="24"/>
          <w:szCs w:val="24"/>
          <w:lang w:val="en-IE"/>
        </w:rPr>
        <w:t>(</w:t>
      </w:r>
      <w:r w:rsidR="00D14BED">
        <w:rPr>
          <w:rFonts w:ascii="Times New Roman" w:eastAsia="Times New Roman" w:hAnsi="Times New Roman" w:cs="Times New Roman"/>
          <w:noProof/>
          <w:sz w:val="24"/>
          <w:szCs w:val="24"/>
          <w:lang w:val="en-IE"/>
        </w:rPr>
        <w:t xml:space="preserve">rising </w:t>
      </w:r>
      <w:r w:rsidR="005778FB" w:rsidRPr="474EBB57">
        <w:rPr>
          <w:rFonts w:ascii="Times New Roman" w:eastAsia="Times New Roman" w:hAnsi="Times New Roman" w:cs="Times New Roman"/>
          <w:noProof/>
          <w:sz w:val="24"/>
          <w:szCs w:val="24"/>
          <w:lang w:val="en-IE"/>
        </w:rPr>
        <w:t>from 23.0% to 26.</w:t>
      </w:r>
      <w:r w:rsidR="009A1358">
        <w:rPr>
          <w:rFonts w:ascii="Times New Roman" w:eastAsia="Times New Roman" w:hAnsi="Times New Roman" w:cs="Times New Roman"/>
          <w:noProof/>
          <w:sz w:val="24"/>
          <w:szCs w:val="24"/>
          <w:lang w:val="en-IE"/>
        </w:rPr>
        <w:t>7</w:t>
      </w:r>
      <w:r w:rsidR="005778FB" w:rsidRPr="474EBB57">
        <w:rPr>
          <w:rFonts w:ascii="Times New Roman" w:eastAsia="Times New Roman" w:hAnsi="Times New Roman" w:cs="Times New Roman"/>
          <w:noProof/>
          <w:sz w:val="24"/>
          <w:szCs w:val="24"/>
          <w:lang w:val="en-IE"/>
        </w:rPr>
        <w:t xml:space="preserve">%) and transport </w:t>
      </w:r>
      <w:r w:rsidR="00493B0D">
        <w:rPr>
          <w:rFonts w:ascii="Times New Roman" w:eastAsia="Times New Roman" w:hAnsi="Times New Roman" w:cs="Times New Roman"/>
          <w:noProof/>
          <w:sz w:val="24"/>
          <w:szCs w:val="24"/>
          <w:lang w:val="en-IE"/>
        </w:rPr>
        <w:t>sector</w:t>
      </w:r>
      <w:r w:rsidR="005778FB" w:rsidRPr="474EBB57">
        <w:rPr>
          <w:rFonts w:ascii="Times New Roman" w:eastAsia="Times New Roman" w:hAnsi="Times New Roman" w:cs="Times New Roman"/>
          <w:noProof/>
          <w:sz w:val="24"/>
          <w:szCs w:val="24"/>
          <w:lang w:val="en-IE"/>
        </w:rPr>
        <w:t xml:space="preserve"> (from 10.3% to 1</w:t>
      </w:r>
      <w:r w:rsidR="00580C81">
        <w:rPr>
          <w:rFonts w:ascii="Times New Roman" w:eastAsia="Times New Roman" w:hAnsi="Times New Roman" w:cs="Times New Roman"/>
          <w:noProof/>
          <w:sz w:val="24"/>
          <w:szCs w:val="24"/>
          <w:lang w:val="en-IE"/>
        </w:rPr>
        <w:t>1</w:t>
      </w:r>
      <w:r w:rsidR="005778FB" w:rsidRPr="474EBB57">
        <w:rPr>
          <w:rFonts w:ascii="Times New Roman" w:eastAsia="Times New Roman" w:hAnsi="Times New Roman" w:cs="Times New Roman"/>
          <w:noProof/>
          <w:sz w:val="24"/>
          <w:szCs w:val="24"/>
          <w:lang w:val="en-IE"/>
        </w:rPr>
        <w:t>.%).</w:t>
      </w:r>
      <w:r w:rsidR="007B6BD0">
        <w:rPr>
          <w:rStyle w:val="FootnoteReference"/>
          <w:rFonts w:ascii="Times New Roman" w:eastAsia="Times New Roman" w:hAnsi="Times New Roman" w:cs="Times New Roman"/>
          <w:noProof/>
          <w:sz w:val="24"/>
          <w:szCs w:val="24"/>
          <w:lang w:val="en-IE"/>
        </w:rPr>
        <w:footnoteReference w:id="25"/>
      </w:r>
      <w:r w:rsidR="005778FB" w:rsidRPr="474EBB57">
        <w:rPr>
          <w:rFonts w:ascii="Times New Roman" w:eastAsia="Times New Roman" w:hAnsi="Times New Roman" w:cs="Times New Roman"/>
          <w:noProof/>
          <w:sz w:val="24"/>
          <w:szCs w:val="24"/>
          <w:lang w:val="en-IE"/>
        </w:rPr>
        <w:t xml:space="preserve"> </w:t>
      </w:r>
    </w:p>
    <w:p w14:paraId="0D0466F4" w14:textId="77777777" w:rsidR="000C0B93" w:rsidRDefault="000C0B93" w:rsidP="006E0577">
      <w:pPr>
        <w:spacing w:after="160" w:line="250" w:lineRule="auto"/>
        <w:jc w:val="both"/>
        <w:rPr>
          <w:rFonts w:ascii="Times New Roman" w:eastAsia="Times New Roman" w:hAnsi="Times New Roman" w:cs="Times New Roman"/>
          <w:noProof/>
          <w:sz w:val="24"/>
          <w:szCs w:val="24"/>
          <w:lang w:val="en-IE"/>
        </w:rPr>
      </w:pPr>
    </w:p>
    <w:p w14:paraId="7AD0B9B2" w14:textId="3FF0D7EF" w:rsidR="00451BAB" w:rsidRPr="00486446" w:rsidRDefault="00F50AF8" w:rsidP="006E0577">
      <w:pPr>
        <w:pStyle w:val="Paragraph"/>
        <w:spacing w:line="250" w:lineRule="auto"/>
        <w:rPr>
          <w:noProof/>
        </w:rPr>
      </w:pPr>
      <w:r w:rsidRPr="00486446">
        <w:rPr>
          <w:b/>
          <w:noProof/>
          <w:lang w:val="en-IE"/>
        </w:rPr>
        <w:t xml:space="preserve">Figure </w:t>
      </w:r>
      <w:r w:rsidR="00215C53" w:rsidRPr="00486446">
        <w:rPr>
          <w:b/>
          <w:noProof/>
          <w:lang w:val="en-IE"/>
        </w:rPr>
        <w:t>2</w:t>
      </w:r>
      <w:r w:rsidR="005F35CF">
        <w:rPr>
          <w:b/>
          <w:noProof/>
          <w:lang w:val="en-IE"/>
        </w:rPr>
        <w:t>4</w:t>
      </w:r>
      <w:r w:rsidRPr="00486446">
        <w:rPr>
          <w:b/>
          <w:noProof/>
          <w:lang w:val="en-IE"/>
        </w:rPr>
        <w:t>:</w:t>
      </w:r>
      <w:r w:rsidRPr="00486446">
        <w:rPr>
          <w:noProof/>
          <w:lang w:val="en-IE"/>
        </w:rPr>
        <w:t xml:space="preserve"> </w:t>
      </w:r>
      <w:r w:rsidRPr="00486446">
        <w:rPr>
          <w:noProof/>
        </w:rPr>
        <w:t>Share of renewable energy</w:t>
      </w:r>
      <w:r w:rsidR="0057112F" w:rsidRPr="00486446">
        <w:rPr>
          <w:noProof/>
        </w:rPr>
        <w:t xml:space="preserve"> in the EU and other advanced economies.</w:t>
      </w:r>
      <w:r w:rsidR="004317E7">
        <w:rPr>
          <w:noProof/>
        </w:rPr>
        <w:t xml:space="preserve"> </w:t>
      </w:r>
    </w:p>
    <w:p w14:paraId="27E586A3" w14:textId="63145228" w:rsidR="00C1173C" w:rsidRPr="006E0577" w:rsidRDefault="00902237" w:rsidP="00EB17F0">
      <w:pPr>
        <w:pStyle w:val="Figurecaption"/>
        <w:jc w:val="center"/>
        <w:rPr>
          <w:rFonts w:cs="Times New Roman"/>
          <w:noProof/>
          <w:sz w:val="20"/>
          <w:szCs w:val="14"/>
          <w:lang w:val="fr-BE"/>
        </w:rPr>
      </w:pPr>
      <w:r>
        <w:rPr>
          <w:noProof/>
          <w:lang w:eastAsia="en-GB"/>
        </w:rPr>
        <w:drawing>
          <wp:inline distT="0" distB="0" distL="0" distR="0" wp14:anchorId="1DA0BA5A" wp14:editId="6020278B">
            <wp:extent cx="5731510" cy="3036876"/>
            <wp:effectExtent l="0" t="0" r="2540" b="0"/>
            <wp:docPr id="14206320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32051" name=""/>
                    <pic:cNvPicPr/>
                  </pic:nvPicPr>
                  <pic:blipFill>
                    <a:blip r:embed="rId94">
                      <a:extLst>
                        <a:ext uri="{96DAC541-7B7A-43D3-8B79-37D633B846F1}">
                          <asvg:svgBlip xmlns:asvg="http://schemas.microsoft.com/office/drawing/2016/SVG/main" r:embed="rId95"/>
                        </a:ext>
                      </a:extLst>
                    </a:blip>
                    <a:stretch>
                      <a:fillRect/>
                    </a:stretch>
                  </pic:blipFill>
                  <pic:spPr>
                    <a:xfrm>
                      <a:off x="0" y="0"/>
                      <a:ext cx="5736474" cy="3039506"/>
                    </a:xfrm>
                    <a:prstGeom prst="rect">
                      <a:avLst/>
                    </a:prstGeom>
                  </pic:spPr>
                </pic:pic>
              </a:graphicData>
            </a:graphic>
          </wp:inline>
        </w:drawing>
      </w:r>
    </w:p>
    <w:p w14:paraId="33361F85" w14:textId="4214ACB2" w:rsidR="00937B80" w:rsidRPr="00486446" w:rsidRDefault="00F50AF8" w:rsidP="0065549F">
      <w:pPr>
        <w:pStyle w:val="Source"/>
        <w:rPr>
          <w:noProof/>
          <w:lang w:val="fr-FR"/>
        </w:rPr>
      </w:pPr>
      <w:r w:rsidRPr="00486446">
        <w:rPr>
          <w:noProof/>
          <w:color w:val="auto"/>
          <w:lang w:val="fr-FR"/>
        </w:rPr>
        <w:t xml:space="preserve">Source: </w:t>
      </w:r>
      <w:r w:rsidR="005065F0" w:rsidRPr="00486446">
        <w:rPr>
          <w:noProof/>
          <w:color w:val="auto"/>
          <w:lang w:val="fr-FR"/>
        </w:rPr>
        <w:t>Eurostat; European Commission</w:t>
      </w:r>
      <w:r w:rsidR="009B747F">
        <w:rPr>
          <w:noProof/>
          <w:color w:val="auto"/>
          <w:lang w:val="fr-FR"/>
        </w:rPr>
        <w:t xml:space="preserve"> services</w:t>
      </w:r>
      <w:r w:rsidR="003831C9">
        <w:rPr>
          <w:noProof/>
          <w:color w:val="auto"/>
          <w:lang w:val="fr-FR"/>
        </w:rPr>
        <w:t xml:space="preserve"> </w:t>
      </w:r>
    </w:p>
    <w:p w14:paraId="71BCF14F" w14:textId="24DF5090" w:rsidR="00C1173C" w:rsidRPr="00967C71" w:rsidRDefault="00F50AF8" w:rsidP="006E0577">
      <w:pPr>
        <w:spacing w:after="160" w:line="250" w:lineRule="auto"/>
        <w:jc w:val="both"/>
        <w:rPr>
          <w:rFonts w:ascii="Times New Roman" w:eastAsia="Times New Roman" w:hAnsi="Times New Roman" w:cs="Times New Roman"/>
          <w:noProof/>
          <w:sz w:val="24"/>
          <w:szCs w:val="24"/>
          <w:lang w:val="fr-BE"/>
        </w:rPr>
      </w:pPr>
      <w:r w:rsidRPr="00967C71">
        <w:rPr>
          <w:rFonts w:ascii="Times New Roman" w:eastAsia="Times New Roman" w:hAnsi="Times New Roman" w:cs="Times New Roman"/>
          <w:noProof/>
          <w:sz w:val="24"/>
          <w:szCs w:val="24"/>
          <w:lang w:val="fr-BE"/>
        </w:rPr>
        <w:t>National data</w:t>
      </w:r>
      <w:r w:rsidR="002C2066" w:rsidRPr="00967C71">
        <w:rPr>
          <w:rFonts w:ascii="Times New Roman" w:eastAsia="Times New Roman" w:hAnsi="Times New Roman" w:cs="Times New Roman"/>
          <w:noProof/>
          <w:sz w:val="24"/>
          <w:szCs w:val="24"/>
          <w:lang w:val="fr-BE"/>
        </w:rPr>
        <w:t>, %</w:t>
      </w:r>
      <w:r w:rsidRPr="00967C71">
        <w:rPr>
          <w:rFonts w:ascii="Times New Roman" w:eastAsia="Times New Roman" w:hAnsi="Times New Roman" w:cs="Times New Roman"/>
          <w:noProof/>
          <w:sz w:val="24"/>
          <w:szCs w:val="24"/>
          <w:lang w:val="fr-BE"/>
        </w:rPr>
        <w:t xml:space="preserve"> (</w:t>
      </w:r>
      <w:r w:rsidR="00EF0DE6" w:rsidRPr="00967C71">
        <w:rPr>
          <w:rFonts w:ascii="Times New Roman" w:eastAsia="Times New Roman" w:hAnsi="Times New Roman" w:cs="Times New Roman"/>
          <w:noProof/>
          <w:sz w:val="24"/>
          <w:szCs w:val="24"/>
          <w:lang w:val="fr-BE"/>
        </w:rPr>
        <w:t>2024</w:t>
      </w:r>
      <w:r w:rsidRPr="00967C71">
        <w:rPr>
          <w:rFonts w:ascii="Times New Roman" w:eastAsia="Times New Roman" w:hAnsi="Times New Roman" w:cs="Times New Roman"/>
          <w:noProof/>
          <w:sz w:val="24"/>
          <w:szCs w:val="24"/>
          <w:lang w:val="fr-BE"/>
        </w:rPr>
        <w:t>)</w:t>
      </w:r>
    </w:p>
    <w:tbl>
      <w:tblPr>
        <w:tblStyle w:val="TableGrid"/>
        <w:tblW w:w="0" w:type="auto"/>
        <w:jc w:val="center"/>
        <w:tblLook w:val="04A0" w:firstRow="1" w:lastRow="0" w:firstColumn="1" w:lastColumn="0" w:noHBand="0" w:noVBand="1"/>
      </w:tblPr>
      <w:tblGrid>
        <w:gridCol w:w="602"/>
        <w:gridCol w:w="641"/>
        <w:gridCol w:w="685"/>
        <w:gridCol w:w="685"/>
        <w:gridCol w:w="685"/>
        <w:gridCol w:w="601"/>
        <w:gridCol w:w="702"/>
        <w:gridCol w:w="601"/>
        <w:gridCol w:w="601"/>
        <w:gridCol w:w="641"/>
        <w:gridCol w:w="685"/>
        <w:gridCol w:w="601"/>
        <w:gridCol w:w="601"/>
        <w:gridCol w:w="685"/>
      </w:tblGrid>
      <w:tr w:rsidR="00D413BD" w:rsidRPr="001C633D" w14:paraId="609A2E22" w14:textId="77777777" w:rsidTr="00D413BD">
        <w:trPr>
          <w:trHeight w:val="300"/>
          <w:jc w:val="center"/>
        </w:trPr>
        <w:tc>
          <w:tcPr>
            <w:tcW w:w="511" w:type="dxa"/>
            <w:shd w:val="clear" w:color="auto" w:fill="D9E2F3" w:themeFill="accent1" w:themeFillTint="33"/>
            <w:vAlign w:val="center"/>
            <w:hideMark/>
          </w:tcPr>
          <w:p w14:paraId="4402ACEB"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 xml:space="preserve">AT </w:t>
            </w:r>
          </w:p>
        </w:tc>
        <w:tc>
          <w:tcPr>
            <w:tcW w:w="680" w:type="dxa"/>
            <w:shd w:val="clear" w:color="auto" w:fill="D9E2F3" w:themeFill="accent1" w:themeFillTint="33"/>
            <w:vAlign w:val="center"/>
            <w:hideMark/>
          </w:tcPr>
          <w:p w14:paraId="35B08F3C" w14:textId="1B455C4B" w:rsidR="0011555F" w:rsidRPr="001C633D" w:rsidRDefault="004D69DD" w:rsidP="0011555F">
            <w:pPr>
              <w:pStyle w:val="Paragraph"/>
              <w:spacing w:after="0" w:line="240" w:lineRule="auto"/>
              <w:jc w:val="center"/>
              <w:rPr>
                <w:noProof/>
                <w:sz w:val="22"/>
                <w:szCs w:val="22"/>
                <w:lang w:val="en-IE"/>
              </w:rPr>
            </w:pPr>
            <w:r w:rsidRPr="001C633D">
              <w:rPr>
                <w:noProof/>
                <w:sz w:val="22"/>
                <w:szCs w:val="22"/>
                <w:lang w:val="en-IE"/>
              </w:rPr>
              <w:t>BE</w:t>
            </w:r>
          </w:p>
        </w:tc>
        <w:tc>
          <w:tcPr>
            <w:tcW w:w="765" w:type="dxa"/>
            <w:shd w:val="clear" w:color="auto" w:fill="D9E2F3" w:themeFill="accent1" w:themeFillTint="33"/>
            <w:vAlign w:val="center"/>
            <w:hideMark/>
          </w:tcPr>
          <w:p w14:paraId="5173BECC"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BG</w:t>
            </w:r>
          </w:p>
        </w:tc>
        <w:tc>
          <w:tcPr>
            <w:tcW w:w="765" w:type="dxa"/>
            <w:shd w:val="clear" w:color="auto" w:fill="D9E2F3" w:themeFill="accent1" w:themeFillTint="33"/>
            <w:vAlign w:val="center"/>
            <w:hideMark/>
          </w:tcPr>
          <w:p w14:paraId="606B7552"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CY</w:t>
            </w:r>
          </w:p>
        </w:tc>
        <w:tc>
          <w:tcPr>
            <w:tcW w:w="765" w:type="dxa"/>
            <w:shd w:val="clear" w:color="auto" w:fill="D9E2F3" w:themeFill="accent1" w:themeFillTint="33"/>
            <w:vAlign w:val="center"/>
            <w:hideMark/>
          </w:tcPr>
          <w:p w14:paraId="1580A322"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CZ</w:t>
            </w:r>
          </w:p>
        </w:tc>
        <w:tc>
          <w:tcPr>
            <w:tcW w:w="478" w:type="dxa"/>
            <w:shd w:val="clear" w:color="auto" w:fill="D9E2F3" w:themeFill="accent1" w:themeFillTint="33"/>
            <w:vAlign w:val="center"/>
            <w:hideMark/>
          </w:tcPr>
          <w:p w14:paraId="02FF08C0"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DE</w:t>
            </w:r>
          </w:p>
        </w:tc>
        <w:tc>
          <w:tcPr>
            <w:tcW w:w="798" w:type="dxa"/>
            <w:shd w:val="clear" w:color="auto" w:fill="D9E2F3" w:themeFill="accent1" w:themeFillTint="33"/>
            <w:vAlign w:val="center"/>
            <w:hideMark/>
          </w:tcPr>
          <w:p w14:paraId="0CFF6679"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DK</w:t>
            </w:r>
          </w:p>
        </w:tc>
        <w:tc>
          <w:tcPr>
            <w:tcW w:w="511" w:type="dxa"/>
            <w:shd w:val="clear" w:color="auto" w:fill="D9E2F3" w:themeFill="accent1" w:themeFillTint="33"/>
            <w:vAlign w:val="center"/>
            <w:hideMark/>
          </w:tcPr>
          <w:p w14:paraId="3D0AF6B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EE</w:t>
            </w:r>
          </w:p>
        </w:tc>
        <w:tc>
          <w:tcPr>
            <w:tcW w:w="511" w:type="dxa"/>
            <w:shd w:val="clear" w:color="auto" w:fill="D9E2F3" w:themeFill="accent1" w:themeFillTint="33"/>
            <w:vAlign w:val="center"/>
            <w:hideMark/>
          </w:tcPr>
          <w:p w14:paraId="68A6C0C0"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EL</w:t>
            </w:r>
          </w:p>
        </w:tc>
        <w:tc>
          <w:tcPr>
            <w:tcW w:w="680" w:type="dxa"/>
            <w:shd w:val="clear" w:color="auto" w:fill="D9E2F3" w:themeFill="accent1" w:themeFillTint="33"/>
            <w:vAlign w:val="center"/>
            <w:hideMark/>
          </w:tcPr>
          <w:p w14:paraId="603D7C36"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ES</w:t>
            </w:r>
          </w:p>
        </w:tc>
        <w:tc>
          <w:tcPr>
            <w:tcW w:w="765" w:type="dxa"/>
            <w:shd w:val="clear" w:color="auto" w:fill="D9E2F3" w:themeFill="accent1" w:themeFillTint="33"/>
            <w:vAlign w:val="center"/>
          </w:tcPr>
          <w:p w14:paraId="31D30420"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FI</w:t>
            </w:r>
          </w:p>
        </w:tc>
        <w:tc>
          <w:tcPr>
            <w:tcW w:w="511" w:type="dxa"/>
            <w:shd w:val="clear" w:color="auto" w:fill="D9E2F3" w:themeFill="accent1" w:themeFillTint="33"/>
            <w:vAlign w:val="center"/>
          </w:tcPr>
          <w:p w14:paraId="075217AB"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FR</w:t>
            </w:r>
          </w:p>
        </w:tc>
        <w:tc>
          <w:tcPr>
            <w:tcW w:w="511" w:type="dxa"/>
            <w:shd w:val="clear" w:color="auto" w:fill="D9E2F3" w:themeFill="accent1" w:themeFillTint="33"/>
            <w:vAlign w:val="center"/>
          </w:tcPr>
          <w:p w14:paraId="7362BF0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HR</w:t>
            </w:r>
          </w:p>
        </w:tc>
        <w:tc>
          <w:tcPr>
            <w:tcW w:w="765" w:type="dxa"/>
            <w:shd w:val="clear" w:color="auto" w:fill="D9E2F3" w:themeFill="accent1" w:themeFillTint="33"/>
            <w:vAlign w:val="center"/>
          </w:tcPr>
          <w:p w14:paraId="2E4678EF"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HU</w:t>
            </w:r>
          </w:p>
        </w:tc>
      </w:tr>
      <w:tr w:rsidR="00D413BD" w:rsidRPr="001C633D" w14:paraId="2FC8C178" w14:textId="77777777" w:rsidTr="00C93E78">
        <w:trPr>
          <w:trHeight w:val="315"/>
          <w:jc w:val="center"/>
        </w:trPr>
        <w:tc>
          <w:tcPr>
            <w:tcW w:w="511" w:type="dxa"/>
            <w:vAlign w:val="center"/>
          </w:tcPr>
          <w:p w14:paraId="15E8A8DE" w14:textId="58E16DBA" w:rsidR="0011555F" w:rsidRPr="00C561D4" w:rsidRDefault="00375CEF" w:rsidP="0011555F">
            <w:pPr>
              <w:pStyle w:val="Paragraph"/>
              <w:spacing w:after="0" w:line="240" w:lineRule="auto"/>
              <w:jc w:val="center"/>
              <w:rPr>
                <w:noProof/>
                <w:sz w:val="22"/>
                <w:szCs w:val="22"/>
                <w:lang w:val="en-IE"/>
              </w:rPr>
            </w:pPr>
            <w:r w:rsidRPr="00C561D4">
              <w:rPr>
                <w:noProof/>
                <w:sz w:val="22"/>
                <w:szCs w:val="22"/>
                <w:lang w:val="en-IE"/>
              </w:rPr>
              <w:t>43.0</w:t>
            </w:r>
          </w:p>
        </w:tc>
        <w:tc>
          <w:tcPr>
            <w:tcW w:w="680" w:type="dxa"/>
            <w:vAlign w:val="center"/>
          </w:tcPr>
          <w:p w14:paraId="19A31050" w14:textId="0F12E38F" w:rsidR="004D69DD" w:rsidRPr="00C561D4" w:rsidRDefault="0095318E" w:rsidP="00221417">
            <w:pPr>
              <w:pStyle w:val="Paragraph"/>
              <w:spacing w:after="0" w:line="240" w:lineRule="auto"/>
              <w:jc w:val="center"/>
              <w:rPr>
                <w:noProof/>
                <w:sz w:val="22"/>
                <w:szCs w:val="22"/>
                <w:lang w:val="en-IE"/>
              </w:rPr>
            </w:pPr>
            <w:r w:rsidRPr="00C561D4">
              <w:rPr>
                <w:noProof/>
                <w:sz w:val="22"/>
                <w:szCs w:val="22"/>
                <w:lang w:val="en-IE"/>
              </w:rPr>
              <w:t>14.</w:t>
            </w:r>
            <w:r w:rsidR="00294326" w:rsidRPr="00C561D4">
              <w:rPr>
                <w:noProof/>
                <w:sz w:val="22"/>
                <w:szCs w:val="22"/>
                <w:lang w:val="en-IE"/>
              </w:rPr>
              <w:t>3</w:t>
            </w:r>
          </w:p>
        </w:tc>
        <w:tc>
          <w:tcPr>
            <w:tcW w:w="765" w:type="dxa"/>
            <w:vAlign w:val="center"/>
          </w:tcPr>
          <w:p w14:paraId="1FB5815D" w14:textId="3A4D1444" w:rsidR="004D69DD" w:rsidRPr="00C561D4" w:rsidRDefault="003B34A2" w:rsidP="00221417">
            <w:pPr>
              <w:pStyle w:val="Paragraph"/>
              <w:spacing w:after="0" w:line="240" w:lineRule="auto"/>
              <w:jc w:val="center"/>
              <w:rPr>
                <w:noProof/>
                <w:sz w:val="22"/>
                <w:szCs w:val="22"/>
                <w:lang w:val="en-IE"/>
              </w:rPr>
            </w:pPr>
            <w:r w:rsidRPr="00C561D4">
              <w:rPr>
                <w:noProof/>
                <w:sz w:val="22"/>
                <w:szCs w:val="22"/>
                <w:lang w:val="en-IE"/>
              </w:rPr>
              <w:t>23.2</w:t>
            </w:r>
          </w:p>
        </w:tc>
        <w:tc>
          <w:tcPr>
            <w:tcW w:w="765" w:type="dxa"/>
            <w:vAlign w:val="center"/>
          </w:tcPr>
          <w:p w14:paraId="11309E63" w14:textId="5CA605E3" w:rsidR="004D69DD" w:rsidRPr="00C561D4" w:rsidRDefault="0095318E" w:rsidP="00221417">
            <w:pPr>
              <w:pStyle w:val="Paragraph"/>
              <w:spacing w:after="0" w:line="240" w:lineRule="auto"/>
              <w:jc w:val="center"/>
              <w:rPr>
                <w:noProof/>
                <w:sz w:val="22"/>
                <w:szCs w:val="22"/>
                <w:lang w:val="en-IE"/>
              </w:rPr>
            </w:pPr>
            <w:r w:rsidRPr="00C561D4">
              <w:rPr>
                <w:noProof/>
                <w:sz w:val="22"/>
                <w:szCs w:val="22"/>
                <w:lang w:val="en-IE"/>
              </w:rPr>
              <w:t>2</w:t>
            </w:r>
            <w:r w:rsidR="00413960" w:rsidRPr="00C561D4">
              <w:rPr>
                <w:noProof/>
                <w:sz w:val="22"/>
                <w:szCs w:val="22"/>
                <w:lang w:val="en-IE"/>
              </w:rPr>
              <w:t>1</w:t>
            </w:r>
            <w:r w:rsidRPr="00C561D4">
              <w:rPr>
                <w:noProof/>
                <w:sz w:val="22"/>
                <w:szCs w:val="22"/>
                <w:lang w:val="en-IE"/>
              </w:rPr>
              <w:t>.</w:t>
            </w:r>
            <w:r w:rsidR="00413960" w:rsidRPr="00C561D4">
              <w:rPr>
                <w:noProof/>
                <w:sz w:val="22"/>
                <w:szCs w:val="22"/>
                <w:lang w:val="en-IE"/>
              </w:rPr>
              <w:t>9</w:t>
            </w:r>
          </w:p>
        </w:tc>
        <w:tc>
          <w:tcPr>
            <w:tcW w:w="765" w:type="dxa"/>
            <w:vAlign w:val="center"/>
          </w:tcPr>
          <w:p w14:paraId="1138E807" w14:textId="219C3E0E" w:rsidR="004D69DD" w:rsidRPr="00C561D4" w:rsidRDefault="0046117D" w:rsidP="00221417">
            <w:pPr>
              <w:pStyle w:val="Paragraph"/>
              <w:spacing w:after="0" w:line="240" w:lineRule="auto"/>
              <w:jc w:val="center"/>
              <w:rPr>
                <w:noProof/>
                <w:sz w:val="22"/>
                <w:szCs w:val="22"/>
                <w:lang w:val="en-IE"/>
              </w:rPr>
            </w:pPr>
            <w:r w:rsidRPr="00C561D4">
              <w:rPr>
                <w:noProof/>
                <w:sz w:val="22"/>
                <w:szCs w:val="22"/>
                <w:lang w:val="en-IE"/>
              </w:rPr>
              <w:t>1</w:t>
            </w:r>
            <w:r w:rsidR="0011555F" w:rsidRPr="00C561D4">
              <w:rPr>
                <w:noProof/>
                <w:sz w:val="22"/>
                <w:szCs w:val="22"/>
                <w:lang w:val="en-IE"/>
              </w:rPr>
              <w:t>9</w:t>
            </w:r>
            <w:r w:rsidRPr="00C561D4">
              <w:rPr>
                <w:noProof/>
                <w:sz w:val="22"/>
                <w:szCs w:val="22"/>
                <w:lang w:val="en-IE"/>
              </w:rPr>
              <w:t>.</w:t>
            </w:r>
            <w:r w:rsidR="0011555F" w:rsidRPr="00C561D4">
              <w:rPr>
                <w:noProof/>
                <w:sz w:val="22"/>
                <w:szCs w:val="22"/>
                <w:lang w:val="en-IE"/>
              </w:rPr>
              <w:t>2</w:t>
            </w:r>
          </w:p>
        </w:tc>
        <w:tc>
          <w:tcPr>
            <w:tcW w:w="478" w:type="dxa"/>
            <w:vAlign w:val="center"/>
          </w:tcPr>
          <w:p w14:paraId="4F2A0086" w14:textId="4C2BECD1" w:rsidR="004D69DD" w:rsidRPr="00C561D4" w:rsidRDefault="0046117D" w:rsidP="00221417">
            <w:pPr>
              <w:pStyle w:val="Paragraph"/>
              <w:spacing w:after="0" w:line="240" w:lineRule="auto"/>
              <w:jc w:val="center"/>
              <w:rPr>
                <w:noProof/>
                <w:sz w:val="22"/>
                <w:szCs w:val="22"/>
                <w:lang w:val="en-IE"/>
              </w:rPr>
            </w:pPr>
            <w:r w:rsidRPr="00C561D4">
              <w:rPr>
                <w:noProof/>
                <w:sz w:val="22"/>
                <w:szCs w:val="22"/>
                <w:lang w:val="en-IE"/>
              </w:rPr>
              <w:t>2</w:t>
            </w:r>
            <w:r w:rsidR="00626543" w:rsidRPr="00C561D4">
              <w:rPr>
                <w:noProof/>
                <w:sz w:val="22"/>
                <w:szCs w:val="22"/>
                <w:lang w:val="en-IE"/>
              </w:rPr>
              <w:t>2</w:t>
            </w:r>
            <w:r w:rsidRPr="00C561D4">
              <w:rPr>
                <w:noProof/>
                <w:sz w:val="22"/>
                <w:szCs w:val="22"/>
                <w:lang w:val="en-IE"/>
              </w:rPr>
              <w:t>.</w:t>
            </w:r>
            <w:r w:rsidR="00626543" w:rsidRPr="00C561D4">
              <w:rPr>
                <w:noProof/>
                <w:sz w:val="22"/>
                <w:szCs w:val="22"/>
                <w:lang w:val="en-IE"/>
              </w:rPr>
              <w:t>5</w:t>
            </w:r>
          </w:p>
        </w:tc>
        <w:tc>
          <w:tcPr>
            <w:tcW w:w="798" w:type="dxa"/>
            <w:vAlign w:val="center"/>
          </w:tcPr>
          <w:p w14:paraId="1963066C" w14:textId="277BE206" w:rsidR="004D69DD" w:rsidRPr="00C561D4" w:rsidRDefault="003B34A2" w:rsidP="00221417">
            <w:pPr>
              <w:pStyle w:val="Paragraph"/>
              <w:spacing w:after="0" w:line="240" w:lineRule="auto"/>
              <w:jc w:val="center"/>
              <w:rPr>
                <w:noProof/>
                <w:sz w:val="22"/>
                <w:szCs w:val="22"/>
                <w:lang w:val="en-IE"/>
              </w:rPr>
            </w:pPr>
            <w:r w:rsidRPr="00C561D4">
              <w:rPr>
                <w:noProof/>
                <w:sz w:val="22"/>
                <w:szCs w:val="22"/>
                <w:lang w:val="en-IE"/>
              </w:rPr>
              <w:t>46.8</w:t>
            </w:r>
          </w:p>
        </w:tc>
        <w:tc>
          <w:tcPr>
            <w:tcW w:w="511" w:type="dxa"/>
            <w:vAlign w:val="center"/>
          </w:tcPr>
          <w:p w14:paraId="06FA2CBD" w14:textId="627A9043" w:rsidR="004D69DD" w:rsidRPr="00C561D4" w:rsidRDefault="0046117D" w:rsidP="00221417">
            <w:pPr>
              <w:pStyle w:val="Paragraph"/>
              <w:spacing w:after="0" w:line="240" w:lineRule="auto"/>
              <w:jc w:val="center"/>
              <w:rPr>
                <w:noProof/>
                <w:sz w:val="22"/>
                <w:szCs w:val="22"/>
                <w:lang w:val="en-IE"/>
              </w:rPr>
            </w:pPr>
            <w:r w:rsidRPr="00C561D4">
              <w:rPr>
                <w:noProof/>
                <w:sz w:val="22"/>
                <w:szCs w:val="22"/>
                <w:lang w:val="en-IE"/>
              </w:rPr>
              <w:t>41.0</w:t>
            </w:r>
          </w:p>
        </w:tc>
        <w:tc>
          <w:tcPr>
            <w:tcW w:w="511" w:type="dxa"/>
            <w:vAlign w:val="center"/>
          </w:tcPr>
          <w:p w14:paraId="4692F76C" w14:textId="351FBDBB" w:rsidR="004D69DD" w:rsidRPr="00C561D4" w:rsidRDefault="005E5353" w:rsidP="00221417">
            <w:pPr>
              <w:pStyle w:val="Paragraph"/>
              <w:spacing w:after="0" w:line="240" w:lineRule="auto"/>
              <w:jc w:val="center"/>
              <w:rPr>
                <w:noProof/>
                <w:sz w:val="22"/>
                <w:szCs w:val="22"/>
                <w:lang w:val="en-IE"/>
              </w:rPr>
            </w:pPr>
            <w:r w:rsidRPr="00C561D4">
              <w:rPr>
                <w:noProof/>
                <w:sz w:val="22"/>
                <w:szCs w:val="22"/>
                <w:lang w:val="en-IE"/>
              </w:rPr>
              <w:t>25.3</w:t>
            </w:r>
          </w:p>
        </w:tc>
        <w:tc>
          <w:tcPr>
            <w:tcW w:w="680" w:type="dxa"/>
            <w:vAlign w:val="center"/>
          </w:tcPr>
          <w:p w14:paraId="0F2ABCE2" w14:textId="72B38D13" w:rsidR="004D69DD" w:rsidRPr="00C561D4" w:rsidRDefault="00626222" w:rsidP="00221417">
            <w:pPr>
              <w:pStyle w:val="Paragraph"/>
              <w:spacing w:after="0" w:line="240" w:lineRule="auto"/>
              <w:jc w:val="center"/>
              <w:rPr>
                <w:noProof/>
                <w:sz w:val="22"/>
                <w:szCs w:val="22"/>
                <w:lang w:val="en-IE"/>
              </w:rPr>
            </w:pPr>
            <w:r w:rsidRPr="00C561D4">
              <w:rPr>
                <w:noProof/>
                <w:sz w:val="22"/>
                <w:szCs w:val="22"/>
                <w:lang w:val="en-IE"/>
              </w:rPr>
              <w:t>25.4</w:t>
            </w:r>
          </w:p>
        </w:tc>
        <w:tc>
          <w:tcPr>
            <w:tcW w:w="765" w:type="dxa"/>
            <w:vAlign w:val="center"/>
          </w:tcPr>
          <w:p w14:paraId="759CEAFD" w14:textId="7EB0D5CD" w:rsidR="004D69DD" w:rsidRPr="00C561D4" w:rsidRDefault="005E5353" w:rsidP="00221417">
            <w:pPr>
              <w:pStyle w:val="Paragraph"/>
              <w:spacing w:after="0" w:line="240" w:lineRule="auto"/>
              <w:jc w:val="center"/>
              <w:rPr>
                <w:noProof/>
                <w:sz w:val="22"/>
                <w:szCs w:val="22"/>
                <w:lang w:val="en-IE"/>
              </w:rPr>
            </w:pPr>
            <w:r w:rsidRPr="00C561D4">
              <w:rPr>
                <w:noProof/>
                <w:sz w:val="22"/>
                <w:szCs w:val="22"/>
                <w:lang w:val="en-IE"/>
              </w:rPr>
              <w:t>50.7</w:t>
            </w:r>
          </w:p>
        </w:tc>
        <w:tc>
          <w:tcPr>
            <w:tcW w:w="511" w:type="dxa"/>
            <w:vAlign w:val="center"/>
          </w:tcPr>
          <w:p w14:paraId="1FEFD14A" w14:textId="4B3AA9B6" w:rsidR="004D69DD" w:rsidRPr="00C561D4" w:rsidRDefault="00626222" w:rsidP="00221417">
            <w:pPr>
              <w:pStyle w:val="Paragraph"/>
              <w:spacing w:after="0" w:line="240" w:lineRule="auto"/>
              <w:jc w:val="center"/>
              <w:rPr>
                <w:noProof/>
                <w:sz w:val="22"/>
                <w:szCs w:val="22"/>
                <w:lang w:val="en-IE"/>
              </w:rPr>
            </w:pPr>
            <w:r w:rsidRPr="00C561D4">
              <w:rPr>
                <w:noProof/>
                <w:sz w:val="22"/>
                <w:szCs w:val="22"/>
                <w:lang w:val="en-IE"/>
              </w:rPr>
              <w:t>23.2</w:t>
            </w:r>
          </w:p>
        </w:tc>
        <w:tc>
          <w:tcPr>
            <w:tcW w:w="511" w:type="dxa"/>
            <w:vAlign w:val="center"/>
          </w:tcPr>
          <w:p w14:paraId="4E3CD494" w14:textId="3DB95207" w:rsidR="004D69DD" w:rsidRPr="00C561D4" w:rsidRDefault="00626222" w:rsidP="00221417">
            <w:pPr>
              <w:pStyle w:val="Paragraph"/>
              <w:spacing w:after="0" w:line="240" w:lineRule="auto"/>
              <w:jc w:val="center"/>
              <w:rPr>
                <w:noProof/>
                <w:sz w:val="22"/>
                <w:szCs w:val="22"/>
                <w:lang w:val="en-IE"/>
              </w:rPr>
            </w:pPr>
            <w:r w:rsidRPr="00C561D4">
              <w:rPr>
                <w:noProof/>
                <w:sz w:val="22"/>
                <w:szCs w:val="22"/>
                <w:lang w:val="en-IE"/>
              </w:rPr>
              <w:t>27.5</w:t>
            </w:r>
          </w:p>
        </w:tc>
        <w:tc>
          <w:tcPr>
            <w:tcW w:w="765" w:type="dxa"/>
            <w:vAlign w:val="center"/>
          </w:tcPr>
          <w:p w14:paraId="0EB423A9" w14:textId="3DE7B6B1" w:rsidR="004D69DD" w:rsidRPr="00C561D4" w:rsidRDefault="00626222" w:rsidP="00221417">
            <w:pPr>
              <w:pStyle w:val="Paragraph"/>
              <w:spacing w:after="0" w:line="240" w:lineRule="auto"/>
              <w:jc w:val="center"/>
              <w:rPr>
                <w:noProof/>
                <w:sz w:val="22"/>
                <w:szCs w:val="22"/>
                <w:lang w:val="en-IE"/>
              </w:rPr>
            </w:pPr>
            <w:r w:rsidRPr="00C561D4">
              <w:rPr>
                <w:noProof/>
                <w:sz w:val="22"/>
                <w:szCs w:val="22"/>
                <w:lang w:val="en-IE"/>
              </w:rPr>
              <w:t>18.3</w:t>
            </w:r>
          </w:p>
        </w:tc>
      </w:tr>
      <w:tr w:rsidR="00D413BD" w:rsidRPr="001C633D" w14:paraId="75C98D07" w14:textId="77777777" w:rsidTr="00C93E78">
        <w:trPr>
          <w:trHeight w:val="300"/>
          <w:jc w:val="center"/>
        </w:trPr>
        <w:tc>
          <w:tcPr>
            <w:tcW w:w="511" w:type="dxa"/>
            <w:shd w:val="clear" w:color="auto" w:fill="D9E2F3" w:themeFill="accent1" w:themeFillTint="33"/>
            <w:vAlign w:val="center"/>
          </w:tcPr>
          <w:p w14:paraId="43B2DF7A"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IE</w:t>
            </w:r>
          </w:p>
        </w:tc>
        <w:tc>
          <w:tcPr>
            <w:tcW w:w="680" w:type="dxa"/>
            <w:shd w:val="clear" w:color="auto" w:fill="D9E2F3" w:themeFill="accent1" w:themeFillTint="33"/>
            <w:vAlign w:val="center"/>
          </w:tcPr>
          <w:p w14:paraId="40341EB7"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IT</w:t>
            </w:r>
          </w:p>
        </w:tc>
        <w:tc>
          <w:tcPr>
            <w:tcW w:w="765" w:type="dxa"/>
            <w:shd w:val="clear" w:color="auto" w:fill="D9E2F3" w:themeFill="accent1" w:themeFillTint="33"/>
            <w:vAlign w:val="center"/>
          </w:tcPr>
          <w:p w14:paraId="2A8B32B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LT</w:t>
            </w:r>
          </w:p>
        </w:tc>
        <w:tc>
          <w:tcPr>
            <w:tcW w:w="765" w:type="dxa"/>
            <w:shd w:val="clear" w:color="auto" w:fill="D9E2F3" w:themeFill="accent1" w:themeFillTint="33"/>
            <w:vAlign w:val="center"/>
          </w:tcPr>
          <w:p w14:paraId="39246C78"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LU</w:t>
            </w:r>
          </w:p>
        </w:tc>
        <w:tc>
          <w:tcPr>
            <w:tcW w:w="765" w:type="dxa"/>
            <w:shd w:val="clear" w:color="auto" w:fill="D9E2F3" w:themeFill="accent1" w:themeFillTint="33"/>
            <w:vAlign w:val="center"/>
          </w:tcPr>
          <w:p w14:paraId="45620BF7"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LV</w:t>
            </w:r>
          </w:p>
        </w:tc>
        <w:tc>
          <w:tcPr>
            <w:tcW w:w="478" w:type="dxa"/>
            <w:shd w:val="clear" w:color="auto" w:fill="D9E2F3" w:themeFill="accent1" w:themeFillTint="33"/>
            <w:vAlign w:val="center"/>
          </w:tcPr>
          <w:p w14:paraId="5D71CA6F"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MT</w:t>
            </w:r>
          </w:p>
        </w:tc>
        <w:tc>
          <w:tcPr>
            <w:tcW w:w="798" w:type="dxa"/>
            <w:shd w:val="clear" w:color="auto" w:fill="D9E2F3" w:themeFill="accent1" w:themeFillTint="33"/>
            <w:vAlign w:val="center"/>
          </w:tcPr>
          <w:p w14:paraId="716FFE0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NL</w:t>
            </w:r>
          </w:p>
        </w:tc>
        <w:tc>
          <w:tcPr>
            <w:tcW w:w="511" w:type="dxa"/>
            <w:shd w:val="clear" w:color="auto" w:fill="D9E2F3" w:themeFill="accent1" w:themeFillTint="33"/>
            <w:vAlign w:val="center"/>
          </w:tcPr>
          <w:p w14:paraId="70706BF7"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PL</w:t>
            </w:r>
          </w:p>
        </w:tc>
        <w:tc>
          <w:tcPr>
            <w:tcW w:w="511" w:type="dxa"/>
            <w:shd w:val="clear" w:color="auto" w:fill="D9E2F3" w:themeFill="accent1" w:themeFillTint="33"/>
            <w:vAlign w:val="center"/>
          </w:tcPr>
          <w:p w14:paraId="23EAC976"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PT</w:t>
            </w:r>
          </w:p>
        </w:tc>
        <w:tc>
          <w:tcPr>
            <w:tcW w:w="680" w:type="dxa"/>
            <w:shd w:val="clear" w:color="auto" w:fill="D9E2F3" w:themeFill="accent1" w:themeFillTint="33"/>
            <w:vAlign w:val="center"/>
          </w:tcPr>
          <w:p w14:paraId="013F688C"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RO</w:t>
            </w:r>
          </w:p>
        </w:tc>
        <w:tc>
          <w:tcPr>
            <w:tcW w:w="765" w:type="dxa"/>
            <w:shd w:val="clear" w:color="auto" w:fill="D9E2F3" w:themeFill="accent1" w:themeFillTint="33"/>
            <w:vAlign w:val="center"/>
          </w:tcPr>
          <w:p w14:paraId="789A6A91"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SE</w:t>
            </w:r>
          </w:p>
        </w:tc>
        <w:tc>
          <w:tcPr>
            <w:tcW w:w="511" w:type="dxa"/>
            <w:shd w:val="clear" w:color="auto" w:fill="D9E2F3" w:themeFill="accent1" w:themeFillTint="33"/>
            <w:vAlign w:val="center"/>
            <w:hideMark/>
          </w:tcPr>
          <w:p w14:paraId="56F74738"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SI</w:t>
            </w:r>
          </w:p>
        </w:tc>
        <w:tc>
          <w:tcPr>
            <w:tcW w:w="511" w:type="dxa"/>
            <w:shd w:val="clear" w:color="auto" w:fill="D9E2F3" w:themeFill="accent1" w:themeFillTint="33"/>
            <w:vAlign w:val="center"/>
            <w:hideMark/>
          </w:tcPr>
          <w:p w14:paraId="67740F2D" w14:textId="77777777" w:rsidR="004D69DD" w:rsidRPr="001C633D" w:rsidRDefault="004D69DD" w:rsidP="00221417">
            <w:pPr>
              <w:pStyle w:val="Paragraph"/>
              <w:spacing w:after="0" w:line="240" w:lineRule="auto"/>
              <w:jc w:val="center"/>
              <w:rPr>
                <w:noProof/>
                <w:sz w:val="22"/>
                <w:szCs w:val="22"/>
                <w:lang w:val="en-IE"/>
              </w:rPr>
            </w:pPr>
            <w:r w:rsidRPr="001C633D">
              <w:rPr>
                <w:noProof/>
                <w:sz w:val="22"/>
                <w:szCs w:val="22"/>
                <w:lang w:val="en-IE"/>
              </w:rPr>
              <w:t>SK</w:t>
            </w:r>
          </w:p>
        </w:tc>
        <w:tc>
          <w:tcPr>
            <w:tcW w:w="765" w:type="dxa"/>
            <w:shd w:val="clear" w:color="auto" w:fill="D9E2F3" w:themeFill="accent1" w:themeFillTint="33"/>
            <w:vAlign w:val="center"/>
            <w:hideMark/>
          </w:tcPr>
          <w:p w14:paraId="6A771766" w14:textId="77777777" w:rsidR="004D69DD" w:rsidRPr="001C633D" w:rsidRDefault="004D69DD" w:rsidP="00221417">
            <w:pPr>
              <w:pStyle w:val="Paragraph"/>
              <w:spacing w:after="0" w:line="240" w:lineRule="auto"/>
              <w:jc w:val="center"/>
              <w:rPr>
                <w:b/>
                <w:noProof/>
                <w:sz w:val="22"/>
                <w:szCs w:val="22"/>
                <w:lang w:val="en-IE"/>
              </w:rPr>
            </w:pPr>
            <w:r w:rsidRPr="001C633D">
              <w:rPr>
                <w:b/>
                <w:noProof/>
                <w:sz w:val="22"/>
                <w:szCs w:val="22"/>
                <w:lang w:val="en-IE"/>
              </w:rPr>
              <w:t>EU</w:t>
            </w:r>
          </w:p>
        </w:tc>
      </w:tr>
      <w:tr w:rsidR="00D413BD" w:rsidRPr="00047933" w14:paraId="5C0B176F" w14:textId="77777777" w:rsidTr="00C93E78">
        <w:trPr>
          <w:trHeight w:val="315"/>
          <w:jc w:val="center"/>
        </w:trPr>
        <w:tc>
          <w:tcPr>
            <w:tcW w:w="511" w:type="dxa"/>
            <w:vAlign w:val="center"/>
          </w:tcPr>
          <w:p w14:paraId="503431BD" w14:textId="352EEEEF" w:rsidR="004D69DD" w:rsidRPr="00C561D4" w:rsidRDefault="00626222" w:rsidP="00221417">
            <w:pPr>
              <w:pStyle w:val="Paragraph"/>
              <w:spacing w:after="0" w:line="240" w:lineRule="auto"/>
              <w:jc w:val="center"/>
              <w:rPr>
                <w:rFonts w:eastAsia="Calibri"/>
                <w:noProof/>
                <w:color w:val="000000"/>
                <w:sz w:val="22"/>
                <w:szCs w:val="22"/>
              </w:rPr>
            </w:pPr>
            <w:r w:rsidRPr="00C561D4">
              <w:rPr>
                <w:rFonts w:eastAsia="Calibri"/>
                <w:noProof/>
                <w:color w:val="000000"/>
                <w:sz w:val="22"/>
                <w:szCs w:val="22"/>
              </w:rPr>
              <w:t>16.1</w:t>
            </w:r>
          </w:p>
        </w:tc>
        <w:tc>
          <w:tcPr>
            <w:tcW w:w="680" w:type="dxa"/>
            <w:vAlign w:val="center"/>
          </w:tcPr>
          <w:p w14:paraId="7D650496" w14:textId="7E45FC1C" w:rsidR="004D69DD" w:rsidRPr="00C561D4" w:rsidRDefault="00B63667" w:rsidP="00221417">
            <w:pPr>
              <w:pStyle w:val="Paragraph"/>
              <w:spacing w:after="0" w:line="240" w:lineRule="auto"/>
              <w:jc w:val="center"/>
              <w:rPr>
                <w:rFonts w:eastAsia="Calibri"/>
                <w:noProof/>
                <w:color w:val="000000"/>
                <w:sz w:val="22"/>
                <w:szCs w:val="22"/>
              </w:rPr>
            </w:pPr>
            <w:r w:rsidRPr="00C561D4">
              <w:rPr>
                <w:rFonts w:eastAsia="Calibri"/>
                <w:noProof/>
                <w:color w:val="000000"/>
                <w:sz w:val="22"/>
                <w:szCs w:val="22"/>
              </w:rPr>
              <w:t>19.</w:t>
            </w:r>
            <w:r w:rsidR="0011555F" w:rsidRPr="00C561D4">
              <w:rPr>
                <w:rFonts w:eastAsia="Calibri"/>
                <w:noProof/>
                <w:color w:val="000000"/>
                <w:sz w:val="22"/>
                <w:szCs w:val="22"/>
              </w:rPr>
              <w:t>3</w:t>
            </w:r>
          </w:p>
        </w:tc>
        <w:tc>
          <w:tcPr>
            <w:tcW w:w="765" w:type="dxa"/>
            <w:vAlign w:val="center"/>
          </w:tcPr>
          <w:p w14:paraId="276DE209" w14:textId="5B9C1322" w:rsidR="004D69DD" w:rsidRPr="00C561D4" w:rsidRDefault="00B63667" w:rsidP="00221417">
            <w:pPr>
              <w:pStyle w:val="Paragraph"/>
              <w:spacing w:after="0" w:line="240" w:lineRule="auto"/>
              <w:jc w:val="center"/>
              <w:rPr>
                <w:rFonts w:eastAsia="Calibri"/>
                <w:noProof/>
                <w:color w:val="000000"/>
                <w:sz w:val="22"/>
                <w:szCs w:val="22"/>
              </w:rPr>
            </w:pPr>
            <w:r w:rsidRPr="00C561D4">
              <w:rPr>
                <w:rFonts w:eastAsia="Calibri"/>
                <w:noProof/>
                <w:color w:val="000000"/>
                <w:sz w:val="22"/>
                <w:szCs w:val="22"/>
              </w:rPr>
              <w:t>3</w:t>
            </w:r>
            <w:r w:rsidR="00D96A6B" w:rsidRPr="00C561D4">
              <w:rPr>
                <w:rFonts w:eastAsia="Calibri"/>
                <w:noProof/>
                <w:color w:val="000000"/>
                <w:sz w:val="22"/>
                <w:szCs w:val="22"/>
              </w:rPr>
              <w:t>5</w:t>
            </w:r>
            <w:r w:rsidRPr="00C561D4">
              <w:rPr>
                <w:rFonts w:eastAsia="Calibri"/>
                <w:noProof/>
                <w:color w:val="000000"/>
                <w:sz w:val="22"/>
                <w:szCs w:val="22"/>
              </w:rPr>
              <w:t>.</w:t>
            </w:r>
            <w:r w:rsidR="00D96A6B" w:rsidRPr="00C561D4">
              <w:rPr>
                <w:rFonts w:eastAsia="Calibri"/>
                <w:noProof/>
                <w:color w:val="000000"/>
                <w:sz w:val="22"/>
                <w:szCs w:val="22"/>
              </w:rPr>
              <w:t>4</w:t>
            </w:r>
          </w:p>
        </w:tc>
        <w:tc>
          <w:tcPr>
            <w:tcW w:w="765" w:type="dxa"/>
            <w:vAlign w:val="center"/>
          </w:tcPr>
          <w:p w14:paraId="3D852A58" w14:textId="4C07DB6A" w:rsidR="004D69DD" w:rsidRPr="00C561D4" w:rsidRDefault="00626222" w:rsidP="00221417">
            <w:pPr>
              <w:pStyle w:val="Paragraph"/>
              <w:spacing w:after="0" w:line="240" w:lineRule="auto"/>
              <w:jc w:val="center"/>
              <w:rPr>
                <w:rFonts w:eastAsia="Calibri"/>
                <w:noProof/>
                <w:color w:val="000000"/>
                <w:sz w:val="22"/>
                <w:szCs w:val="22"/>
              </w:rPr>
            </w:pPr>
            <w:r w:rsidRPr="00C561D4">
              <w:rPr>
                <w:rFonts w:eastAsia="Calibri"/>
                <w:noProof/>
                <w:color w:val="000000"/>
                <w:sz w:val="22"/>
                <w:szCs w:val="22"/>
              </w:rPr>
              <w:t>14.7</w:t>
            </w:r>
          </w:p>
        </w:tc>
        <w:tc>
          <w:tcPr>
            <w:tcW w:w="765" w:type="dxa"/>
            <w:vAlign w:val="center"/>
          </w:tcPr>
          <w:p w14:paraId="38B638DA" w14:textId="11CEF90D" w:rsidR="004D69DD" w:rsidRPr="00C561D4" w:rsidRDefault="00B63667" w:rsidP="00221417">
            <w:pPr>
              <w:pStyle w:val="Paragraph"/>
              <w:spacing w:after="0" w:line="240" w:lineRule="auto"/>
              <w:jc w:val="center"/>
              <w:rPr>
                <w:rFonts w:eastAsia="Calibri"/>
                <w:noProof/>
                <w:color w:val="000000"/>
                <w:sz w:val="22"/>
                <w:szCs w:val="22"/>
              </w:rPr>
            </w:pPr>
            <w:r w:rsidRPr="00C561D4">
              <w:rPr>
                <w:rFonts w:eastAsia="Calibri"/>
                <w:noProof/>
                <w:color w:val="000000"/>
                <w:sz w:val="22"/>
                <w:szCs w:val="22"/>
              </w:rPr>
              <w:t>4</w:t>
            </w:r>
            <w:r w:rsidR="00D96A6B" w:rsidRPr="00C561D4">
              <w:rPr>
                <w:rFonts w:eastAsia="Calibri"/>
                <w:noProof/>
                <w:color w:val="000000"/>
                <w:sz w:val="22"/>
                <w:szCs w:val="22"/>
              </w:rPr>
              <w:t>5</w:t>
            </w:r>
            <w:r w:rsidRPr="00C561D4">
              <w:rPr>
                <w:rFonts w:eastAsia="Calibri"/>
                <w:noProof/>
                <w:color w:val="000000"/>
                <w:sz w:val="22"/>
                <w:szCs w:val="22"/>
              </w:rPr>
              <w:t>.</w:t>
            </w:r>
            <w:r w:rsidR="00D96A6B" w:rsidRPr="00C561D4">
              <w:rPr>
                <w:rFonts w:eastAsia="Calibri"/>
                <w:noProof/>
                <w:color w:val="000000"/>
                <w:sz w:val="22"/>
                <w:szCs w:val="22"/>
              </w:rPr>
              <w:t>5</w:t>
            </w:r>
          </w:p>
        </w:tc>
        <w:tc>
          <w:tcPr>
            <w:tcW w:w="478" w:type="dxa"/>
            <w:vAlign w:val="center"/>
          </w:tcPr>
          <w:p w14:paraId="41AFD697" w14:textId="715860B9" w:rsidR="0011555F" w:rsidRPr="00C561D4" w:rsidRDefault="00626222" w:rsidP="0011555F">
            <w:pPr>
              <w:pStyle w:val="Paragraph"/>
              <w:spacing w:after="0" w:line="240" w:lineRule="auto"/>
              <w:jc w:val="center"/>
              <w:rPr>
                <w:rFonts w:eastAsia="Calibri"/>
                <w:noProof/>
                <w:color w:val="000000"/>
                <w:sz w:val="22"/>
                <w:szCs w:val="22"/>
              </w:rPr>
            </w:pPr>
            <w:r w:rsidRPr="00C561D4">
              <w:rPr>
                <w:rFonts w:eastAsia="Calibri"/>
                <w:noProof/>
                <w:color w:val="000000"/>
                <w:sz w:val="22"/>
                <w:szCs w:val="22"/>
              </w:rPr>
              <w:t>17.2</w:t>
            </w:r>
          </w:p>
        </w:tc>
        <w:tc>
          <w:tcPr>
            <w:tcW w:w="798" w:type="dxa"/>
            <w:vAlign w:val="center"/>
          </w:tcPr>
          <w:p w14:paraId="11C83F11" w14:textId="14842AD6" w:rsidR="004D69DD" w:rsidRPr="00C561D4" w:rsidRDefault="00626222" w:rsidP="00221417">
            <w:pPr>
              <w:pStyle w:val="Paragraph"/>
              <w:spacing w:after="0" w:line="240" w:lineRule="auto"/>
              <w:jc w:val="center"/>
              <w:rPr>
                <w:rFonts w:eastAsia="Calibri"/>
                <w:noProof/>
                <w:color w:val="000000"/>
                <w:sz w:val="22"/>
                <w:szCs w:val="22"/>
              </w:rPr>
            </w:pPr>
            <w:r w:rsidRPr="00C561D4">
              <w:rPr>
                <w:rFonts w:eastAsia="Calibri"/>
                <w:noProof/>
                <w:color w:val="000000"/>
                <w:sz w:val="22"/>
                <w:szCs w:val="22"/>
              </w:rPr>
              <w:t>20.2</w:t>
            </w:r>
          </w:p>
        </w:tc>
        <w:tc>
          <w:tcPr>
            <w:tcW w:w="511" w:type="dxa"/>
            <w:vAlign w:val="center"/>
          </w:tcPr>
          <w:p w14:paraId="4A282B58" w14:textId="0DF0A156" w:rsidR="004D69DD" w:rsidRPr="00C561D4" w:rsidRDefault="00375CEF" w:rsidP="00221417">
            <w:pPr>
              <w:pStyle w:val="Paragraph"/>
              <w:spacing w:after="0" w:line="240" w:lineRule="auto"/>
              <w:jc w:val="center"/>
              <w:rPr>
                <w:rFonts w:eastAsia="Calibri"/>
                <w:noProof/>
                <w:color w:val="000000"/>
                <w:sz w:val="22"/>
                <w:szCs w:val="22"/>
              </w:rPr>
            </w:pPr>
            <w:r w:rsidRPr="00C561D4">
              <w:rPr>
                <w:rFonts w:eastAsia="Calibri"/>
                <w:noProof/>
                <w:color w:val="000000"/>
                <w:sz w:val="22"/>
                <w:szCs w:val="22"/>
              </w:rPr>
              <w:t>17.7</w:t>
            </w:r>
          </w:p>
        </w:tc>
        <w:tc>
          <w:tcPr>
            <w:tcW w:w="511" w:type="dxa"/>
            <w:vAlign w:val="center"/>
          </w:tcPr>
          <w:p w14:paraId="0213A358" w14:textId="27733EF1" w:rsidR="004D69DD" w:rsidRPr="00C561D4" w:rsidRDefault="00375CEF" w:rsidP="00221417">
            <w:pPr>
              <w:pStyle w:val="Paragraph"/>
              <w:spacing w:after="0" w:line="240" w:lineRule="auto"/>
              <w:jc w:val="center"/>
              <w:rPr>
                <w:rFonts w:eastAsia="Calibri"/>
                <w:noProof/>
                <w:color w:val="000000"/>
                <w:sz w:val="22"/>
                <w:szCs w:val="22"/>
              </w:rPr>
            </w:pPr>
            <w:r w:rsidRPr="00C561D4">
              <w:rPr>
                <w:rFonts w:eastAsia="Calibri"/>
                <w:noProof/>
                <w:color w:val="000000"/>
                <w:sz w:val="22"/>
                <w:szCs w:val="22"/>
              </w:rPr>
              <w:t>36.5</w:t>
            </w:r>
          </w:p>
        </w:tc>
        <w:tc>
          <w:tcPr>
            <w:tcW w:w="680" w:type="dxa"/>
            <w:vAlign w:val="center"/>
          </w:tcPr>
          <w:p w14:paraId="466E0850" w14:textId="205A439D" w:rsidR="004D69DD" w:rsidRPr="00C561D4" w:rsidRDefault="00EE1107" w:rsidP="00221417">
            <w:pPr>
              <w:pStyle w:val="Paragraph"/>
              <w:spacing w:after="0" w:line="240" w:lineRule="auto"/>
              <w:jc w:val="center"/>
              <w:rPr>
                <w:rFonts w:eastAsia="Calibri"/>
                <w:noProof/>
                <w:color w:val="000000"/>
                <w:sz w:val="22"/>
                <w:szCs w:val="22"/>
              </w:rPr>
            </w:pPr>
            <w:r w:rsidRPr="00C561D4">
              <w:rPr>
                <w:rFonts w:eastAsia="Calibri"/>
                <w:noProof/>
                <w:color w:val="000000"/>
                <w:sz w:val="22"/>
                <w:szCs w:val="22"/>
              </w:rPr>
              <w:t>25.</w:t>
            </w:r>
            <w:r w:rsidR="00D96A6B" w:rsidRPr="00C561D4">
              <w:rPr>
                <w:rFonts w:eastAsia="Calibri"/>
                <w:noProof/>
                <w:color w:val="000000"/>
                <w:sz w:val="22"/>
                <w:szCs w:val="22"/>
              </w:rPr>
              <w:t>4</w:t>
            </w:r>
          </w:p>
        </w:tc>
        <w:tc>
          <w:tcPr>
            <w:tcW w:w="765" w:type="dxa"/>
            <w:vAlign w:val="center"/>
          </w:tcPr>
          <w:p w14:paraId="0641B864" w14:textId="2E218D54" w:rsidR="004D69DD" w:rsidRPr="00C561D4" w:rsidRDefault="00EE1107" w:rsidP="00221417">
            <w:pPr>
              <w:pStyle w:val="Paragraph"/>
              <w:spacing w:after="0" w:line="240" w:lineRule="auto"/>
              <w:jc w:val="center"/>
              <w:rPr>
                <w:rFonts w:eastAsia="Calibri"/>
                <w:noProof/>
                <w:color w:val="000000"/>
                <w:sz w:val="22"/>
                <w:szCs w:val="22"/>
              </w:rPr>
            </w:pPr>
            <w:r w:rsidRPr="00C561D4">
              <w:rPr>
                <w:rFonts w:eastAsia="Calibri"/>
                <w:noProof/>
                <w:color w:val="000000"/>
                <w:sz w:val="22"/>
                <w:szCs w:val="22"/>
              </w:rPr>
              <w:t>6</w:t>
            </w:r>
            <w:r w:rsidR="00626543" w:rsidRPr="00C561D4">
              <w:rPr>
                <w:rFonts w:eastAsia="Calibri"/>
                <w:noProof/>
                <w:color w:val="000000"/>
                <w:sz w:val="22"/>
                <w:szCs w:val="22"/>
              </w:rPr>
              <w:t>2</w:t>
            </w:r>
            <w:r w:rsidRPr="00C561D4">
              <w:rPr>
                <w:rFonts w:eastAsia="Calibri"/>
                <w:noProof/>
                <w:color w:val="000000"/>
                <w:sz w:val="22"/>
                <w:szCs w:val="22"/>
              </w:rPr>
              <w:t>.</w:t>
            </w:r>
            <w:r w:rsidR="00626543" w:rsidRPr="00C561D4">
              <w:rPr>
                <w:rFonts w:eastAsia="Calibri"/>
                <w:noProof/>
                <w:color w:val="000000"/>
                <w:sz w:val="22"/>
                <w:szCs w:val="22"/>
              </w:rPr>
              <w:t>8</w:t>
            </w:r>
          </w:p>
        </w:tc>
        <w:tc>
          <w:tcPr>
            <w:tcW w:w="511" w:type="dxa"/>
            <w:vAlign w:val="center"/>
          </w:tcPr>
          <w:p w14:paraId="224B77D9" w14:textId="7A1087A4" w:rsidR="004D69DD" w:rsidRPr="00C561D4" w:rsidRDefault="0095318E" w:rsidP="00221417">
            <w:pPr>
              <w:pStyle w:val="Paragraph"/>
              <w:spacing w:after="0" w:line="240" w:lineRule="auto"/>
              <w:jc w:val="center"/>
              <w:rPr>
                <w:rFonts w:eastAsia="Calibri"/>
                <w:noProof/>
                <w:color w:val="000000"/>
                <w:sz w:val="22"/>
                <w:szCs w:val="22"/>
              </w:rPr>
            </w:pPr>
            <w:r w:rsidRPr="00C561D4">
              <w:rPr>
                <w:rFonts w:eastAsia="Calibri"/>
                <w:noProof/>
                <w:color w:val="000000"/>
                <w:sz w:val="22"/>
                <w:szCs w:val="22"/>
              </w:rPr>
              <w:t>24.6</w:t>
            </w:r>
          </w:p>
        </w:tc>
        <w:tc>
          <w:tcPr>
            <w:tcW w:w="511" w:type="dxa"/>
            <w:vAlign w:val="center"/>
          </w:tcPr>
          <w:p w14:paraId="4441770E" w14:textId="3478F932" w:rsidR="004D69DD" w:rsidRPr="00C561D4" w:rsidRDefault="0095318E" w:rsidP="00221417">
            <w:pPr>
              <w:suppressAutoHyphens w:val="0"/>
              <w:rPr>
                <w:rFonts w:ascii="Times New Roman" w:hAnsi="Times New Roman" w:cs="Times New Roman"/>
                <w:noProof/>
                <w:color w:val="000000"/>
              </w:rPr>
            </w:pPr>
            <w:r w:rsidRPr="00C561D4">
              <w:rPr>
                <w:rFonts w:ascii="Times New Roman" w:hAnsi="Times New Roman" w:cs="Times New Roman"/>
                <w:noProof/>
                <w:color w:val="000000"/>
              </w:rPr>
              <w:t>18.1</w:t>
            </w:r>
          </w:p>
        </w:tc>
        <w:tc>
          <w:tcPr>
            <w:tcW w:w="765" w:type="dxa"/>
            <w:vAlign w:val="center"/>
          </w:tcPr>
          <w:p w14:paraId="1E8128E8" w14:textId="00A5D999" w:rsidR="004D69DD" w:rsidRPr="00C561D4" w:rsidRDefault="00B62886" w:rsidP="00221417">
            <w:pPr>
              <w:pStyle w:val="Paragraph"/>
              <w:spacing w:after="0" w:line="240" w:lineRule="auto"/>
              <w:jc w:val="center"/>
              <w:rPr>
                <w:rFonts w:eastAsia="Calibri"/>
                <w:b/>
                <w:noProof/>
                <w:color w:val="000000"/>
                <w:sz w:val="22"/>
                <w:szCs w:val="22"/>
              </w:rPr>
            </w:pPr>
            <w:r w:rsidRPr="00C561D4">
              <w:rPr>
                <w:rFonts w:eastAsia="Calibri"/>
                <w:b/>
                <w:noProof/>
                <w:color w:val="000000"/>
                <w:sz w:val="22"/>
                <w:szCs w:val="22"/>
              </w:rPr>
              <w:t>2</w:t>
            </w:r>
            <w:r w:rsidR="00294326" w:rsidRPr="00C561D4">
              <w:rPr>
                <w:rFonts w:eastAsia="Calibri"/>
                <w:b/>
                <w:noProof/>
                <w:color w:val="000000"/>
                <w:sz w:val="22"/>
                <w:szCs w:val="22"/>
              </w:rPr>
              <w:t>5</w:t>
            </w:r>
            <w:r w:rsidRPr="00C561D4">
              <w:rPr>
                <w:rFonts w:eastAsia="Calibri"/>
                <w:b/>
                <w:noProof/>
                <w:color w:val="000000"/>
                <w:sz w:val="22"/>
                <w:szCs w:val="22"/>
              </w:rPr>
              <w:t>.</w:t>
            </w:r>
            <w:r w:rsidR="00294326" w:rsidRPr="00C561D4">
              <w:rPr>
                <w:rFonts w:eastAsia="Calibri"/>
                <w:b/>
                <w:noProof/>
                <w:color w:val="000000"/>
                <w:sz w:val="22"/>
                <w:szCs w:val="22"/>
              </w:rPr>
              <w:t>2</w:t>
            </w:r>
          </w:p>
        </w:tc>
      </w:tr>
    </w:tbl>
    <w:p w14:paraId="2035E4C1" w14:textId="77777777" w:rsidR="00C368FB" w:rsidRPr="00486446" w:rsidRDefault="00C368FB">
      <w:pPr>
        <w:jc w:val="both"/>
        <w:rPr>
          <w:rFonts w:ascii="Times New Roman" w:eastAsia="Times New Roman" w:hAnsi="Times New Roman" w:cs="Times New Roman"/>
          <w:noProof/>
          <w:sz w:val="24"/>
          <w:szCs w:val="24"/>
          <w:lang w:val="en-IE"/>
        </w:rPr>
      </w:pPr>
    </w:p>
    <w:p w14:paraId="0D373C16" w14:textId="58863C4F" w:rsidR="002677E2" w:rsidRDefault="002677E2">
      <w:pPr>
        <w:suppressAutoHyphens w:val="0"/>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br w:type="page"/>
      </w:r>
    </w:p>
    <w:p w14:paraId="78E43A5F" w14:textId="1598D27B" w:rsidR="00215C53" w:rsidRPr="00E9362C" w:rsidRDefault="00215C53" w:rsidP="0065549F">
      <w:pPr>
        <w:pStyle w:val="Heading3"/>
        <w:spacing w:before="0" w:after="160" w:line="250" w:lineRule="auto"/>
        <w:rPr>
          <w:rFonts w:ascii="Times New Roman" w:hAnsi="Times New Roman"/>
          <w:b/>
          <w:bCs/>
          <w:noProof/>
          <w:color w:val="auto"/>
        </w:rPr>
      </w:pPr>
      <w:bookmarkStart w:id="126" w:name="_Toc220103461"/>
      <w:r w:rsidRPr="00E9362C">
        <w:rPr>
          <w:rFonts w:ascii="Times New Roman" w:hAnsi="Times New Roman"/>
          <w:b/>
          <w:bCs/>
          <w:noProof/>
          <w:color w:val="auto"/>
        </w:rPr>
        <w:t>KPI 2</w:t>
      </w:r>
      <w:r w:rsidR="005F35CF">
        <w:rPr>
          <w:rFonts w:ascii="Times New Roman" w:hAnsi="Times New Roman"/>
          <w:b/>
          <w:bCs/>
          <w:noProof/>
          <w:color w:val="auto"/>
        </w:rPr>
        <w:t>5</w:t>
      </w:r>
      <w:r w:rsidRPr="00E9362C">
        <w:rPr>
          <w:rFonts w:ascii="Times New Roman" w:hAnsi="Times New Roman"/>
          <w:b/>
          <w:bCs/>
          <w:noProof/>
          <w:color w:val="auto"/>
        </w:rPr>
        <w:t>: Annual growth in renewable electricity generation</w:t>
      </w:r>
      <w:bookmarkEnd w:id="126"/>
    </w:p>
    <w:p w14:paraId="61757619" w14:textId="6BA1896A" w:rsidR="00215C53" w:rsidRPr="00486446" w:rsidRDefault="00E543AF" w:rsidP="006E0577">
      <w:pPr>
        <w:pStyle w:val="Paragraph"/>
        <w:spacing w:line="250" w:lineRule="auto"/>
        <w:rPr>
          <w:noProof/>
          <w:lang w:val="en-IE"/>
        </w:rPr>
      </w:pPr>
      <w:r w:rsidRPr="00486446">
        <w:rPr>
          <w:noProof/>
          <w:lang w:val="en-IE"/>
        </w:rPr>
        <w:t>KPI 2</w:t>
      </w:r>
      <w:r w:rsidR="005F35CF">
        <w:rPr>
          <w:noProof/>
          <w:lang w:val="en-IE"/>
        </w:rPr>
        <w:t>5</w:t>
      </w:r>
      <w:r w:rsidR="00215C53" w:rsidRPr="00486446">
        <w:rPr>
          <w:noProof/>
          <w:lang w:val="en-IE"/>
        </w:rPr>
        <w:t xml:space="preserve"> measures the annually added capacity</w:t>
      </w:r>
      <w:r w:rsidR="000565FA" w:rsidRPr="00486446">
        <w:rPr>
          <w:noProof/>
          <w:lang w:val="en-IE"/>
        </w:rPr>
        <w:t xml:space="preserve"> (in GW)</w:t>
      </w:r>
      <w:r w:rsidR="00215C53" w:rsidRPr="00486446">
        <w:rPr>
          <w:noProof/>
          <w:lang w:val="en-IE"/>
        </w:rPr>
        <w:t xml:space="preserve"> to generate renewable electricity.</w:t>
      </w:r>
    </w:p>
    <w:p w14:paraId="4ACB9BA7" w14:textId="137EBE02" w:rsidR="00642A35" w:rsidRPr="00486446" w:rsidRDefault="00642A35" w:rsidP="006E0577">
      <w:pPr>
        <w:pStyle w:val="Paragraph"/>
        <w:spacing w:line="250" w:lineRule="auto"/>
        <w:rPr>
          <w:noProof/>
          <w:lang w:val="en-IE"/>
        </w:rPr>
      </w:pPr>
      <w:r w:rsidRPr="00486446">
        <w:rPr>
          <w:noProof/>
          <w:lang w:val="en-IE"/>
        </w:rPr>
        <w:t>This KPI tracks progress against the objective laid down in the Clean Industrial Deal</w:t>
      </w:r>
      <w:r w:rsidR="0049504C" w:rsidRPr="00486446">
        <w:rPr>
          <w:noProof/>
          <w:lang w:val="en-IE"/>
        </w:rPr>
        <w:t xml:space="preserve"> of installing at least 100 GW of new renewable energy per year.</w:t>
      </w:r>
    </w:p>
    <w:p w14:paraId="668C56DF" w14:textId="15948B35" w:rsidR="000C0B93" w:rsidRDefault="7751E1B2" w:rsidP="006E0577">
      <w:pPr>
        <w:spacing w:after="160" w:line="250" w:lineRule="auto"/>
        <w:jc w:val="both"/>
        <w:rPr>
          <w:rFonts w:ascii="Times New Roman" w:eastAsia="Times New Roman" w:hAnsi="Times New Roman" w:cs="Times New Roman"/>
          <w:noProof/>
          <w:sz w:val="24"/>
          <w:szCs w:val="24"/>
          <w:lang w:val="en-IE"/>
        </w:rPr>
      </w:pPr>
      <w:r w:rsidRPr="0069526E">
        <w:rPr>
          <w:rFonts w:ascii="Times New Roman" w:eastAsia="Times New Roman" w:hAnsi="Times New Roman" w:cs="Times New Roman"/>
          <w:noProof/>
          <w:sz w:val="24"/>
          <w:szCs w:val="24"/>
          <w:lang w:val="en-IE"/>
        </w:rPr>
        <w:t xml:space="preserve">The capacity added every year to generate renewable electricity has been accelerating: it was around </w:t>
      </w:r>
      <w:r w:rsidR="00E47809" w:rsidRPr="00703D9D">
        <w:rPr>
          <w:rFonts w:ascii="Times New Roman" w:eastAsia="Times New Roman" w:hAnsi="Times New Roman" w:cs="Times New Roman"/>
          <w:noProof/>
          <w:sz w:val="24"/>
          <w:szCs w:val="24"/>
          <w:lang w:val="en-IE"/>
        </w:rPr>
        <w:t>68</w:t>
      </w:r>
      <w:r w:rsidRPr="0069526E">
        <w:rPr>
          <w:rFonts w:ascii="Times New Roman" w:eastAsia="Times New Roman" w:hAnsi="Times New Roman" w:cs="Times New Roman"/>
          <w:noProof/>
          <w:sz w:val="24"/>
          <w:szCs w:val="24"/>
          <w:lang w:val="en-IE"/>
        </w:rPr>
        <w:t xml:space="preserve"> GW in 2024, more than double the value of 2020.</w:t>
      </w:r>
      <w:r w:rsidR="49264955" w:rsidRPr="0069526E">
        <w:rPr>
          <w:rFonts w:ascii="Times New Roman" w:eastAsia="Times New Roman" w:hAnsi="Times New Roman" w:cs="Times New Roman"/>
          <w:noProof/>
          <w:sz w:val="24"/>
          <w:szCs w:val="24"/>
          <w:lang w:val="en-IE"/>
        </w:rPr>
        <w:t xml:space="preserve"> </w:t>
      </w:r>
    </w:p>
    <w:p w14:paraId="3D3B3CD3" w14:textId="77777777" w:rsidR="00D03430" w:rsidRDefault="00D03430" w:rsidP="006E0577">
      <w:pPr>
        <w:spacing w:after="160" w:line="250" w:lineRule="auto"/>
        <w:jc w:val="both"/>
        <w:rPr>
          <w:rFonts w:ascii="Times New Roman" w:eastAsia="Times New Roman" w:hAnsi="Times New Roman" w:cs="Times New Roman"/>
          <w:noProof/>
          <w:sz w:val="24"/>
          <w:szCs w:val="24"/>
          <w:lang w:val="en-IE"/>
        </w:rPr>
      </w:pPr>
    </w:p>
    <w:p w14:paraId="6F20813E" w14:textId="7EAD4059" w:rsidR="00A97B71" w:rsidRPr="00486446" w:rsidRDefault="00215C53" w:rsidP="006E0577">
      <w:pPr>
        <w:pStyle w:val="Paragraph"/>
        <w:spacing w:line="250" w:lineRule="auto"/>
        <w:rPr>
          <w:noProof/>
          <w:lang w:val="en-IE"/>
        </w:rPr>
      </w:pPr>
      <w:r w:rsidRPr="00486446">
        <w:rPr>
          <w:b/>
          <w:noProof/>
          <w:lang w:val="en-IE"/>
        </w:rPr>
        <w:t>Figure 2</w:t>
      </w:r>
      <w:r w:rsidR="005F35CF">
        <w:rPr>
          <w:b/>
          <w:noProof/>
          <w:lang w:val="en-IE"/>
        </w:rPr>
        <w:t>5</w:t>
      </w:r>
      <w:r w:rsidRPr="00486446">
        <w:rPr>
          <w:b/>
          <w:noProof/>
          <w:lang w:val="en-IE"/>
        </w:rPr>
        <w:t>:</w:t>
      </w:r>
      <w:r w:rsidRPr="00486446">
        <w:rPr>
          <w:noProof/>
          <w:lang w:val="en-IE"/>
        </w:rPr>
        <w:t xml:space="preserve"> </w:t>
      </w:r>
      <w:r w:rsidR="00B62B44" w:rsidRPr="00486446">
        <w:rPr>
          <w:noProof/>
        </w:rPr>
        <w:t xml:space="preserve">Annual growth in </w:t>
      </w:r>
      <w:r w:rsidR="00171731" w:rsidRPr="00486446">
        <w:rPr>
          <w:noProof/>
        </w:rPr>
        <w:t>EU installed</w:t>
      </w:r>
      <w:r w:rsidR="00B62B44" w:rsidRPr="00486446">
        <w:rPr>
          <w:noProof/>
        </w:rPr>
        <w:t xml:space="preserve"> renewable electricity generation</w:t>
      </w:r>
      <w:r w:rsidR="00171731" w:rsidRPr="00486446">
        <w:rPr>
          <w:noProof/>
        </w:rPr>
        <w:t xml:space="preserve"> capacity</w:t>
      </w:r>
      <w:r w:rsidR="0040726C" w:rsidRPr="00486446">
        <w:rPr>
          <w:noProof/>
        </w:rPr>
        <w:t>.</w:t>
      </w:r>
    </w:p>
    <w:p w14:paraId="2EE4750F" w14:textId="578A9D34" w:rsidR="00215C53" w:rsidRPr="00486446" w:rsidRDefault="00EE589C" w:rsidP="00A80FFD">
      <w:pPr>
        <w:pStyle w:val="Paragraph"/>
        <w:jc w:val="center"/>
        <w:rPr>
          <w:noProof/>
          <w:lang w:val="en-IE"/>
        </w:rPr>
      </w:pPr>
      <w:r w:rsidRPr="00EE589C">
        <w:rPr>
          <w:noProof/>
        </w:rPr>
        <w:t xml:space="preserve"> </w:t>
      </w:r>
      <w:r w:rsidR="003A7DDA">
        <w:rPr>
          <w:noProof/>
          <w:lang w:eastAsia="en-GB"/>
        </w:rPr>
        <w:drawing>
          <wp:inline distT="0" distB="0" distL="0" distR="0" wp14:anchorId="12B5A087" wp14:editId="5CDC1E1A">
            <wp:extent cx="5000625" cy="3152775"/>
            <wp:effectExtent l="0" t="0" r="9525" b="9525"/>
            <wp:docPr id="6783747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74799" name=""/>
                    <pic:cNvPicPr/>
                  </pic:nvPicPr>
                  <pic:blipFill>
                    <a:blip r:embed="rId96">
                      <a:extLst>
                        <a:ext uri="{96DAC541-7B7A-43D3-8B79-37D633B846F1}">
                          <asvg:svgBlip xmlns:asvg="http://schemas.microsoft.com/office/drawing/2016/SVG/main" r:embed="rId97"/>
                        </a:ext>
                      </a:extLst>
                    </a:blip>
                    <a:stretch>
                      <a:fillRect/>
                    </a:stretch>
                  </pic:blipFill>
                  <pic:spPr>
                    <a:xfrm>
                      <a:off x="0" y="0"/>
                      <a:ext cx="5000625" cy="3152775"/>
                    </a:xfrm>
                    <a:prstGeom prst="rect">
                      <a:avLst/>
                    </a:prstGeom>
                  </pic:spPr>
                </pic:pic>
              </a:graphicData>
            </a:graphic>
          </wp:inline>
        </w:drawing>
      </w:r>
    </w:p>
    <w:p w14:paraId="1A10AA85" w14:textId="00D32D02" w:rsidR="00F65646" w:rsidRPr="00486446" w:rsidRDefault="00215C53" w:rsidP="00433F93">
      <w:pPr>
        <w:pStyle w:val="Paragraph"/>
        <w:rPr>
          <w:noProof/>
          <w:sz w:val="20"/>
          <w:szCs w:val="20"/>
          <w:lang w:val="en-IE"/>
        </w:rPr>
      </w:pPr>
      <w:r w:rsidRPr="0069526E">
        <w:rPr>
          <w:noProof/>
          <w:sz w:val="20"/>
          <w:szCs w:val="20"/>
          <w:lang w:val="en-IE"/>
        </w:rPr>
        <w:t xml:space="preserve">Source: </w:t>
      </w:r>
      <w:r w:rsidR="00433F93" w:rsidRPr="0069526E">
        <w:rPr>
          <w:noProof/>
          <w:sz w:val="20"/>
          <w:szCs w:val="20"/>
          <w:lang w:val="en-IE"/>
        </w:rPr>
        <w:t xml:space="preserve">European Commission </w:t>
      </w:r>
      <w:r w:rsidR="009B747F" w:rsidRPr="0069526E">
        <w:rPr>
          <w:noProof/>
          <w:sz w:val="20"/>
          <w:szCs w:val="20"/>
          <w:lang w:val="en-IE"/>
        </w:rPr>
        <w:t>services</w:t>
      </w:r>
      <w:r w:rsidR="00E65A55" w:rsidRPr="00B53C1F">
        <w:rPr>
          <w:rStyle w:val="FootnoteReference"/>
          <w:noProof/>
          <w:sz w:val="20"/>
          <w:szCs w:val="20"/>
          <w:lang w:val="en-IE"/>
        </w:rPr>
        <w:footnoteReference w:id="26"/>
      </w:r>
      <w:r w:rsidR="006A182C" w:rsidRPr="0069526E">
        <w:rPr>
          <w:noProof/>
          <w:sz w:val="20"/>
          <w:szCs w:val="20"/>
          <w:lang w:val="en-IE"/>
        </w:rPr>
        <w:t xml:space="preserve">. The </w:t>
      </w:r>
      <w:r w:rsidR="00622479">
        <w:rPr>
          <w:noProof/>
          <w:sz w:val="20"/>
          <w:szCs w:val="20"/>
          <w:lang w:val="en-IE"/>
        </w:rPr>
        <w:t>objective</w:t>
      </w:r>
      <w:r w:rsidR="00622479" w:rsidRPr="0069526E">
        <w:rPr>
          <w:noProof/>
          <w:sz w:val="20"/>
          <w:szCs w:val="20"/>
          <w:lang w:val="en-IE"/>
        </w:rPr>
        <w:t xml:space="preserve"> </w:t>
      </w:r>
      <w:r w:rsidR="00CD69CD" w:rsidRPr="0069526E">
        <w:rPr>
          <w:noProof/>
          <w:sz w:val="20"/>
          <w:szCs w:val="20"/>
          <w:lang w:val="en-IE"/>
        </w:rPr>
        <w:t>refers to yearly capacity needed</w:t>
      </w:r>
      <w:r w:rsidR="00491570" w:rsidRPr="0069526E">
        <w:rPr>
          <w:noProof/>
          <w:sz w:val="20"/>
          <w:szCs w:val="20"/>
          <w:lang w:val="en-IE"/>
        </w:rPr>
        <w:t xml:space="preserve"> in the next 5 years to reach the 2030</w:t>
      </w:r>
      <w:r w:rsidR="00C600F0" w:rsidRPr="0069526E">
        <w:rPr>
          <w:noProof/>
          <w:sz w:val="20"/>
          <w:szCs w:val="20"/>
          <w:lang w:val="en-IE"/>
        </w:rPr>
        <w:t xml:space="preserve"> renewable energy target.</w:t>
      </w:r>
    </w:p>
    <w:p w14:paraId="73C4445E" w14:textId="77777777" w:rsidR="00803DA1" w:rsidRPr="00486446" w:rsidRDefault="00803DA1" w:rsidP="00433F93">
      <w:pPr>
        <w:pStyle w:val="Paragraph"/>
        <w:rPr>
          <w:noProof/>
          <w:sz w:val="20"/>
          <w:szCs w:val="20"/>
          <w:lang w:val="en-IE"/>
        </w:rPr>
      </w:pPr>
    </w:p>
    <w:p w14:paraId="00CD8403" w14:textId="573606F8" w:rsidR="00BC00DB" w:rsidRDefault="00BC00DB">
      <w:pPr>
        <w:suppressAutoHyphens w:val="0"/>
        <w:rPr>
          <w:rFonts w:ascii="Times New Roman" w:eastAsia="Times New Roman" w:hAnsi="Times New Roman" w:cs="Times New Roman"/>
          <w:noProof/>
          <w:sz w:val="20"/>
          <w:szCs w:val="20"/>
          <w:lang w:val="en-IE"/>
        </w:rPr>
      </w:pPr>
      <w:r>
        <w:rPr>
          <w:noProof/>
          <w:sz w:val="20"/>
          <w:szCs w:val="20"/>
          <w:lang w:val="en-IE"/>
        </w:rPr>
        <w:br w:type="page"/>
      </w:r>
    </w:p>
    <w:p w14:paraId="44F29B11" w14:textId="77777777" w:rsidR="00F65646" w:rsidRPr="00E9362C" w:rsidRDefault="00F65646" w:rsidP="0065549F">
      <w:pPr>
        <w:pStyle w:val="Heading2"/>
        <w:numPr>
          <w:ilvl w:val="0"/>
          <w:numId w:val="31"/>
        </w:numPr>
        <w:spacing w:before="0" w:after="160" w:line="250" w:lineRule="auto"/>
        <w:rPr>
          <w:rFonts w:ascii="Times New Roman" w:hAnsi="Times New Roman"/>
          <w:b/>
          <w:bCs/>
          <w:noProof/>
          <w:color w:val="auto"/>
          <w:sz w:val="28"/>
          <w:szCs w:val="28"/>
        </w:rPr>
      </w:pPr>
      <w:bookmarkStart w:id="127" w:name="_Toc185237903"/>
      <w:bookmarkStart w:id="128" w:name="_Toc185239906"/>
      <w:bookmarkStart w:id="129" w:name="_Toc185264669"/>
      <w:bookmarkStart w:id="130" w:name="_Toc185525762"/>
      <w:bookmarkStart w:id="131" w:name="_Toc185591302"/>
      <w:bookmarkStart w:id="132" w:name="_Toc220103462"/>
      <w:r w:rsidRPr="00E9362C">
        <w:rPr>
          <w:rFonts w:ascii="Times New Roman" w:hAnsi="Times New Roman"/>
          <w:b/>
          <w:bCs/>
          <w:noProof/>
          <w:color w:val="auto"/>
          <w:sz w:val="28"/>
          <w:szCs w:val="28"/>
        </w:rPr>
        <w:t>Increasing security and reducing dependencies</w:t>
      </w:r>
      <w:bookmarkEnd w:id="127"/>
      <w:bookmarkEnd w:id="128"/>
      <w:bookmarkEnd w:id="129"/>
      <w:bookmarkEnd w:id="130"/>
      <w:bookmarkEnd w:id="131"/>
      <w:bookmarkEnd w:id="132"/>
    </w:p>
    <w:p w14:paraId="1DE7753C" w14:textId="77777777" w:rsidR="00831A1B" w:rsidRPr="00486446" w:rsidRDefault="00831A1B" w:rsidP="0065549F">
      <w:pPr>
        <w:spacing w:after="160" w:line="250" w:lineRule="auto"/>
        <w:rPr>
          <w:rFonts w:ascii="Times New Roman" w:hAnsi="Times New Roman" w:cs="Times New Roman"/>
          <w:noProof/>
        </w:rPr>
      </w:pPr>
      <w:bookmarkStart w:id="133" w:name="_Toc183515550"/>
      <w:bookmarkStart w:id="134" w:name="_Toc185237905"/>
      <w:bookmarkStart w:id="135" w:name="_Toc185239908"/>
      <w:bookmarkStart w:id="136" w:name="_Toc185264671"/>
      <w:bookmarkStart w:id="137" w:name="_Toc185525764"/>
      <w:bookmarkStart w:id="138" w:name="_Toc185591304"/>
    </w:p>
    <w:p w14:paraId="79B713C8" w14:textId="40725CA6" w:rsidR="00C1173C" w:rsidRPr="00E9362C" w:rsidRDefault="00F50AF8" w:rsidP="0065549F">
      <w:pPr>
        <w:pStyle w:val="Heading3"/>
        <w:spacing w:before="0" w:after="160" w:line="250" w:lineRule="auto"/>
        <w:rPr>
          <w:rFonts w:ascii="Times New Roman" w:hAnsi="Times New Roman"/>
          <w:b/>
          <w:bCs/>
          <w:noProof/>
          <w:color w:val="auto"/>
        </w:rPr>
      </w:pPr>
      <w:bookmarkStart w:id="139" w:name="_Toc220103463"/>
      <w:r w:rsidRPr="00E9362C">
        <w:rPr>
          <w:rFonts w:ascii="Times New Roman" w:hAnsi="Times New Roman"/>
          <w:b/>
          <w:bCs/>
          <w:noProof/>
          <w:color w:val="auto"/>
        </w:rPr>
        <w:t>KPI 2</w:t>
      </w:r>
      <w:r w:rsidR="00062AC2">
        <w:rPr>
          <w:rFonts w:ascii="Times New Roman" w:hAnsi="Times New Roman"/>
          <w:b/>
          <w:bCs/>
          <w:noProof/>
          <w:color w:val="auto"/>
        </w:rPr>
        <w:t>6</w:t>
      </w:r>
      <w:r w:rsidRPr="00E9362C">
        <w:rPr>
          <w:rFonts w:ascii="Times New Roman" w:hAnsi="Times New Roman"/>
          <w:b/>
          <w:bCs/>
          <w:noProof/>
          <w:color w:val="auto"/>
        </w:rPr>
        <w:t>: Trade with the rest of the world</w:t>
      </w:r>
      <w:bookmarkEnd w:id="133"/>
      <w:bookmarkEnd w:id="134"/>
      <w:bookmarkEnd w:id="135"/>
      <w:bookmarkEnd w:id="136"/>
      <w:bookmarkEnd w:id="137"/>
      <w:bookmarkEnd w:id="138"/>
      <w:bookmarkEnd w:id="139"/>
    </w:p>
    <w:p w14:paraId="60DD65C5" w14:textId="6BE65437" w:rsidR="008D707E" w:rsidRPr="00486446" w:rsidRDefault="000565FA" w:rsidP="006E0577">
      <w:pPr>
        <w:pStyle w:val="Paragraph"/>
        <w:spacing w:line="250" w:lineRule="auto"/>
        <w:rPr>
          <w:noProof/>
          <w:kern w:val="0"/>
          <w:lang w:val="en-IE" w:eastAsia="en-IE"/>
        </w:rPr>
      </w:pPr>
      <w:r w:rsidRPr="00486446">
        <w:rPr>
          <w:noProof/>
          <w:lang w:val="en-IE"/>
        </w:rPr>
        <w:t>KPI 2</w:t>
      </w:r>
      <w:r w:rsidR="00062AC2">
        <w:rPr>
          <w:noProof/>
          <w:lang w:val="en-IE"/>
        </w:rPr>
        <w:t>6</w:t>
      </w:r>
      <w:r w:rsidR="00C52CFC" w:rsidRPr="00486446">
        <w:rPr>
          <w:noProof/>
          <w:lang w:val="en-IE"/>
        </w:rPr>
        <w:t xml:space="preserve"> tracks </w:t>
      </w:r>
      <w:r w:rsidR="008D707E" w:rsidRPr="00486446">
        <w:rPr>
          <w:noProof/>
          <w:kern w:val="0"/>
          <w:lang w:val="en-IE" w:eastAsia="en-IE"/>
        </w:rPr>
        <w:t xml:space="preserve">the </w:t>
      </w:r>
      <w:r w:rsidRPr="00486446">
        <w:rPr>
          <w:noProof/>
          <w:lang w:val="en-IE"/>
        </w:rPr>
        <w:t xml:space="preserve">EU’s degree of economic integration with the rest of the world by measuring </w:t>
      </w:r>
      <w:r w:rsidR="008D707E" w:rsidRPr="00486446">
        <w:rPr>
          <w:noProof/>
          <w:kern w:val="0"/>
          <w:lang w:val="en-IE" w:eastAsia="en-IE"/>
        </w:rPr>
        <w:t>trade flows in goods and services with the rest of the world as share</w:t>
      </w:r>
      <w:r w:rsidR="00507718">
        <w:rPr>
          <w:noProof/>
          <w:kern w:val="0"/>
          <w:lang w:val="en-IE" w:eastAsia="en-IE"/>
        </w:rPr>
        <w:t>s</w:t>
      </w:r>
      <w:r w:rsidR="008D707E" w:rsidRPr="00486446">
        <w:rPr>
          <w:noProof/>
          <w:kern w:val="0"/>
          <w:lang w:val="en-IE" w:eastAsia="en-IE"/>
        </w:rPr>
        <w:t xml:space="preserve"> of total EU GDP. Trade is measured by the average of imports and exports. </w:t>
      </w:r>
    </w:p>
    <w:p w14:paraId="6B66FB24" w14:textId="125AF861" w:rsidR="007F1990" w:rsidRDefault="007B20DB" w:rsidP="006E0577">
      <w:pPr>
        <w:pStyle w:val="Text1"/>
        <w:widowControl w:val="0"/>
        <w:spacing w:after="160" w:line="250" w:lineRule="auto"/>
        <w:ind w:left="0"/>
        <w:rPr>
          <w:noProof/>
          <w:color w:val="000000" w:themeColor="text1"/>
          <w:lang w:val="en-IE"/>
        </w:rPr>
      </w:pPr>
      <w:r w:rsidRPr="0065549F">
        <w:rPr>
          <w:noProof/>
          <w:color w:val="000000" w:themeColor="text1"/>
          <w:lang w:val="en-IE"/>
        </w:rPr>
        <w:t xml:space="preserve">The long-term trend shows growing trade integration with the rest of the world, but there are signals pointing towards a slow-down or even a reversal. </w:t>
      </w:r>
      <w:r w:rsidRPr="007B20DB">
        <w:rPr>
          <w:noProof/>
          <w:color w:val="000000" w:themeColor="text1"/>
          <w:lang w:val="en-IE"/>
        </w:rPr>
        <w:t>EU trade in goods with the rest of the world continue</w:t>
      </w:r>
      <w:r w:rsidR="00B56164">
        <w:rPr>
          <w:noProof/>
          <w:color w:val="000000" w:themeColor="text1"/>
          <w:lang w:val="en-IE"/>
        </w:rPr>
        <w:t>d</w:t>
      </w:r>
      <w:r w:rsidRPr="007B20DB">
        <w:rPr>
          <w:noProof/>
          <w:color w:val="000000" w:themeColor="text1"/>
          <w:lang w:val="en-IE"/>
        </w:rPr>
        <w:t xml:space="preserve"> to </w:t>
      </w:r>
      <w:r w:rsidR="00EC4B4B">
        <w:rPr>
          <w:noProof/>
          <w:color w:val="000000" w:themeColor="text1"/>
          <w:lang w:val="en-IE"/>
        </w:rPr>
        <w:t>decline</w:t>
      </w:r>
      <w:r w:rsidR="00EC4B4B" w:rsidRPr="007B20DB">
        <w:rPr>
          <w:noProof/>
          <w:color w:val="000000" w:themeColor="text1"/>
          <w:lang w:val="en-IE"/>
        </w:rPr>
        <w:t xml:space="preserve"> </w:t>
      </w:r>
      <w:r w:rsidRPr="007B20DB">
        <w:rPr>
          <w:noProof/>
          <w:color w:val="000000" w:themeColor="text1"/>
          <w:lang w:val="en-IE"/>
        </w:rPr>
        <w:t>for the second year in row</w:t>
      </w:r>
      <w:r w:rsidR="00C55035">
        <w:rPr>
          <w:noProof/>
          <w:color w:val="000000" w:themeColor="text1"/>
          <w:lang w:val="en-IE"/>
        </w:rPr>
        <w:t>. T</w:t>
      </w:r>
      <w:r w:rsidRPr="007B20DB">
        <w:rPr>
          <w:noProof/>
          <w:color w:val="000000" w:themeColor="text1"/>
          <w:lang w:val="en-IE"/>
        </w:rPr>
        <w:t>he average of extra-EU imports and exports of goods correspond</w:t>
      </w:r>
      <w:r w:rsidR="00C55035">
        <w:rPr>
          <w:noProof/>
          <w:color w:val="000000" w:themeColor="text1"/>
          <w:lang w:val="en-IE"/>
        </w:rPr>
        <w:t>ed</w:t>
      </w:r>
      <w:r w:rsidRPr="007B20DB">
        <w:rPr>
          <w:noProof/>
          <w:color w:val="000000" w:themeColor="text1"/>
          <w:lang w:val="en-IE"/>
        </w:rPr>
        <w:t xml:space="preserve"> to 13.9% of GDP in 2024. While </w:t>
      </w:r>
      <w:r w:rsidR="009D767C">
        <w:rPr>
          <w:noProof/>
          <w:color w:val="000000" w:themeColor="text1"/>
          <w:lang w:val="en-IE"/>
        </w:rPr>
        <w:t>it</w:t>
      </w:r>
      <w:r w:rsidRPr="007B20DB">
        <w:rPr>
          <w:noProof/>
          <w:color w:val="000000" w:themeColor="text1"/>
          <w:lang w:val="en-IE"/>
        </w:rPr>
        <w:t xml:space="preserve"> can </w:t>
      </w:r>
      <w:r w:rsidR="009D767C">
        <w:rPr>
          <w:noProof/>
          <w:color w:val="000000" w:themeColor="text1"/>
          <w:lang w:val="en-IE"/>
        </w:rPr>
        <w:t xml:space="preserve">to some degree </w:t>
      </w:r>
      <w:r w:rsidRPr="007B20DB">
        <w:rPr>
          <w:noProof/>
          <w:color w:val="000000" w:themeColor="text1"/>
          <w:lang w:val="en-IE"/>
        </w:rPr>
        <w:t xml:space="preserve">be attributed to energy price fluctuations, it </w:t>
      </w:r>
      <w:r w:rsidR="001F7FF5">
        <w:rPr>
          <w:noProof/>
          <w:color w:val="000000" w:themeColor="text1"/>
          <w:lang w:val="en-IE"/>
        </w:rPr>
        <w:t>also</w:t>
      </w:r>
      <w:r w:rsidRPr="007B20DB">
        <w:rPr>
          <w:noProof/>
          <w:color w:val="000000" w:themeColor="text1"/>
          <w:lang w:val="en-IE"/>
        </w:rPr>
        <w:t xml:space="preserve"> shows the trend of a deteriorating global trading climate. EU trade integration in services with the rest of the world has equally slowed but remains on an increasing trajectory. </w:t>
      </w:r>
    </w:p>
    <w:p w14:paraId="7919C6B6" w14:textId="77777777" w:rsidR="000C0B93" w:rsidRPr="007B20DB" w:rsidRDefault="000C0B93" w:rsidP="006E0577">
      <w:pPr>
        <w:pStyle w:val="Text1"/>
        <w:widowControl w:val="0"/>
        <w:spacing w:after="160" w:line="250" w:lineRule="auto"/>
        <w:ind w:left="0"/>
        <w:rPr>
          <w:noProof/>
          <w:color w:val="000000" w:themeColor="text1"/>
          <w:lang w:val="en-IE"/>
        </w:rPr>
      </w:pPr>
    </w:p>
    <w:p w14:paraId="73C6FD5B" w14:textId="7E39B6CA" w:rsidR="00910A12" w:rsidRPr="00486446" w:rsidRDefault="00F50AF8" w:rsidP="006E0577">
      <w:pPr>
        <w:pStyle w:val="Paragraph"/>
        <w:spacing w:line="250" w:lineRule="auto"/>
        <w:rPr>
          <w:noProof/>
          <w:kern w:val="0"/>
          <w:lang w:val="en-IE" w:eastAsia="en-IE"/>
        </w:rPr>
      </w:pPr>
      <w:r w:rsidRPr="00486446">
        <w:rPr>
          <w:b/>
          <w:noProof/>
          <w:lang w:val="en-IE"/>
        </w:rPr>
        <w:t>Figure 2</w:t>
      </w:r>
      <w:r w:rsidR="00062AC2">
        <w:rPr>
          <w:b/>
          <w:noProof/>
          <w:lang w:val="en-IE"/>
        </w:rPr>
        <w:t>6</w:t>
      </w:r>
      <w:r w:rsidRPr="00486446">
        <w:rPr>
          <w:noProof/>
          <w:lang w:val="en-IE"/>
        </w:rPr>
        <w:t xml:space="preserve">: </w:t>
      </w:r>
      <w:r w:rsidR="00F77500" w:rsidRPr="00486446">
        <w:rPr>
          <w:noProof/>
        </w:rPr>
        <w:t>EU t</w:t>
      </w:r>
      <w:r w:rsidR="00C77809" w:rsidRPr="00486446">
        <w:rPr>
          <w:noProof/>
        </w:rPr>
        <w:t>rade</w:t>
      </w:r>
      <w:r w:rsidR="00F77500" w:rsidRPr="00486446">
        <w:rPr>
          <w:noProof/>
        </w:rPr>
        <w:t xml:space="preserve"> in goods and services</w:t>
      </w:r>
      <w:r w:rsidR="00C77809" w:rsidRPr="00486446">
        <w:rPr>
          <w:noProof/>
        </w:rPr>
        <w:t xml:space="preserve"> with</w:t>
      </w:r>
      <w:r w:rsidRPr="00486446">
        <w:rPr>
          <w:noProof/>
        </w:rPr>
        <w:t xml:space="preserve"> the rest of the world</w:t>
      </w:r>
      <w:r w:rsidR="00507718">
        <w:rPr>
          <w:noProof/>
        </w:rPr>
        <w:t xml:space="preserve"> as shares of GDP</w:t>
      </w:r>
      <w:r w:rsidR="00F77500" w:rsidRPr="00486446">
        <w:rPr>
          <w:noProof/>
        </w:rPr>
        <w:t>.</w:t>
      </w:r>
    </w:p>
    <w:p w14:paraId="1A5D242E" w14:textId="727E5261" w:rsidR="00C1173C" w:rsidRPr="006E0577" w:rsidRDefault="00910A12" w:rsidP="00F77500">
      <w:pPr>
        <w:pStyle w:val="Figurecaption"/>
        <w:spacing w:line="240" w:lineRule="auto"/>
        <w:jc w:val="center"/>
        <w:rPr>
          <w:rFonts w:cs="Times New Roman"/>
          <w:noProof/>
          <w:sz w:val="20"/>
          <w:szCs w:val="14"/>
        </w:rPr>
      </w:pPr>
      <w:r w:rsidRPr="00486446">
        <w:rPr>
          <w:rFonts w:cs="Times New Roman"/>
          <w:noProof/>
          <w:lang w:eastAsia="en-GB"/>
        </w:rPr>
        <w:drawing>
          <wp:inline distT="0" distB="0" distL="0" distR="0" wp14:anchorId="08A4D5FF" wp14:editId="0C18423D">
            <wp:extent cx="5600700" cy="2978150"/>
            <wp:effectExtent l="0" t="0" r="0" b="0"/>
            <wp:docPr id="13973551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355107" name=""/>
                    <pic:cNvPicPr/>
                  </pic:nvPicPr>
                  <pic:blipFill rotWithShape="1">
                    <a:blip r:embed="rId98">
                      <a:extLst>
                        <a:ext uri="{96DAC541-7B7A-43D3-8B79-37D633B846F1}">
                          <asvg:svgBlip xmlns:asvg="http://schemas.microsoft.com/office/drawing/2016/SVG/main" r:embed="rId99"/>
                        </a:ext>
                      </a:extLst>
                    </a:blip>
                    <a:srcRect b="5003"/>
                    <a:stretch/>
                  </pic:blipFill>
                  <pic:spPr bwMode="auto">
                    <a:xfrm>
                      <a:off x="0" y="0"/>
                      <a:ext cx="5600700" cy="2978150"/>
                    </a:xfrm>
                    <a:prstGeom prst="rect">
                      <a:avLst/>
                    </a:prstGeom>
                    <a:ln>
                      <a:noFill/>
                    </a:ln>
                    <a:extLst>
                      <a:ext uri="{53640926-AAD7-44D8-BBD7-CCE9431645EC}">
                        <a14:shadowObscured xmlns:a14="http://schemas.microsoft.com/office/drawing/2010/main"/>
                      </a:ext>
                    </a:extLst>
                  </pic:spPr>
                </pic:pic>
              </a:graphicData>
            </a:graphic>
          </wp:inline>
        </w:drawing>
      </w:r>
    </w:p>
    <w:p w14:paraId="63D35339" w14:textId="627B3461" w:rsidR="008D707E" w:rsidRPr="00486446" w:rsidRDefault="008D707E" w:rsidP="008D707E">
      <w:pPr>
        <w:pStyle w:val="Source"/>
        <w:rPr>
          <w:noProof/>
          <w:color w:val="auto"/>
          <w:lang w:val="en-IE"/>
        </w:rPr>
      </w:pPr>
      <w:r w:rsidRPr="00486446">
        <w:rPr>
          <w:noProof/>
          <w:color w:val="auto"/>
          <w:lang w:val="en-IE"/>
        </w:rPr>
        <w:t>Source: Eurostat</w:t>
      </w:r>
    </w:p>
    <w:p w14:paraId="30A4CF00" w14:textId="3D2CAF83" w:rsidR="00C1173C" w:rsidRPr="00486446" w:rsidRDefault="00C1173C">
      <w:pPr>
        <w:pStyle w:val="Source"/>
        <w:rPr>
          <w:noProof/>
          <w:color w:val="auto"/>
          <w:lang w:val="en-IE"/>
        </w:rPr>
      </w:pPr>
    </w:p>
    <w:p w14:paraId="480D0AAF" w14:textId="77777777" w:rsidR="003342B3" w:rsidRPr="00486446" w:rsidRDefault="003342B3">
      <w:pPr>
        <w:pStyle w:val="Source"/>
        <w:rPr>
          <w:noProof/>
          <w:color w:val="auto"/>
          <w:lang w:val="en-IE"/>
        </w:rPr>
      </w:pPr>
    </w:p>
    <w:p w14:paraId="6ED92881" w14:textId="4D5C7130" w:rsidR="002677E2" w:rsidRDefault="002677E2">
      <w:pPr>
        <w:suppressAutoHyphens w:val="0"/>
        <w:rPr>
          <w:rFonts w:ascii="Times New Roman" w:eastAsia="Times New Roman" w:hAnsi="Times New Roman" w:cs="Times New Roman"/>
          <w:noProof/>
          <w:sz w:val="20"/>
          <w:szCs w:val="20"/>
          <w:shd w:val="clear" w:color="auto" w:fill="FFFFFF"/>
          <w:lang w:val="en-IE"/>
        </w:rPr>
      </w:pPr>
      <w:r>
        <w:rPr>
          <w:noProof/>
          <w:lang w:val="en-IE"/>
        </w:rPr>
        <w:br w:type="page"/>
      </w:r>
    </w:p>
    <w:p w14:paraId="266FBAF9" w14:textId="07266A7B" w:rsidR="00C1173C" w:rsidRPr="00E9362C" w:rsidRDefault="00F50AF8" w:rsidP="0065549F">
      <w:pPr>
        <w:pStyle w:val="Heading3"/>
        <w:spacing w:before="0" w:after="160" w:line="250" w:lineRule="auto"/>
        <w:rPr>
          <w:rFonts w:ascii="Times New Roman" w:hAnsi="Times New Roman"/>
          <w:b/>
          <w:bCs/>
          <w:noProof/>
          <w:color w:val="auto"/>
        </w:rPr>
      </w:pPr>
      <w:bookmarkStart w:id="140" w:name="_Toc183515551"/>
      <w:bookmarkStart w:id="141" w:name="_Toc185237906"/>
      <w:bookmarkStart w:id="142" w:name="_Toc185239909"/>
      <w:bookmarkStart w:id="143" w:name="_Toc185264672"/>
      <w:bookmarkStart w:id="144" w:name="_Toc185525765"/>
      <w:bookmarkStart w:id="145" w:name="_Toc185591305"/>
      <w:bookmarkStart w:id="146" w:name="_Toc220103464"/>
      <w:r w:rsidRPr="308D48D1">
        <w:rPr>
          <w:rFonts w:ascii="Times New Roman" w:hAnsi="Times New Roman"/>
          <w:b/>
          <w:bCs/>
          <w:noProof/>
          <w:color w:val="auto"/>
        </w:rPr>
        <w:t>KPI</w:t>
      </w:r>
      <w:r w:rsidRPr="00E9362C">
        <w:rPr>
          <w:rFonts w:ascii="Times New Roman" w:hAnsi="Times New Roman"/>
          <w:b/>
          <w:bCs/>
          <w:noProof/>
          <w:color w:val="auto"/>
        </w:rPr>
        <w:t xml:space="preserve"> 2</w:t>
      </w:r>
      <w:r w:rsidR="00574170">
        <w:rPr>
          <w:rFonts w:ascii="Times New Roman" w:hAnsi="Times New Roman"/>
          <w:b/>
          <w:bCs/>
          <w:noProof/>
          <w:color w:val="auto"/>
        </w:rPr>
        <w:t>7</w:t>
      </w:r>
      <w:r w:rsidRPr="00E9362C">
        <w:rPr>
          <w:rFonts w:ascii="Times New Roman" w:hAnsi="Times New Roman"/>
          <w:b/>
          <w:bCs/>
          <w:noProof/>
          <w:color w:val="auto"/>
        </w:rPr>
        <w:t xml:space="preserve">: </w:t>
      </w:r>
      <w:bookmarkEnd w:id="140"/>
      <w:bookmarkEnd w:id="141"/>
      <w:bookmarkEnd w:id="142"/>
      <w:bookmarkEnd w:id="143"/>
      <w:bookmarkEnd w:id="144"/>
      <w:bookmarkEnd w:id="145"/>
      <w:r w:rsidR="00F01C56" w:rsidRPr="00E9362C">
        <w:rPr>
          <w:rFonts w:ascii="Times New Roman" w:hAnsi="Times New Roman"/>
          <w:b/>
          <w:bCs/>
          <w:noProof/>
          <w:color w:val="auto"/>
        </w:rPr>
        <w:t xml:space="preserve">The EU economy’s global </w:t>
      </w:r>
      <w:r w:rsidR="00CA2C41">
        <w:rPr>
          <w:rFonts w:ascii="Times New Roman" w:hAnsi="Times New Roman"/>
          <w:b/>
          <w:noProof/>
          <w:color w:val="auto"/>
        </w:rPr>
        <w:t>market share</w:t>
      </w:r>
      <w:bookmarkEnd w:id="146"/>
    </w:p>
    <w:p w14:paraId="1B89DA08" w14:textId="23E09E32" w:rsidR="003342B3" w:rsidRPr="00486446" w:rsidRDefault="003342B3" w:rsidP="006E0577">
      <w:pPr>
        <w:pStyle w:val="Paragraph"/>
        <w:spacing w:line="250" w:lineRule="auto"/>
        <w:rPr>
          <w:noProof/>
          <w:lang w:val="en-IE"/>
        </w:rPr>
      </w:pPr>
      <w:r w:rsidRPr="00486446">
        <w:rPr>
          <w:noProof/>
          <w:lang w:val="en-IE"/>
        </w:rPr>
        <w:t>KPI 2</w:t>
      </w:r>
      <w:r w:rsidR="00574170">
        <w:rPr>
          <w:noProof/>
          <w:lang w:val="en-IE"/>
        </w:rPr>
        <w:t>7</w:t>
      </w:r>
      <w:r w:rsidRPr="00486446">
        <w:rPr>
          <w:noProof/>
          <w:lang w:val="en-IE"/>
        </w:rPr>
        <w:t xml:space="preserve"> tracks the EU economy’s global </w:t>
      </w:r>
      <w:r w:rsidR="00CA2C41">
        <w:rPr>
          <w:noProof/>
          <w:lang w:val="en-IE"/>
        </w:rPr>
        <w:t>market share</w:t>
      </w:r>
      <w:r w:rsidRPr="00486446">
        <w:rPr>
          <w:noProof/>
          <w:lang w:val="en-IE"/>
        </w:rPr>
        <w:t xml:space="preserve"> by measuring EU exports in goods and services as shares of</w:t>
      </w:r>
      <w:r w:rsidR="00BC3C68" w:rsidRPr="00486446">
        <w:rPr>
          <w:noProof/>
          <w:lang w:val="en-IE"/>
        </w:rPr>
        <w:t xml:space="preserve"> total</w:t>
      </w:r>
      <w:r w:rsidRPr="00486446">
        <w:rPr>
          <w:noProof/>
          <w:lang w:val="en-IE"/>
        </w:rPr>
        <w:t xml:space="preserve"> global imports.</w:t>
      </w:r>
    </w:p>
    <w:p w14:paraId="7781340F" w14:textId="53EE32CD" w:rsidR="00A97B71" w:rsidRPr="00486446" w:rsidRDefault="00897E60" w:rsidP="006E0577">
      <w:pPr>
        <w:pStyle w:val="Paragraph"/>
        <w:spacing w:line="250" w:lineRule="auto"/>
        <w:rPr>
          <w:noProof/>
          <w:lang w:val="en-IE"/>
        </w:rPr>
      </w:pPr>
      <w:r w:rsidRPr="00486446">
        <w:rPr>
          <w:noProof/>
          <w:lang w:val="en-IE"/>
        </w:rPr>
        <w:t>Figures 2</w:t>
      </w:r>
      <w:r w:rsidR="00574170">
        <w:rPr>
          <w:noProof/>
          <w:lang w:val="en-IE"/>
        </w:rPr>
        <w:t>7</w:t>
      </w:r>
      <w:r w:rsidRPr="00486446">
        <w:rPr>
          <w:noProof/>
          <w:lang w:val="en-IE"/>
        </w:rPr>
        <w:t>a and 2</w:t>
      </w:r>
      <w:r w:rsidR="00574170">
        <w:rPr>
          <w:noProof/>
          <w:lang w:val="en-IE"/>
        </w:rPr>
        <w:t>7</w:t>
      </w:r>
      <w:r w:rsidRPr="00486446">
        <w:rPr>
          <w:noProof/>
          <w:lang w:val="en-IE"/>
        </w:rPr>
        <w:t>b</w:t>
      </w:r>
      <w:r w:rsidR="00F50AF8" w:rsidRPr="00486446">
        <w:rPr>
          <w:noProof/>
          <w:lang w:val="en-IE"/>
        </w:rPr>
        <w:t xml:space="preserve"> show the exports of goods and services of the EU, US,</w:t>
      </w:r>
      <w:r w:rsidR="00BC3C68" w:rsidRPr="00486446">
        <w:rPr>
          <w:noProof/>
          <w:lang w:val="en-IE"/>
        </w:rPr>
        <w:t xml:space="preserve"> UK,</w:t>
      </w:r>
      <w:r w:rsidR="00F50AF8" w:rsidRPr="00486446">
        <w:rPr>
          <w:noProof/>
          <w:lang w:val="en-IE"/>
        </w:rPr>
        <w:t xml:space="preserve"> Japan and China as shares of </w:t>
      </w:r>
      <w:r w:rsidR="003342B3" w:rsidRPr="00486446">
        <w:rPr>
          <w:noProof/>
          <w:lang w:val="en-IE"/>
        </w:rPr>
        <w:t>global imports</w:t>
      </w:r>
      <w:r w:rsidR="00F50AF8" w:rsidRPr="00486446">
        <w:rPr>
          <w:noProof/>
          <w:lang w:val="en-IE"/>
        </w:rPr>
        <w:t xml:space="preserve">. </w:t>
      </w:r>
      <w:r w:rsidR="00BC3C68" w:rsidRPr="00486446">
        <w:rPr>
          <w:noProof/>
          <w:lang w:val="en-IE"/>
        </w:rPr>
        <w:t>They show</w:t>
      </w:r>
      <w:r w:rsidR="00F50AF8" w:rsidRPr="00486446">
        <w:rPr>
          <w:noProof/>
          <w:lang w:val="en-IE"/>
        </w:rPr>
        <w:t xml:space="preserve"> the relative</w:t>
      </w:r>
      <w:r w:rsidR="002D39F8" w:rsidRPr="00486446">
        <w:rPr>
          <w:noProof/>
          <w:lang w:val="en-IE"/>
        </w:rPr>
        <w:t xml:space="preserve"> size </w:t>
      </w:r>
      <w:r w:rsidR="00F50AF8" w:rsidRPr="00486446">
        <w:rPr>
          <w:noProof/>
          <w:lang w:val="en-IE"/>
        </w:rPr>
        <w:t xml:space="preserve">of exports from the EU and </w:t>
      </w:r>
      <w:r w:rsidR="00853843">
        <w:rPr>
          <w:noProof/>
          <w:lang w:val="en-IE"/>
        </w:rPr>
        <w:t xml:space="preserve">from </w:t>
      </w:r>
      <w:r w:rsidR="00F50AF8" w:rsidRPr="00486446">
        <w:rPr>
          <w:noProof/>
          <w:lang w:val="en-IE"/>
        </w:rPr>
        <w:t xml:space="preserve">those four countries in the global market. A higher percentage indicates a </w:t>
      </w:r>
      <w:r w:rsidR="00853843">
        <w:rPr>
          <w:noProof/>
          <w:lang w:val="en-IE"/>
        </w:rPr>
        <w:t>greater</w:t>
      </w:r>
      <w:r w:rsidR="00F50AF8" w:rsidRPr="00486446">
        <w:rPr>
          <w:noProof/>
          <w:lang w:val="en-IE"/>
        </w:rPr>
        <w:t xml:space="preserve"> role in the global economy, and a lower percentage </w:t>
      </w:r>
      <w:r w:rsidR="00BD4B65">
        <w:rPr>
          <w:noProof/>
          <w:lang w:val="en-IE"/>
        </w:rPr>
        <w:t>indicates</w:t>
      </w:r>
      <w:r w:rsidR="00BD4B65" w:rsidRPr="00486446">
        <w:rPr>
          <w:noProof/>
          <w:lang w:val="en-IE"/>
        </w:rPr>
        <w:t xml:space="preserve"> </w:t>
      </w:r>
      <w:r w:rsidR="00F50AF8" w:rsidRPr="00486446">
        <w:rPr>
          <w:noProof/>
          <w:lang w:val="en-IE"/>
        </w:rPr>
        <w:t xml:space="preserve">a smaller </w:t>
      </w:r>
      <w:r w:rsidR="00BD4B65">
        <w:rPr>
          <w:noProof/>
          <w:lang w:val="en-IE"/>
        </w:rPr>
        <w:t>global market share</w:t>
      </w:r>
      <w:r w:rsidR="00F50AF8" w:rsidRPr="00486446">
        <w:rPr>
          <w:noProof/>
          <w:lang w:val="en-IE"/>
        </w:rPr>
        <w:t>.</w:t>
      </w:r>
    </w:p>
    <w:p w14:paraId="37E468C5" w14:textId="5D032291" w:rsidR="00363AD3" w:rsidRDefault="006B53A3" w:rsidP="006E0577">
      <w:pPr>
        <w:pStyle w:val="Text1"/>
        <w:widowControl w:val="0"/>
        <w:spacing w:after="160" w:line="250" w:lineRule="auto"/>
        <w:ind w:left="0"/>
        <w:rPr>
          <w:noProof/>
          <w:lang w:val="en-IE"/>
        </w:rPr>
      </w:pPr>
      <w:r w:rsidRPr="0065549F">
        <w:rPr>
          <w:noProof/>
          <w:lang w:val="en-IE"/>
        </w:rPr>
        <w:t xml:space="preserve">The EU’s share in global trade remains stable, but pressure on the manufacturing industry is building up. </w:t>
      </w:r>
      <w:r w:rsidRPr="006B53A3">
        <w:rPr>
          <w:noProof/>
          <w:lang w:val="en-IE"/>
        </w:rPr>
        <w:t xml:space="preserve">EU exports of goods as a share of global imports stand slightly above the levels of </w:t>
      </w:r>
      <w:r w:rsidR="00B852D1">
        <w:rPr>
          <w:noProof/>
          <w:lang w:val="en-IE"/>
        </w:rPr>
        <w:t>10</w:t>
      </w:r>
      <w:r w:rsidR="00B852D1" w:rsidRPr="006B53A3">
        <w:rPr>
          <w:noProof/>
          <w:lang w:val="en-IE"/>
        </w:rPr>
        <w:t xml:space="preserve"> </w:t>
      </w:r>
      <w:r w:rsidRPr="006B53A3">
        <w:rPr>
          <w:noProof/>
          <w:lang w:val="en-IE"/>
        </w:rPr>
        <w:t>years ago and show</w:t>
      </w:r>
      <w:r w:rsidR="00F550C0">
        <w:rPr>
          <w:noProof/>
          <w:lang w:val="en-IE"/>
        </w:rPr>
        <w:t>s</w:t>
      </w:r>
      <w:r w:rsidRPr="006B53A3">
        <w:rPr>
          <w:noProof/>
          <w:lang w:val="en-IE"/>
        </w:rPr>
        <w:t xml:space="preserve"> remarkable resilience. </w:t>
      </w:r>
    </w:p>
    <w:p w14:paraId="125AD0B2" w14:textId="1833441F" w:rsidR="006B53A3" w:rsidRPr="006B53A3" w:rsidRDefault="006B53A3" w:rsidP="006E0577">
      <w:pPr>
        <w:pStyle w:val="Text1"/>
        <w:widowControl w:val="0"/>
        <w:spacing w:after="160" w:line="250" w:lineRule="auto"/>
        <w:ind w:left="0"/>
        <w:rPr>
          <w:noProof/>
          <w:lang w:val="en-IE"/>
        </w:rPr>
      </w:pPr>
      <w:r w:rsidRPr="00B70718">
        <w:rPr>
          <w:noProof/>
          <w:lang w:val="en-IE"/>
        </w:rPr>
        <w:t xml:space="preserve">For exports of services, the outlook is more encouraging, </w:t>
      </w:r>
      <w:r w:rsidR="00B70718" w:rsidRPr="00EC17DB">
        <w:rPr>
          <w:noProof/>
          <w:lang w:val="en-IE"/>
        </w:rPr>
        <w:t>despite a small decline over the last year</w:t>
      </w:r>
      <w:r w:rsidR="00B70718" w:rsidRPr="00B70718">
        <w:rPr>
          <w:noProof/>
          <w:lang w:val="en-IE"/>
        </w:rPr>
        <w:t xml:space="preserve">, </w:t>
      </w:r>
      <w:r w:rsidRPr="00B70718">
        <w:rPr>
          <w:noProof/>
          <w:lang w:val="en-IE"/>
        </w:rPr>
        <w:t xml:space="preserve">with the past </w:t>
      </w:r>
      <w:r w:rsidR="00B852D1" w:rsidRPr="00B70718">
        <w:rPr>
          <w:noProof/>
          <w:lang w:val="en-IE"/>
        </w:rPr>
        <w:t xml:space="preserve">10 </w:t>
      </w:r>
      <w:r w:rsidRPr="00B70718">
        <w:rPr>
          <w:noProof/>
          <w:lang w:val="en-IE"/>
        </w:rPr>
        <w:t>years having seen the EU’s global market share grow to reach 25% of global trade in services</w:t>
      </w:r>
      <w:r w:rsidR="003B7257" w:rsidRPr="00B70718">
        <w:rPr>
          <w:noProof/>
          <w:lang w:val="en-IE"/>
        </w:rPr>
        <w:t xml:space="preserve">, </w:t>
      </w:r>
      <w:r w:rsidR="002C2A53" w:rsidRPr="00B70718">
        <w:rPr>
          <w:noProof/>
          <w:lang w:val="en-IE"/>
        </w:rPr>
        <w:t xml:space="preserve">cementing </w:t>
      </w:r>
      <w:r w:rsidR="00A146AC" w:rsidRPr="00B70718">
        <w:rPr>
          <w:noProof/>
          <w:lang w:val="en-IE"/>
        </w:rPr>
        <w:t>the EU’s</w:t>
      </w:r>
      <w:r w:rsidR="003B7257" w:rsidRPr="00B70718">
        <w:rPr>
          <w:noProof/>
          <w:lang w:val="en-IE"/>
        </w:rPr>
        <w:t xml:space="preserve"> position as the top global exporter</w:t>
      </w:r>
      <w:r w:rsidR="002C2A53" w:rsidRPr="00B70718">
        <w:rPr>
          <w:noProof/>
          <w:lang w:val="en-IE"/>
        </w:rPr>
        <w:t xml:space="preserve"> of services</w:t>
      </w:r>
      <w:r w:rsidRPr="00B70718">
        <w:rPr>
          <w:noProof/>
          <w:lang w:val="en-IE"/>
        </w:rPr>
        <w:t>.</w:t>
      </w:r>
    </w:p>
    <w:p w14:paraId="43BF40A4" w14:textId="741FB56A" w:rsidR="00C1173C" w:rsidRPr="00486446" w:rsidRDefault="00F50AF8" w:rsidP="00F05CF7">
      <w:pPr>
        <w:pStyle w:val="Paragraph"/>
        <w:rPr>
          <w:noProof/>
        </w:rPr>
      </w:pPr>
      <w:r w:rsidRPr="00486446">
        <w:rPr>
          <w:b/>
          <w:bCs/>
          <w:noProof/>
          <w:lang w:val="en-IE"/>
        </w:rPr>
        <w:t>Figure 2</w:t>
      </w:r>
      <w:r w:rsidR="00574170">
        <w:rPr>
          <w:b/>
          <w:bCs/>
          <w:noProof/>
          <w:lang w:val="en-IE"/>
        </w:rPr>
        <w:t>7</w:t>
      </w:r>
      <w:r w:rsidRPr="00486446">
        <w:rPr>
          <w:b/>
          <w:bCs/>
          <w:noProof/>
          <w:lang w:val="en-IE"/>
        </w:rPr>
        <w:t>a</w:t>
      </w:r>
      <w:r w:rsidRPr="00486446">
        <w:rPr>
          <w:noProof/>
          <w:lang w:val="en-IE"/>
        </w:rPr>
        <w:t xml:space="preserve">: </w:t>
      </w:r>
      <w:r w:rsidRPr="00486446">
        <w:rPr>
          <w:noProof/>
        </w:rPr>
        <w:t>Exports of goods as a share</w:t>
      </w:r>
      <w:r w:rsidR="00BC3C68" w:rsidRPr="00486446">
        <w:rPr>
          <w:noProof/>
        </w:rPr>
        <w:t xml:space="preserve"> of total global</w:t>
      </w:r>
      <w:r w:rsidRPr="00486446">
        <w:rPr>
          <w:noProof/>
        </w:rPr>
        <w:t xml:space="preserve"> imports</w:t>
      </w:r>
      <w:r w:rsidR="0040726C" w:rsidRPr="00486446">
        <w:rPr>
          <w:noProof/>
        </w:rPr>
        <w:t>.</w:t>
      </w:r>
    </w:p>
    <w:p w14:paraId="1AEE8A75" w14:textId="1B59050C" w:rsidR="006E3D26" w:rsidRPr="006E3D26" w:rsidRDefault="00044426" w:rsidP="00EC17DB">
      <w:pPr>
        <w:pStyle w:val="Paragraph"/>
        <w:jc w:val="center"/>
        <w:rPr>
          <w:noProof/>
          <w:lang w:val="en-IE"/>
        </w:rPr>
      </w:pPr>
      <w:r w:rsidRPr="00486446">
        <w:rPr>
          <w:noProof/>
          <w:lang w:eastAsia="en-GB"/>
        </w:rPr>
        <w:drawing>
          <wp:inline distT="0" distB="0" distL="0" distR="0" wp14:anchorId="2BDD8C1C" wp14:editId="3FAF1568">
            <wp:extent cx="4672778" cy="2382982"/>
            <wp:effectExtent l="0" t="0" r="0" b="0"/>
            <wp:docPr id="549743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4314" name=""/>
                    <pic:cNvPicPr/>
                  </pic:nvPicPr>
                  <pic:blipFill>
                    <a:blip r:embed="rId100">
                      <a:extLst>
                        <a:ext uri="{96DAC541-7B7A-43D3-8B79-37D633B846F1}">
                          <asvg:svgBlip xmlns:asvg="http://schemas.microsoft.com/office/drawing/2016/SVG/main" r:embed="rId101"/>
                        </a:ext>
                      </a:extLst>
                    </a:blip>
                    <a:stretch>
                      <a:fillRect/>
                    </a:stretch>
                  </pic:blipFill>
                  <pic:spPr>
                    <a:xfrm>
                      <a:off x="0" y="0"/>
                      <a:ext cx="4706433" cy="2400145"/>
                    </a:xfrm>
                    <a:prstGeom prst="rect">
                      <a:avLst/>
                    </a:prstGeom>
                  </pic:spPr>
                </pic:pic>
              </a:graphicData>
            </a:graphic>
          </wp:inline>
        </w:drawing>
      </w:r>
    </w:p>
    <w:p w14:paraId="2F01D25B" w14:textId="7F7FA6A1" w:rsidR="00A97B71" w:rsidRPr="00486446" w:rsidRDefault="00F50AF8" w:rsidP="00361CF6">
      <w:pPr>
        <w:pStyle w:val="Source"/>
        <w:rPr>
          <w:noProof/>
          <w:color w:val="auto"/>
          <w:sz w:val="24"/>
          <w:szCs w:val="24"/>
          <w:shd w:val="clear" w:color="auto" w:fill="auto"/>
        </w:rPr>
      </w:pPr>
      <w:r w:rsidRPr="00486446">
        <w:rPr>
          <w:b/>
          <w:noProof/>
          <w:color w:val="auto"/>
          <w:sz w:val="24"/>
          <w:szCs w:val="24"/>
          <w:lang w:val="en-IE"/>
        </w:rPr>
        <w:t>Figure 2</w:t>
      </w:r>
      <w:r w:rsidR="00574170">
        <w:rPr>
          <w:b/>
          <w:noProof/>
          <w:color w:val="auto"/>
          <w:sz w:val="24"/>
          <w:szCs w:val="24"/>
          <w:lang w:val="en-IE"/>
        </w:rPr>
        <w:t>7</w:t>
      </w:r>
      <w:r w:rsidRPr="00486446">
        <w:rPr>
          <w:b/>
          <w:noProof/>
          <w:color w:val="auto"/>
          <w:sz w:val="24"/>
          <w:szCs w:val="24"/>
          <w:lang w:val="en-IE"/>
        </w:rPr>
        <w:t>b</w:t>
      </w:r>
      <w:r w:rsidRPr="00486446">
        <w:rPr>
          <w:noProof/>
          <w:color w:val="auto"/>
          <w:sz w:val="24"/>
          <w:szCs w:val="24"/>
          <w:lang w:val="en-IE"/>
        </w:rPr>
        <w:t xml:space="preserve">: </w:t>
      </w:r>
      <w:r w:rsidRPr="00486446">
        <w:rPr>
          <w:noProof/>
          <w:color w:val="auto"/>
          <w:sz w:val="24"/>
          <w:szCs w:val="24"/>
          <w:shd w:val="clear" w:color="auto" w:fill="auto"/>
        </w:rPr>
        <w:t xml:space="preserve">Exports of services </w:t>
      </w:r>
      <w:r w:rsidR="00BC3C68" w:rsidRPr="00486446">
        <w:rPr>
          <w:noProof/>
          <w:color w:val="auto"/>
          <w:sz w:val="24"/>
          <w:szCs w:val="24"/>
          <w:shd w:val="clear" w:color="auto" w:fill="auto"/>
        </w:rPr>
        <w:t>as a share of total global imports</w:t>
      </w:r>
      <w:r w:rsidR="0040726C" w:rsidRPr="00486446">
        <w:rPr>
          <w:noProof/>
          <w:color w:val="auto"/>
          <w:sz w:val="24"/>
          <w:szCs w:val="24"/>
          <w:shd w:val="clear" w:color="auto" w:fill="auto"/>
        </w:rPr>
        <w:t>.</w:t>
      </w:r>
    </w:p>
    <w:p w14:paraId="35C37863" w14:textId="0992BD2B" w:rsidR="00C1173C" w:rsidRPr="00486446" w:rsidRDefault="000735ED" w:rsidP="002677E2">
      <w:pPr>
        <w:pStyle w:val="Figurecaption"/>
        <w:spacing w:after="0"/>
        <w:jc w:val="center"/>
        <w:rPr>
          <w:rFonts w:cs="Times New Roman"/>
          <w:noProof/>
          <w:lang w:val="en-IE"/>
        </w:rPr>
      </w:pPr>
      <w:r w:rsidRPr="00486446">
        <w:rPr>
          <w:rFonts w:cs="Times New Roman"/>
          <w:noProof/>
          <w:lang w:eastAsia="en-GB"/>
        </w:rPr>
        <w:drawing>
          <wp:inline distT="0" distB="0" distL="0" distR="0" wp14:anchorId="5D6FE21A" wp14:editId="6C8B44B6">
            <wp:extent cx="4513701" cy="2429164"/>
            <wp:effectExtent l="0" t="0" r="1270" b="9525"/>
            <wp:docPr id="19231476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147621" name=""/>
                    <pic:cNvPicPr/>
                  </pic:nvPicPr>
                  <pic:blipFill>
                    <a:blip r:embed="rId102">
                      <a:extLst>
                        <a:ext uri="{96DAC541-7B7A-43D3-8B79-37D633B846F1}">
                          <asvg:svgBlip xmlns:asvg="http://schemas.microsoft.com/office/drawing/2016/SVG/main" r:embed="rId103"/>
                        </a:ext>
                      </a:extLst>
                    </a:blip>
                    <a:stretch>
                      <a:fillRect/>
                    </a:stretch>
                  </pic:blipFill>
                  <pic:spPr>
                    <a:xfrm>
                      <a:off x="0" y="0"/>
                      <a:ext cx="4513701" cy="2429164"/>
                    </a:xfrm>
                    <a:prstGeom prst="rect">
                      <a:avLst/>
                    </a:prstGeom>
                  </pic:spPr>
                </pic:pic>
              </a:graphicData>
            </a:graphic>
          </wp:inline>
        </w:drawing>
      </w:r>
    </w:p>
    <w:p w14:paraId="16272865" w14:textId="207BCF6F" w:rsidR="002677E2" w:rsidRDefault="00F50AF8" w:rsidP="002677E2">
      <w:pPr>
        <w:pStyle w:val="Source"/>
        <w:rPr>
          <w:noProof/>
          <w:lang w:val="en-IE"/>
        </w:rPr>
      </w:pPr>
      <w:r w:rsidRPr="00486446">
        <w:rPr>
          <w:noProof/>
          <w:color w:val="auto"/>
          <w:lang w:val="en-IE"/>
        </w:rPr>
        <w:t xml:space="preserve">Source: </w:t>
      </w:r>
      <w:bookmarkStart w:id="147" w:name="_Toc185237907"/>
      <w:bookmarkStart w:id="148" w:name="_Toc185239910"/>
      <w:bookmarkStart w:id="149" w:name="_Toc185264673"/>
      <w:r w:rsidR="0048349B">
        <w:rPr>
          <w:noProof/>
          <w:color w:val="auto"/>
          <w:lang w:val="en-IE"/>
        </w:rPr>
        <w:t>Eurostat</w:t>
      </w:r>
      <w:r w:rsidR="002677E2">
        <w:rPr>
          <w:noProof/>
          <w:color w:val="auto"/>
          <w:lang w:val="en-IE"/>
        </w:rPr>
        <w:br w:type="page"/>
      </w:r>
    </w:p>
    <w:p w14:paraId="5E7AC542" w14:textId="5F2869E5" w:rsidR="00F707E8" w:rsidRPr="00E9362C" w:rsidRDefault="00F05CF7" w:rsidP="0065549F">
      <w:pPr>
        <w:pStyle w:val="Heading3"/>
        <w:spacing w:before="0" w:after="160" w:line="250" w:lineRule="auto"/>
        <w:rPr>
          <w:rFonts w:ascii="Times New Roman" w:hAnsi="Times New Roman"/>
          <w:b/>
          <w:bCs/>
          <w:noProof/>
          <w:color w:val="auto"/>
        </w:rPr>
      </w:pPr>
      <w:bookmarkStart w:id="150" w:name="_Toc220103465"/>
      <w:r w:rsidRPr="00E9362C">
        <w:rPr>
          <w:rFonts w:ascii="Times New Roman" w:hAnsi="Times New Roman"/>
          <w:b/>
          <w:bCs/>
          <w:noProof/>
          <w:color w:val="auto"/>
        </w:rPr>
        <w:t>KPI 2</w:t>
      </w:r>
      <w:r w:rsidR="00574170">
        <w:rPr>
          <w:rFonts w:ascii="Times New Roman" w:hAnsi="Times New Roman"/>
          <w:b/>
          <w:bCs/>
          <w:noProof/>
          <w:color w:val="auto"/>
        </w:rPr>
        <w:t>8</w:t>
      </w:r>
      <w:r w:rsidRPr="00E9362C">
        <w:rPr>
          <w:rFonts w:ascii="Times New Roman" w:hAnsi="Times New Roman"/>
          <w:b/>
          <w:bCs/>
          <w:noProof/>
          <w:color w:val="auto"/>
        </w:rPr>
        <w:t xml:space="preserve">: </w:t>
      </w:r>
      <w:r w:rsidR="00F707E8" w:rsidRPr="00E9362C">
        <w:rPr>
          <w:rFonts w:ascii="Times New Roman" w:hAnsi="Times New Roman"/>
          <w:b/>
          <w:bCs/>
          <w:noProof/>
          <w:color w:val="auto"/>
        </w:rPr>
        <w:t>Domestic clean tech manufacturing capacity</w:t>
      </w:r>
      <w:bookmarkEnd w:id="150"/>
    </w:p>
    <w:p w14:paraId="77F3467B" w14:textId="2C735653" w:rsidR="00F05CF7" w:rsidRPr="00486446" w:rsidRDefault="0060519E" w:rsidP="006E0577">
      <w:pPr>
        <w:pStyle w:val="Paragraph"/>
        <w:spacing w:line="250" w:lineRule="auto"/>
        <w:rPr>
          <w:noProof/>
          <w:lang w:val="en-IE"/>
        </w:rPr>
      </w:pPr>
      <w:r w:rsidRPr="00486446">
        <w:rPr>
          <w:noProof/>
          <w:lang w:val="en-IE"/>
        </w:rPr>
        <w:t>KPI 2</w:t>
      </w:r>
      <w:r w:rsidR="00574170">
        <w:rPr>
          <w:noProof/>
          <w:lang w:val="en-IE"/>
        </w:rPr>
        <w:t>8</w:t>
      </w:r>
      <w:r w:rsidR="00544D6D" w:rsidRPr="00486446">
        <w:rPr>
          <w:noProof/>
          <w:lang w:val="en-IE"/>
        </w:rPr>
        <w:t xml:space="preserve"> measures the</w:t>
      </w:r>
      <w:r w:rsidR="00F05CF7" w:rsidRPr="00486446">
        <w:rPr>
          <w:noProof/>
          <w:lang w:val="en-IE"/>
        </w:rPr>
        <w:t xml:space="preserve"> share of clean tech components tracked under the Net-Zero Industry Act that meet the benchmark </w:t>
      </w:r>
      <w:r w:rsidRPr="00486446">
        <w:rPr>
          <w:noProof/>
          <w:lang w:val="en-IE"/>
        </w:rPr>
        <w:t xml:space="preserve">of meeting 40% of EU consumption by domestic </w:t>
      </w:r>
      <w:r w:rsidR="00F05CF7" w:rsidRPr="00486446">
        <w:rPr>
          <w:noProof/>
          <w:lang w:val="en-IE"/>
        </w:rPr>
        <w:t>manufacturing</w:t>
      </w:r>
      <w:r w:rsidRPr="00486446">
        <w:rPr>
          <w:noProof/>
          <w:lang w:val="en-IE"/>
        </w:rPr>
        <w:t xml:space="preserve">. The objective is </w:t>
      </w:r>
      <w:r w:rsidR="00D00BC6">
        <w:rPr>
          <w:noProof/>
          <w:lang w:val="en-IE"/>
        </w:rPr>
        <w:t>for</w:t>
      </w:r>
      <w:r w:rsidR="00D00BC6" w:rsidRPr="00486446">
        <w:rPr>
          <w:noProof/>
          <w:lang w:val="en-IE"/>
        </w:rPr>
        <w:t xml:space="preserve"> </w:t>
      </w:r>
      <w:r w:rsidRPr="00486446">
        <w:rPr>
          <w:noProof/>
          <w:lang w:val="en-IE"/>
        </w:rPr>
        <w:t xml:space="preserve">100% of components </w:t>
      </w:r>
      <w:r w:rsidR="00D00BC6">
        <w:rPr>
          <w:noProof/>
          <w:lang w:val="en-IE"/>
        </w:rPr>
        <w:t>to</w:t>
      </w:r>
      <w:r w:rsidR="00D00BC6" w:rsidRPr="00486446">
        <w:rPr>
          <w:noProof/>
          <w:lang w:val="en-IE"/>
        </w:rPr>
        <w:t xml:space="preserve"> </w:t>
      </w:r>
      <w:r w:rsidRPr="00486446">
        <w:rPr>
          <w:noProof/>
          <w:lang w:val="en-IE"/>
        </w:rPr>
        <w:t>reach this benchmark.</w:t>
      </w:r>
    </w:p>
    <w:p w14:paraId="29BAE7E4" w14:textId="444B4319" w:rsidR="009B309D" w:rsidRPr="00486446" w:rsidRDefault="009B309D" w:rsidP="006E0577">
      <w:pPr>
        <w:pStyle w:val="Paragraph"/>
        <w:spacing w:line="250" w:lineRule="auto"/>
        <w:rPr>
          <w:noProof/>
          <w:lang w:val="en-IE"/>
        </w:rPr>
      </w:pPr>
      <w:r w:rsidRPr="00486446">
        <w:rPr>
          <w:noProof/>
          <w:lang w:val="en-IE"/>
        </w:rPr>
        <w:t>This KPI tracks progress against the objective laid down in the Clean Industrial Deal</w:t>
      </w:r>
      <w:r w:rsidR="00DC3A45" w:rsidRPr="00486446">
        <w:rPr>
          <w:noProof/>
          <w:lang w:val="en-IE"/>
        </w:rPr>
        <w:t xml:space="preserve"> of increasing </w:t>
      </w:r>
      <w:r w:rsidR="003D0B2F" w:rsidRPr="00486446">
        <w:rPr>
          <w:noProof/>
          <w:lang w:val="en-IE"/>
        </w:rPr>
        <w:t>the domestic manufacturing capacity</w:t>
      </w:r>
      <w:r w:rsidR="004F0115" w:rsidRPr="00486446">
        <w:rPr>
          <w:noProof/>
          <w:lang w:val="en-IE"/>
        </w:rPr>
        <w:t xml:space="preserve"> for clean tech products</w:t>
      </w:r>
      <w:r w:rsidRPr="00486446">
        <w:rPr>
          <w:noProof/>
          <w:lang w:val="en-IE"/>
        </w:rPr>
        <w:t>.</w:t>
      </w:r>
    </w:p>
    <w:p w14:paraId="0A1D024D" w14:textId="6D8A86EA" w:rsidR="00814F7F" w:rsidRDefault="004015E5" w:rsidP="006E0577">
      <w:pPr>
        <w:pStyle w:val="Paragraph"/>
        <w:spacing w:line="250" w:lineRule="auto"/>
        <w:rPr>
          <w:noProof/>
          <w:lang w:val="en-IE"/>
        </w:rPr>
      </w:pPr>
      <w:r>
        <w:rPr>
          <w:noProof/>
          <w:lang w:val="en-IE"/>
        </w:rPr>
        <w:t xml:space="preserve">Looking at products within </w:t>
      </w:r>
      <w:r w:rsidR="0002140A">
        <w:rPr>
          <w:noProof/>
          <w:lang w:val="en-IE"/>
        </w:rPr>
        <w:t xml:space="preserve">the </w:t>
      </w:r>
      <w:r>
        <w:rPr>
          <w:noProof/>
          <w:lang w:val="en-IE"/>
        </w:rPr>
        <w:t>scope of the Net-Zero Industry Act</w:t>
      </w:r>
      <w:r>
        <w:rPr>
          <w:rStyle w:val="FootnoteReference"/>
          <w:noProof/>
          <w:lang w:val="en-IE"/>
        </w:rPr>
        <w:footnoteReference w:id="27"/>
      </w:r>
      <w:r>
        <w:rPr>
          <w:noProof/>
          <w:lang w:val="en-IE"/>
        </w:rPr>
        <w:t xml:space="preserve">, EU manufacturing currently surpasses the benchmark of meeting 40% of EU consumption by domestic manufacturing in 6 of </w:t>
      </w:r>
      <w:r w:rsidR="008838D4">
        <w:rPr>
          <w:noProof/>
          <w:lang w:val="en-IE"/>
        </w:rPr>
        <w:t>the</w:t>
      </w:r>
      <w:r>
        <w:rPr>
          <w:noProof/>
          <w:lang w:val="en-IE"/>
        </w:rPr>
        <w:t xml:space="preserve"> 27 </w:t>
      </w:r>
      <w:r w:rsidR="00CA5FDA">
        <w:rPr>
          <w:noProof/>
          <w:lang w:val="en-IE"/>
        </w:rPr>
        <w:t xml:space="preserve">(22%) monitored </w:t>
      </w:r>
      <w:r>
        <w:rPr>
          <w:noProof/>
          <w:lang w:val="en-IE"/>
        </w:rPr>
        <w:t>technology areas</w:t>
      </w:r>
      <w:r>
        <w:rPr>
          <w:rStyle w:val="FootnoteReference"/>
          <w:noProof/>
          <w:lang w:val="en-IE"/>
        </w:rPr>
        <w:footnoteReference w:id="28"/>
      </w:r>
      <w:r>
        <w:rPr>
          <w:noProof/>
          <w:lang w:val="en-IE"/>
        </w:rPr>
        <w:t xml:space="preserve">. However, for the vast majority of monitored key components in battery technologies, electrolysers, hydrogen and solar, EU manufacturing capacity still significantly trails the benchmark. The situation is particularly concerning in battery technologies where the EU has no capacity </w:t>
      </w:r>
      <w:r w:rsidR="008359B1">
        <w:rPr>
          <w:noProof/>
          <w:lang w:val="en-IE"/>
        </w:rPr>
        <w:t>to manufacture</w:t>
      </w:r>
      <w:r>
        <w:rPr>
          <w:noProof/>
          <w:lang w:val="en-IE"/>
        </w:rPr>
        <w:t xml:space="preserve"> anode active materials and can only meet 4% of EU </w:t>
      </w:r>
      <w:r w:rsidR="008359B1">
        <w:rPr>
          <w:noProof/>
          <w:lang w:val="en-IE"/>
        </w:rPr>
        <w:t xml:space="preserve">domestic demand </w:t>
      </w:r>
      <w:r>
        <w:rPr>
          <w:noProof/>
          <w:lang w:val="en-IE"/>
        </w:rPr>
        <w:t>for cathode active materials</w:t>
      </w:r>
      <w:r>
        <w:rPr>
          <w:rStyle w:val="FootnoteReference"/>
          <w:noProof/>
          <w:lang w:val="en-IE"/>
        </w:rPr>
        <w:footnoteReference w:id="29"/>
      </w:r>
      <w:r>
        <w:rPr>
          <w:noProof/>
          <w:lang w:val="en-IE"/>
        </w:rPr>
        <w:t>.</w:t>
      </w:r>
    </w:p>
    <w:p w14:paraId="39D925DE" w14:textId="77777777" w:rsidR="000C0B93" w:rsidRDefault="000C0B93" w:rsidP="006E0577">
      <w:pPr>
        <w:pStyle w:val="Paragraph"/>
        <w:spacing w:line="250" w:lineRule="auto"/>
        <w:rPr>
          <w:noProof/>
          <w:lang w:val="en-IE"/>
        </w:rPr>
      </w:pPr>
    </w:p>
    <w:p w14:paraId="3886FC95" w14:textId="5FC389B7" w:rsidR="00A97B71" w:rsidRPr="00486446" w:rsidRDefault="00F05CF7" w:rsidP="006E0577">
      <w:pPr>
        <w:pStyle w:val="Figurecaption"/>
        <w:spacing w:line="250" w:lineRule="auto"/>
        <w:jc w:val="both"/>
        <w:rPr>
          <w:rFonts w:eastAsia="Times New Roman" w:cs="Times New Roman"/>
          <w:iCs w:val="0"/>
          <w:noProof/>
          <w:szCs w:val="24"/>
          <w:lang w:val="en-IE"/>
        </w:rPr>
      </w:pPr>
      <w:r w:rsidRPr="00486446">
        <w:rPr>
          <w:rFonts w:cs="Times New Roman"/>
          <w:b/>
          <w:bCs/>
          <w:noProof/>
          <w:lang w:val="en-IE"/>
        </w:rPr>
        <w:t>Figure 2</w:t>
      </w:r>
      <w:r w:rsidR="00574170">
        <w:rPr>
          <w:rFonts w:cs="Times New Roman"/>
          <w:b/>
          <w:bCs/>
          <w:noProof/>
          <w:lang w:val="en-IE"/>
        </w:rPr>
        <w:t>8</w:t>
      </w:r>
      <w:r w:rsidRPr="00486446">
        <w:rPr>
          <w:rFonts w:cs="Times New Roman"/>
          <w:noProof/>
          <w:lang w:val="en-IE"/>
        </w:rPr>
        <w:t xml:space="preserve">: </w:t>
      </w:r>
      <w:r w:rsidR="009F1003" w:rsidRPr="00486446">
        <w:rPr>
          <w:rFonts w:eastAsia="Times New Roman" w:cs="Times New Roman"/>
          <w:iCs w:val="0"/>
          <w:noProof/>
          <w:szCs w:val="24"/>
          <w:lang w:val="en-IE"/>
        </w:rPr>
        <w:t>Domestic clean tech manufacturing capacity</w:t>
      </w:r>
      <w:r w:rsidR="000C644E" w:rsidRPr="00486446">
        <w:rPr>
          <w:rFonts w:eastAsia="Times New Roman" w:cs="Times New Roman"/>
          <w:iCs w:val="0"/>
          <w:noProof/>
          <w:szCs w:val="24"/>
          <w:lang w:val="en-IE"/>
        </w:rPr>
        <w:t>: Status on the way</w:t>
      </w:r>
      <w:r w:rsidR="00862B99" w:rsidRPr="00486446">
        <w:rPr>
          <w:rFonts w:eastAsia="Times New Roman" w:cs="Times New Roman"/>
          <w:iCs w:val="0"/>
          <w:noProof/>
          <w:szCs w:val="24"/>
          <w:lang w:val="en-IE"/>
        </w:rPr>
        <w:t xml:space="preserve"> to</w:t>
      </w:r>
      <w:r w:rsidR="00FB0871">
        <w:rPr>
          <w:rFonts w:eastAsia="Times New Roman" w:cs="Times New Roman"/>
          <w:iCs w:val="0"/>
          <w:noProof/>
          <w:szCs w:val="24"/>
          <w:lang w:val="en-IE"/>
        </w:rPr>
        <w:t>wards</w:t>
      </w:r>
      <w:r w:rsidR="00862B99" w:rsidRPr="00486446">
        <w:rPr>
          <w:rFonts w:eastAsia="Times New Roman" w:cs="Times New Roman"/>
          <w:iCs w:val="0"/>
          <w:noProof/>
          <w:szCs w:val="24"/>
          <w:lang w:val="en-IE"/>
        </w:rPr>
        <w:t xml:space="preserve"> </w:t>
      </w:r>
      <w:r w:rsidR="000C644E" w:rsidRPr="00486446">
        <w:rPr>
          <w:rFonts w:eastAsia="Times New Roman" w:cs="Times New Roman"/>
          <w:iCs w:val="0"/>
          <w:noProof/>
          <w:szCs w:val="24"/>
          <w:lang w:val="en-IE"/>
        </w:rPr>
        <w:t>the</w:t>
      </w:r>
      <w:r w:rsidR="00862B99" w:rsidRPr="00486446">
        <w:rPr>
          <w:rFonts w:eastAsia="Times New Roman" w:cs="Times New Roman"/>
          <w:iCs w:val="0"/>
          <w:noProof/>
          <w:szCs w:val="24"/>
          <w:lang w:val="en-IE"/>
        </w:rPr>
        <w:t xml:space="preserve"> </w:t>
      </w:r>
      <w:r w:rsidR="000C644E" w:rsidRPr="00486446">
        <w:rPr>
          <w:rFonts w:eastAsia="Times New Roman" w:cs="Times New Roman"/>
          <w:iCs w:val="0"/>
          <w:noProof/>
          <w:szCs w:val="24"/>
          <w:lang w:val="en-IE"/>
        </w:rPr>
        <w:t>2030 benchmark manufacturing rate</w:t>
      </w:r>
      <w:r w:rsidR="0040726C" w:rsidRPr="00486446">
        <w:rPr>
          <w:rFonts w:eastAsia="Times New Roman" w:cs="Times New Roman"/>
          <w:iCs w:val="0"/>
          <w:noProof/>
          <w:szCs w:val="24"/>
          <w:lang w:val="en-IE"/>
        </w:rPr>
        <w:t>.</w:t>
      </w:r>
    </w:p>
    <w:p w14:paraId="343088C4" w14:textId="62947546" w:rsidR="00F05CF7" w:rsidRPr="006E0577" w:rsidRDefault="00336A19" w:rsidP="007004BF">
      <w:pPr>
        <w:pStyle w:val="Figurecaption"/>
        <w:jc w:val="center"/>
        <w:rPr>
          <w:rFonts w:cs="Times New Roman"/>
          <w:noProof/>
          <w:sz w:val="20"/>
          <w:szCs w:val="14"/>
          <w:lang w:val="en-IE"/>
        </w:rPr>
      </w:pPr>
      <w:r>
        <w:rPr>
          <w:noProof/>
          <w:lang w:eastAsia="en-GB"/>
        </w:rPr>
        <w:drawing>
          <wp:inline distT="0" distB="0" distL="0" distR="0" wp14:anchorId="7463EC32" wp14:editId="38693E57">
            <wp:extent cx="2943225" cy="2486025"/>
            <wp:effectExtent l="0" t="0" r="9525" b="9525"/>
            <wp:docPr id="10223566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356627" name=""/>
                    <pic:cNvPicPr/>
                  </pic:nvPicPr>
                  <pic:blipFill>
                    <a:blip r:embed="rId104">
                      <a:extLst>
                        <a:ext uri="{96DAC541-7B7A-43D3-8B79-37D633B846F1}">
                          <asvg:svgBlip xmlns:asvg="http://schemas.microsoft.com/office/drawing/2016/SVG/main" r:embed="rId105"/>
                        </a:ext>
                      </a:extLst>
                    </a:blip>
                    <a:stretch>
                      <a:fillRect/>
                    </a:stretch>
                  </pic:blipFill>
                  <pic:spPr>
                    <a:xfrm>
                      <a:off x="0" y="0"/>
                      <a:ext cx="2943225" cy="2486025"/>
                    </a:xfrm>
                    <a:prstGeom prst="rect">
                      <a:avLst/>
                    </a:prstGeom>
                  </pic:spPr>
                </pic:pic>
              </a:graphicData>
            </a:graphic>
          </wp:inline>
        </w:drawing>
      </w:r>
      <w:r w:rsidR="004B6132" w:rsidRPr="00486446">
        <w:rPr>
          <w:rFonts w:cs="Times New Roman"/>
          <w:noProof/>
        </w:rPr>
        <w:t xml:space="preserve"> </w:t>
      </w:r>
    </w:p>
    <w:p w14:paraId="3D4F356A" w14:textId="3C5676F1" w:rsidR="008853F2" w:rsidRPr="00486446" w:rsidDel="008853F2" w:rsidRDefault="00F05CF7" w:rsidP="000E4783">
      <w:pPr>
        <w:pStyle w:val="Source"/>
        <w:rPr>
          <w:noProof/>
          <w:color w:val="auto"/>
          <w:lang w:val="en-IE"/>
        </w:rPr>
      </w:pPr>
      <w:r w:rsidRPr="00486446">
        <w:rPr>
          <w:noProof/>
          <w:color w:val="auto"/>
          <w:lang w:val="en-IE"/>
        </w:rPr>
        <w:t xml:space="preserve">Source: </w:t>
      </w:r>
      <w:r w:rsidR="00224593" w:rsidRPr="00486446">
        <w:rPr>
          <w:noProof/>
          <w:color w:val="auto"/>
          <w:lang w:val="en-IE"/>
        </w:rPr>
        <w:t xml:space="preserve">European Commission </w:t>
      </w:r>
      <w:r w:rsidR="00CB0E3F">
        <w:rPr>
          <w:noProof/>
          <w:color w:val="auto"/>
          <w:lang w:val="en-IE"/>
        </w:rPr>
        <w:t>services</w:t>
      </w:r>
    </w:p>
    <w:p w14:paraId="6DCBFC42" w14:textId="77777777" w:rsidR="00831A1B" w:rsidRPr="00486446" w:rsidRDefault="00831A1B" w:rsidP="000E4783">
      <w:pPr>
        <w:pStyle w:val="Source"/>
        <w:rPr>
          <w:noProof/>
          <w:color w:val="auto"/>
          <w:lang w:val="en-IE"/>
        </w:rPr>
      </w:pPr>
    </w:p>
    <w:p w14:paraId="7A09EE6D" w14:textId="3C9359C6" w:rsidR="002677E2" w:rsidRDefault="002677E2">
      <w:pPr>
        <w:suppressAutoHyphens w:val="0"/>
        <w:rPr>
          <w:rFonts w:ascii="Times New Roman" w:eastAsia="Times New Roman" w:hAnsi="Times New Roman" w:cs="Times New Roman"/>
          <w:noProof/>
          <w:sz w:val="20"/>
          <w:szCs w:val="20"/>
          <w:shd w:val="clear" w:color="auto" w:fill="FFFFFF"/>
          <w:lang w:val="en-IE"/>
        </w:rPr>
      </w:pPr>
      <w:r>
        <w:rPr>
          <w:noProof/>
          <w:lang w:val="en-IE"/>
        </w:rPr>
        <w:br w:type="page"/>
      </w:r>
    </w:p>
    <w:p w14:paraId="6FA306B5" w14:textId="6B8709F8" w:rsidR="00DF1715" w:rsidRPr="00E9362C" w:rsidRDefault="00F05CF7" w:rsidP="0065549F">
      <w:pPr>
        <w:pStyle w:val="Heading3"/>
        <w:spacing w:before="0" w:after="160" w:line="250" w:lineRule="auto"/>
        <w:rPr>
          <w:rFonts w:ascii="Times New Roman" w:hAnsi="Times New Roman"/>
          <w:b/>
          <w:bCs/>
          <w:noProof/>
          <w:color w:val="auto"/>
        </w:rPr>
      </w:pPr>
      <w:bookmarkStart w:id="153" w:name="_Toc220103466"/>
      <w:r w:rsidRPr="00E9362C">
        <w:rPr>
          <w:rFonts w:ascii="Times New Roman" w:hAnsi="Times New Roman"/>
          <w:b/>
          <w:bCs/>
          <w:noProof/>
          <w:color w:val="auto"/>
        </w:rPr>
        <w:t xml:space="preserve">KPI </w:t>
      </w:r>
      <w:r w:rsidR="00574170">
        <w:rPr>
          <w:rFonts w:ascii="Times New Roman" w:hAnsi="Times New Roman"/>
          <w:b/>
          <w:bCs/>
          <w:noProof/>
          <w:color w:val="auto"/>
        </w:rPr>
        <w:t>29</w:t>
      </w:r>
      <w:r w:rsidRPr="00E9362C">
        <w:rPr>
          <w:rFonts w:ascii="Times New Roman" w:hAnsi="Times New Roman"/>
          <w:b/>
          <w:bCs/>
          <w:noProof/>
          <w:color w:val="auto"/>
        </w:rPr>
        <w:t xml:space="preserve">: </w:t>
      </w:r>
      <w:r w:rsidR="00DF1715" w:rsidRPr="00E9362C">
        <w:rPr>
          <w:rFonts w:ascii="Times New Roman" w:hAnsi="Times New Roman"/>
          <w:b/>
          <w:bCs/>
          <w:noProof/>
          <w:color w:val="auto"/>
        </w:rPr>
        <w:t>External vulnerabilit</w:t>
      </w:r>
      <w:r w:rsidRPr="00E9362C">
        <w:rPr>
          <w:rFonts w:ascii="Times New Roman" w:hAnsi="Times New Roman"/>
          <w:b/>
          <w:bCs/>
          <w:noProof/>
          <w:color w:val="auto"/>
        </w:rPr>
        <w:t>y</w:t>
      </w:r>
      <w:bookmarkEnd w:id="153"/>
    </w:p>
    <w:p w14:paraId="7BD4B486" w14:textId="36965CCA" w:rsidR="00E644E3" w:rsidRPr="00486446" w:rsidRDefault="00544D6D" w:rsidP="006E0577">
      <w:pPr>
        <w:pStyle w:val="Paragraph"/>
        <w:spacing w:line="250" w:lineRule="auto"/>
        <w:rPr>
          <w:noProof/>
          <w:lang w:val="en-IE"/>
        </w:rPr>
      </w:pPr>
      <w:r w:rsidRPr="00486446">
        <w:rPr>
          <w:noProof/>
          <w:lang w:val="en-IE"/>
        </w:rPr>
        <w:t xml:space="preserve">KPI </w:t>
      </w:r>
      <w:r w:rsidR="00574170">
        <w:rPr>
          <w:noProof/>
          <w:lang w:val="en-IE"/>
        </w:rPr>
        <w:t>29</w:t>
      </w:r>
      <w:r w:rsidR="0089134C" w:rsidRPr="00486446">
        <w:rPr>
          <w:noProof/>
          <w:lang w:val="en-IE"/>
        </w:rPr>
        <w:t xml:space="preserve"> assesses the combined vulnerability to external shocks of strategically important industrial products</w:t>
      </w:r>
      <w:r w:rsidR="00911EB0" w:rsidRPr="00486446">
        <w:rPr>
          <w:noProof/>
          <w:lang w:val="en-IE"/>
        </w:rPr>
        <w:t xml:space="preserve">. </w:t>
      </w:r>
      <w:r w:rsidR="00C2542D" w:rsidRPr="00486446">
        <w:rPr>
          <w:noProof/>
          <w:lang w:val="en-IE"/>
        </w:rPr>
        <w:t xml:space="preserve">The selected products include semiconductors, net-zero technologies, raw materials, basic metals, chemicals, machinery and motor vehicles. The index quantifies </w:t>
      </w:r>
      <w:r w:rsidR="0081598D">
        <w:rPr>
          <w:noProof/>
        </w:rPr>
        <w:t>the degree of vulnerability using</w:t>
      </w:r>
      <w:r w:rsidR="00C2542D" w:rsidRPr="00486446">
        <w:rPr>
          <w:noProof/>
          <w:lang w:val="en-IE"/>
        </w:rPr>
        <w:t xml:space="preserve"> scores </w:t>
      </w:r>
      <w:r w:rsidR="0081598D">
        <w:rPr>
          <w:noProof/>
          <w:lang w:val="en-IE"/>
        </w:rPr>
        <w:t>that</w:t>
      </w:r>
      <w:r w:rsidR="00C2542D" w:rsidRPr="00486446">
        <w:rPr>
          <w:noProof/>
          <w:lang w:val="en-IE"/>
        </w:rPr>
        <w:t xml:space="preserve"> rang</w:t>
      </w:r>
      <w:r w:rsidR="0081598D">
        <w:rPr>
          <w:noProof/>
          <w:lang w:val="en-IE"/>
        </w:rPr>
        <w:t>e</w:t>
      </w:r>
      <w:r w:rsidR="00C2542D" w:rsidRPr="00486446">
        <w:rPr>
          <w:noProof/>
          <w:lang w:val="en-IE"/>
        </w:rPr>
        <w:t xml:space="preserve"> from 0 (low vulnerability) to 1 (high vulnerability) and it is built on two pillars: </w:t>
      </w:r>
      <w:r w:rsidR="00022BB0">
        <w:rPr>
          <w:noProof/>
          <w:lang w:val="en-IE"/>
        </w:rPr>
        <w:t xml:space="preserve">(i) </w:t>
      </w:r>
      <w:r w:rsidR="00C2542D" w:rsidRPr="00486446">
        <w:rPr>
          <w:noProof/>
          <w:lang w:val="en-IE"/>
        </w:rPr>
        <w:t xml:space="preserve">the risks from foreign dependencies, examining the concentration of trade flows and reliance on foreign markets, and </w:t>
      </w:r>
      <w:r w:rsidR="00022BB0">
        <w:rPr>
          <w:noProof/>
          <w:lang w:val="en-IE"/>
        </w:rPr>
        <w:t>(ii)</w:t>
      </w:r>
      <w:r w:rsidR="00C2542D" w:rsidRPr="00486446">
        <w:rPr>
          <w:noProof/>
          <w:lang w:val="en-IE"/>
        </w:rPr>
        <w:t xml:space="preserve"> risks from a weak global market position, evaluating competitive strengths and weaknesses through price differences and relative comparative advantages.</w:t>
      </w:r>
      <w:r w:rsidR="00E644E3" w:rsidRPr="00486446">
        <w:rPr>
          <w:noProof/>
          <w:lang w:val="en-IE"/>
        </w:rPr>
        <w:t xml:space="preserve"> </w:t>
      </w:r>
    </w:p>
    <w:p w14:paraId="56349CFC" w14:textId="63ECBBE6" w:rsidR="00E644E3" w:rsidRPr="00486446" w:rsidRDefault="00E644E3" w:rsidP="006E0577">
      <w:pPr>
        <w:pStyle w:val="Paragraph"/>
        <w:spacing w:line="250" w:lineRule="auto"/>
        <w:rPr>
          <w:noProof/>
          <w:lang w:val="en-IE"/>
        </w:rPr>
      </w:pPr>
      <w:r w:rsidRPr="00486446">
        <w:rPr>
          <w:noProof/>
          <w:lang w:val="en-IE"/>
        </w:rPr>
        <w:t>This KPI tracks progress against the objective laid down in the Clean Industrial Deal</w:t>
      </w:r>
      <w:r w:rsidR="004F0115" w:rsidRPr="00486446">
        <w:rPr>
          <w:noProof/>
          <w:lang w:val="en-IE"/>
        </w:rPr>
        <w:t xml:space="preserve"> of </w:t>
      </w:r>
      <w:r w:rsidR="007E327F" w:rsidRPr="00486446">
        <w:rPr>
          <w:noProof/>
          <w:lang w:val="en-IE"/>
        </w:rPr>
        <w:t>decreasing</w:t>
      </w:r>
      <w:r w:rsidR="004F0115" w:rsidRPr="00486446">
        <w:rPr>
          <w:noProof/>
          <w:lang w:val="en-IE"/>
        </w:rPr>
        <w:t xml:space="preserve"> the EU’s external vulnerability</w:t>
      </w:r>
      <w:r w:rsidRPr="00486446">
        <w:rPr>
          <w:noProof/>
          <w:lang w:val="en-IE"/>
        </w:rPr>
        <w:t>.</w:t>
      </w:r>
    </w:p>
    <w:p w14:paraId="073CC0D4" w14:textId="6F7672CE" w:rsidR="009D7418" w:rsidRDefault="007A4FEC" w:rsidP="006E0577">
      <w:pPr>
        <w:pStyle w:val="Paragraph"/>
        <w:spacing w:line="250" w:lineRule="auto"/>
        <w:rPr>
          <w:noProof/>
          <w:lang w:val="en-IE"/>
        </w:rPr>
      </w:pPr>
      <w:r w:rsidRPr="007A4FEC">
        <w:rPr>
          <w:noProof/>
          <w:lang w:val="en-IE"/>
        </w:rPr>
        <w:t xml:space="preserve">Europe’s supply chains continue to show </w:t>
      </w:r>
      <w:r w:rsidR="00022BB0">
        <w:rPr>
          <w:noProof/>
          <w:lang w:val="en-IE"/>
        </w:rPr>
        <w:t xml:space="preserve">a </w:t>
      </w:r>
      <w:r w:rsidRPr="007A4FEC">
        <w:rPr>
          <w:noProof/>
          <w:lang w:val="en-IE"/>
        </w:rPr>
        <w:t xml:space="preserve">significant </w:t>
      </w:r>
      <w:r w:rsidR="00022BB0">
        <w:rPr>
          <w:noProof/>
          <w:lang w:val="en-IE"/>
        </w:rPr>
        <w:t xml:space="preserve">degree of </w:t>
      </w:r>
      <w:r w:rsidRPr="007A4FEC">
        <w:rPr>
          <w:noProof/>
          <w:lang w:val="en-IE"/>
        </w:rPr>
        <w:t xml:space="preserve">external dependencies, </w:t>
      </w:r>
      <w:r w:rsidR="00022BB0">
        <w:rPr>
          <w:noProof/>
          <w:lang w:val="en-IE"/>
        </w:rPr>
        <w:t>which carry</w:t>
      </w:r>
      <w:r w:rsidR="00022BB0" w:rsidRPr="007A4FEC">
        <w:rPr>
          <w:noProof/>
          <w:lang w:val="en-IE"/>
        </w:rPr>
        <w:t xml:space="preserve"> </w:t>
      </w:r>
      <w:r w:rsidRPr="007A4FEC">
        <w:rPr>
          <w:noProof/>
          <w:lang w:val="en-IE"/>
        </w:rPr>
        <w:t xml:space="preserve">the risk of being weaponised. </w:t>
      </w:r>
      <w:r w:rsidR="00E20B28">
        <w:rPr>
          <w:noProof/>
          <w:lang w:val="en-IE"/>
        </w:rPr>
        <w:t>An analysis</w:t>
      </w:r>
      <w:r w:rsidRPr="007A4FEC">
        <w:rPr>
          <w:noProof/>
          <w:lang w:val="en-IE"/>
        </w:rPr>
        <w:t xml:space="preserve"> has identified 204 products in sensitive ecosystems where the EU is heavily dependent on a single supplier country, and which could therefore be disrupted by an external shock. Among these products, more than half of the EU’s dependencies originate from China. The EU’s overall dependence on imports of key industrial products remains largely unchanged. Analysis of trade data for industrial products shows that the EU is significantly more exposed to external vulnerabilities than China, </w:t>
      </w:r>
      <w:r w:rsidR="00113635">
        <w:rPr>
          <w:noProof/>
          <w:lang w:val="en-IE"/>
        </w:rPr>
        <w:t>but</w:t>
      </w:r>
      <w:r w:rsidR="00113635" w:rsidRPr="007A4FEC">
        <w:rPr>
          <w:noProof/>
          <w:lang w:val="en-IE"/>
        </w:rPr>
        <w:t xml:space="preserve"> </w:t>
      </w:r>
      <w:r w:rsidRPr="007A4FEC">
        <w:rPr>
          <w:noProof/>
          <w:lang w:val="en-IE"/>
        </w:rPr>
        <w:t xml:space="preserve">less exposed than the US. Zooming in on strategically important industrial products, China </w:t>
      </w:r>
      <w:r w:rsidR="003506DF">
        <w:rPr>
          <w:noProof/>
          <w:lang w:val="en-IE"/>
        </w:rPr>
        <w:t>has</w:t>
      </w:r>
      <w:r w:rsidRPr="007A4FEC">
        <w:rPr>
          <w:noProof/>
          <w:lang w:val="en-IE"/>
        </w:rPr>
        <w:t xml:space="preserve"> the </w:t>
      </w:r>
      <w:r w:rsidR="003506DF">
        <w:rPr>
          <w:noProof/>
          <w:lang w:val="en-IE"/>
        </w:rPr>
        <w:t>lowest degree of external</w:t>
      </w:r>
      <w:r w:rsidR="003506DF" w:rsidRPr="007A4FEC">
        <w:rPr>
          <w:noProof/>
          <w:lang w:val="en-IE"/>
        </w:rPr>
        <w:t xml:space="preserve"> </w:t>
      </w:r>
      <w:r w:rsidRPr="007A4FEC">
        <w:rPr>
          <w:noProof/>
          <w:lang w:val="en-IE"/>
        </w:rPr>
        <w:t>dependen</w:t>
      </w:r>
      <w:r w:rsidR="003506DF">
        <w:rPr>
          <w:noProof/>
          <w:lang w:val="en-IE"/>
        </w:rPr>
        <w:t>cy</w:t>
      </w:r>
      <w:r w:rsidRPr="007A4FEC">
        <w:rPr>
          <w:noProof/>
          <w:lang w:val="en-IE"/>
        </w:rPr>
        <w:t xml:space="preserve"> with an EXVI score of 0.12, with the EU at 0.20 and the US at 0.28.</w:t>
      </w:r>
      <w:r w:rsidR="005F4DCB">
        <w:rPr>
          <w:rStyle w:val="FootnoteReference"/>
          <w:noProof/>
          <w:lang w:val="en-IE"/>
        </w:rPr>
        <w:footnoteReference w:id="30"/>
      </w:r>
    </w:p>
    <w:p w14:paraId="641CC7A3" w14:textId="77777777" w:rsidR="000C0B93" w:rsidRDefault="000C0B93" w:rsidP="006E0577">
      <w:pPr>
        <w:pStyle w:val="Paragraph"/>
        <w:spacing w:line="250" w:lineRule="auto"/>
        <w:rPr>
          <w:noProof/>
          <w:lang w:val="en-IE"/>
        </w:rPr>
      </w:pPr>
    </w:p>
    <w:p w14:paraId="7801413C" w14:textId="4172883A" w:rsidR="003E7311" w:rsidRPr="00486446" w:rsidRDefault="0089134C" w:rsidP="006E0577">
      <w:pPr>
        <w:pStyle w:val="Figurecaption"/>
        <w:spacing w:line="250" w:lineRule="auto"/>
        <w:jc w:val="both"/>
        <w:rPr>
          <w:rFonts w:eastAsia="Times New Roman" w:cs="Times New Roman"/>
          <w:iCs w:val="0"/>
          <w:noProof/>
          <w:szCs w:val="24"/>
        </w:rPr>
      </w:pPr>
      <w:r w:rsidRPr="00486446">
        <w:rPr>
          <w:rFonts w:cs="Times New Roman"/>
          <w:b/>
          <w:bCs/>
          <w:noProof/>
          <w:lang w:val="en-IE"/>
        </w:rPr>
        <w:t xml:space="preserve">Figure </w:t>
      </w:r>
      <w:r w:rsidR="00574170">
        <w:rPr>
          <w:rFonts w:cs="Times New Roman"/>
          <w:b/>
          <w:bCs/>
          <w:noProof/>
          <w:lang w:val="en-IE"/>
        </w:rPr>
        <w:t>29</w:t>
      </w:r>
      <w:r w:rsidRPr="00486446">
        <w:rPr>
          <w:rFonts w:cs="Times New Roman"/>
          <w:noProof/>
          <w:lang w:val="en-IE"/>
        </w:rPr>
        <w:t xml:space="preserve">: </w:t>
      </w:r>
      <w:r w:rsidR="008C57E5" w:rsidRPr="00486446">
        <w:rPr>
          <w:rFonts w:eastAsia="Times New Roman" w:cs="Times New Roman"/>
          <w:iCs w:val="0"/>
          <w:noProof/>
          <w:szCs w:val="24"/>
        </w:rPr>
        <w:t>External vulnerability</w:t>
      </w:r>
      <w:r w:rsidR="00232411">
        <w:rPr>
          <w:rFonts w:eastAsia="Times New Roman" w:cs="Times New Roman"/>
          <w:iCs w:val="0"/>
          <w:noProof/>
          <w:szCs w:val="24"/>
        </w:rPr>
        <w:t>, measured by the EXVI index</w:t>
      </w:r>
      <w:r w:rsidR="0040726C" w:rsidRPr="00486446">
        <w:rPr>
          <w:rFonts w:eastAsia="Times New Roman" w:cs="Times New Roman"/>
          <w:iCs w:val="0"/>
          <w:noProof/>
          <w:szCs w:val="24"/>
        </w:rPr>
        <w:t>.</w:t>
      </w:r>
    </w:p>
    <w:p w14:paraId="06927FBD" w14:textId="6539EA43" w:rsidR="00DF1715" w:rsidRPr="00486446" w:rsidRDefault="00BE710E" w:rsidP="00491C90">
      <w:pPr>
        <w:pStyle w:val="Source"/>
        <w:jc w:val="center"/>
        <w:rPr>
          <w:noProof/>
          <w:color w:val="auto"/>
          <w:lang w:val="en-US"/>
        </w:rPr>
      </w:pPr>
      <w:r>
        <w:rPr>
          <w:noProof/>
          <w:lang w:eastAsia="en-GB"/>
        </w:rPr>
        <w:drawing>
          <wp:inline distT="0" distB="0" distL="0" distR="0" wp14:anchorId="21DE251C" wp14:editId="62426016">
            <wp:extent cx="4532729" cy="3161367"/>
            <wp:effectExtent l="0" t="0" r="1270" b="1270"/>
            <wp:docPr id="2036936448" name="Chart 1">
              <a:extLst xmlns:a="http://schemas.openxmlformats.org/drawingml/2006/main">
                <a:ext uri="{FF2B5EF4-FFF2-40B4-BE49-F238E27FC236}">
                  <a16:creationId xmlns:a16="http://schemas.microsoft.com/office/drawing/2014/main" id="{516665B2-CA13-4106-BAD8-6F9DA805F8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bookmarkEnd w:id="147"/>
    <w:bookmarkEnd w:id="148"/>
    <w:bookmarkEnd w:id="149"/>
    <w:p w14:paraId="6F2C7B94" w14:textId="3943060D" w:rsidR="002A5824" w:rsidRPr="00486446" w:rsidRDefault="00A97B71" w:rsidP="00EC17DB">
      <w:pPr>
        <w:pStyle w:val="Source"/>
        <w:rPr>
          <w:b/>
          <w:noProof/>
          <w:sz w:val="28"/>
          <w:szCs w:val="28"/>
          <w:lang w:val="en-IE"/>
        </w:rPr>
      </w:pPr>
      <w:r w:rsidRPr="00994230">
        <w:rPr>
          <w:noProof/>
          <w:color w:val="auto"/>
          <w:szCs w:val="14"/>
          <w:lang w:val="en-IE"/>
        </w:rPr>
        <w:t>Source: European Commission</w:t>
      </w:r>
      <w:r w:rsidRPr="00994230" w:rsidDel="00505FBD">
        <w:rPr>
          <w:noProof/>
          <w:color w:val="auto"/>
          <w:szCs w:val="14"/>
          <w:lang w:val="en-IE"/>
        </w:rPr>
        <w:t xml:space="preserve"> </w:t>
      </w:r>
      <w:r w:rsidR="00CB0E3F">
        <w:rPr>
          <w:noProof/>
          <w:color w:val="auto"/>
          <w:szCs w:val="14"/>
          <w:lang w:val="en-IE"/>
        </w:rPr>
        <w:t>services</w:t>
      </w:r>
      <w:r w:rsidR="00AE2F8F">
        <w:rPr>
          <w:noProof/>
          <w:color w:val="auto"/>
          <w:szCs w:val="14"/>
          <w:lang w:val="en-IE"/>
        </w:rPr>
        <w:t>services calculations (DG GROW Chief Economist Team)</w:t>
      </w:r>
      <w:r w:rsidRPr="00994230">
        <w:rPr>
          <w:noProof/>
          <w:color w:val="auto"/>
          <w:szCs w:val="14"/>
          <w:lang w:val="en-IE"/>
        </w:rPr>
        <w:t xml:space="preserve"> ; </w:t>
      </w:r>
      <w:r w:rsidR="00381247" w:rsidRPr="00381247">
        <w:rPr>
          <w:noProof/>
          <w:color w:val="auto"/>
          <w:szCs w:val="14"/>
        </w:rPr>
        <w:t>Single Market Economics Briefs</w:t>
      </w:r>
      <w:r w:rsidR="00545DE9">
        <w:rPr>
          <w:noProof/>
          <w:color w:val="auto"/>
          <w:szCs w:val="14"/>
        </w:rPr>
        <w:t xml:space="preserve">: </w:t>
      </w:r>
      <w:r w:rsidR="00545DE9" w:rsidRPr="00545DE9">
        <w:rPr>
          <w:noProof/>
          <w:color w:val="auto"/>
          <w:szCs w:val="14"/>
        </w:rPr>
        <w:t>EXternal Vulnerability Index (</w:t>
      </w:r>
      <w:r w:rsidR="00545DE9">
        <w:rPr>
          <w:noProof/>
          <w:color w:val="auto"/>
          <w:szCs w:val="14"/>
        </w:rPr>
        <w:t>2025)</w:t>
      </w:r>
      <w:r w:rsidR="00557B2E">
        <w:rPr>
          <w:noProof/>
        </w:rPr>
        <w:t xml:space="preserve"> </w:t>
      </w:r>
    </w:p>
    <w:p w14:paraId="6AA185C5" w14:textId="596A3BBC" w:rsidR="00884241" w:rsidRPr="00E9362C" w:rsidRDefault="00884241" w:rsidP="006E0577">
      <w:pPr>
        <w:pStyle w:val="Heading1"/>
        <w:spacing w:after="160" w:line="250" w:lineRule="auto"/>
        <w:rPr>
          <w:rFonts w:ascii="Times New Roman" w:hAnsi="Times New Roman"/>
          <w:b/>
          <w:bCs/>
          <w:noProof/>
          <w:color w:val="auto"/>
          <w:sz w:val="28"/>
          <w:szCs w:val="28"/>
          <w:lang w:val="en-IE"/>
        </w:rPr>
      </w:pPr>
      <w:bookmarkStart w:id="154" w:name="_Toc220103467"/>
      <w:r w:rsidRPr="00E9362C">
        <w:rPr>
          <w:rFonts w:ascii="Times New Roman" w:hAnsi="Times New Roman"/>
          <w:b/>
          <w:bCs/>
          <w:noProof/>
          <w:color w:val="auto"/>
          <w:sz w:val="28"/>
          <w:szCs w:val="28"/>
          <w:lang w:val="en-IE"/>
        </w:rPr>
        <w:t>Annex 2</w:t>
      </w:r>
      <w:bookmarkEnd w:id="154"/>
    </w:p>
    <w:p w14:paraId="5195B87F" w14:textId="59911F76" w:rsidR="00884241" w:rsidRPr="00E9362C" w:rsidRDefault="00884241" w:rsidP="006E0577">
      <w:pPr>
        <w:pStyle w:val="Heading1"/>
        <w:spacing w:after="160" w:line="250" w:lineRule="auto"/>
        <w:rPr>
          <w:rFonts w:ascii="Times New Roman" w:hAnsi="Times New Roman"/>
          <w:b/>
          <w:bCs/>
          <w:noProof/>
          <w:color w:val="auto"/>
          <w:sz w:val="28"/>
          <w:szCs w:val="28"/>
          <w:lang w:val="en-IE"/>
        </w:rPr>
      </w:pPr>
      <w:bookmarkStart w:id="155" w:name="_Toc220103468"/>
      <w:r w:rsidRPr="00E9362C">
        <w:rPr>
          <w:rFonts w:ascii="Times New Roman" w:hAnsi="Times New Roman"/>
          <w:b/>
          <w:bCs/>
          <w:noProof/>
          <w:color w:val="auto"/>
          <w:sz w:val="28"/>
          <w:szCs w:val="28"/>
          <w:lang w:val="en-IE"/>
        </w:rPr>
        <w:t xml:space="preserve">Implementation </w:t>
      </w:r>
      <w:r w:rsidR="00D23412" w:rsidRPr="00E9362C">
        <w:rPr>
          <w:rFonts w:ascii="Times New Roman" w:hAnsi="Times New Roman"/>
          <w:b/>
          <w:bCs/>
          <w:noProof/>
          <w:color w:val="auto"/>
          <w:sz w:val="28"/>
          <w:szCs w:val="28"/>
          <w:lang w:val="en-IE"/>
        </w:rPr>
        <w:t>trackers</w:t>
      </w:r>
      <w:bookmarkEnd w:id="155"/>
      <w:r w:rsidRPr="00E9362C">
        <w:rPr>
          <w:rFonts w:ascii="Times New Roman" w:hAnsi="Times New Roman"/>
          <w:b/>
          <w:bCs/>
          <w:noProof/>
          <w:color w:val="auto"/>
          <w:sz w:val="28"/>
          <w:szCs w:val="28"/>
          <w:lang w:val="en-IE"/>
        </w:rPr>
        <w:t xml:space="preserve"> </w:t>
      </w:r>
    </w:p>
    <w:p w14:paraId="1C0307AB" w14:textId="77777777" w:rsidR="00CB1525" w:rsidRPr="00486446" w:rsidRDefault="00CB1525" w:rsidP="006E0577">
      <w:pPr>
        <w:pStyle w:val="Source"/>
        <w:spacing w:line="250" w:lineRule="auto"/>
        <w:rPr>
          <w:noProof/>
          <w:color w:val="auto"/>
          <w:sz w:val="24"/>
          <w:szCs w:val="24"/>
          <w:lang w:val="en-IE"/>
        </w:rPr>
      </w:pPr>
    </w:p>
    <w:p w14:paraId="1457855A" w14:textId="55A5C022" w:rsidR="00884241" w:rsidRPr="00A20C6B" w:rsidRDefault="005E3946" w:rsidP="006E0577">
      <w:pPr>
        <w:pStyle w:val="Heading2"/>
        <w:numPr>
          <w:ilvl w:val="0"/>
          <w:numId w:val="33"/>
        </w:numPr>
        <w:spacing w:after="160" w:line="250" w:lineRule="auto"/>
        <w:rPr>
          <w:rFonts w:ascii="Times New Roman" w:hAnsi="Times New Roman"/>
          <w:b/>
          <w:noProof/>
          <w:color w:val="auto"/>
          <w:sz w:val="28"/>
          <w:szCs w:val="28"/>
          <w:lang w:val="en-IE"/>
        </w:rPr>
      </w:pPr>
      <w:bookmarkStart w:id="156" w:name="_Toc220103469"/>
      <w:r w:rsidRPr="00A20C6B">
        <w:rPr>
          <w:rFonts w:ascii="Times New Roman" w:hAnsi="Times New Roman"/>
          <w:b/>
          <w:noProof/>
          <w:color w:val="auto"/>
          <w:sz w:val="28"/>
          <w:szCs w:val="28"/>
          <w:lang w:val="en-IE"/>
        </w:rPr>
        <w:t xml:space="preserve">A </w:t>
      </w:r>
      <w:r w:rsidR="00FF3750" w:rsidRPr="00A20C6B">
        <w:rPr>
          <w:rFonts w:ascii="Times New Roman" w:hAnsi="Times New Roman"/>
          <w:b/>
          <w:noProof/>
          <w:color w:val="auto"/>
          <w:sz w:val="28"/>
          <w:szCs w:val="28"/>
          <w:lang w:val="en-IE"/>
        </w:rPr>
        <w:t>Competitiveness Compass</w:t>
      </w:r>
      <w:r w:rsidRPr="00A20C6B">
        <w:rPr>
          <w:rFonts w:ascii="Times New Roman" w:hAnsi="Times New Roman"/>
          <w:b/>
          <w:noProof/>
          <w:color w:val="auto"/>
          <w:sz w:val="28"/>
          <w:szCs w:val="28"/>
          <w:lang w:val="en-IE"/>
        </w:rPr>
        <w:t xml:space="preserve"> for the EU </w:t>
      </w:r>
      <w:r w:rsidRPr="00A20C6B">
        <w:rPr>
          <w:rFonts w:ascii="Times New Roman" w:hAnsi="Times New Roman"/>
          <w:noProof/>
          <w:color w:val="auto"/>
          <w:sz w:val="28"/>
          <w:szCs w:val="28"/>
          <w:lang w:val="en-IE"/>
        </w:rPr>
        <w:t>(</w:t>
      </w:r>
      <w:r w:rsidR="00974154">
        <w:rPr>
          <w:rFonts w:ascii="Times New Roman" w:hAnsi="Times New Roman"/>
          <w:noProof/>
          <w:color w:val="auto"/>
          <w:sz w:val="28"/>
          <w:szCs w:val="28"/>
          <w:lang w:val="en-IE"/>
        </w:rPr>
        <w:t xml:space="preserve">adopted on </w:t>
      </w:r>
      <w:r w:rsidRPr="00A20C6B">
        <w:rPr>
          <w:rFonts w:ascii="Times New Roman" w:hAnsi="Times New Roman"/>
          <w:noProof/>
          <w:color w:val="auto"/>
          <w:sz w:val="28"/>
          <w:szCs w:val="28"/>
          <w:lang w:val="en-IE"/>
        </w:rPr>
        <w:t>29 January 2025)</w:t>
      </w:r>
      <w:r w:rsidR="002423EE">
        <w:rPr>
          <w:rStyle w:val="EndnoteReference"/>
          <w:rFonts w:ascii="Times New Roman" w:hAnsi="Times New Roman"/>
          <w:noProof/>
          <w:color w:val="auto"/>
          <w:sz w:val="28"/>
          <w:szCs w:val="28"/>
          <w:lang w:val="en-IE"/>
        </w:rPr>
        <w:endnoteReference w:id="2"/>
      </w:r>
      <w:bookmarkEnd w:id="156"/>
    </w:p>
    <w:p w14:paraId="7DD5F7E7" w14:textId="1EEC1588" w:rsidR="00454F38" w:rsidRPr="006C5955" w:rsidRDefault="00E00D01" w:rsidP="006E0577">
      <w:pPr>
        <w:pStyle w:val="Source"/>
        <w:spacing w:before="240" w:line="250" w:lineRule="auto"/>
        <w:jc w:val="left"/>
        <w:rPr>
          <w:noProof/>
          <w:sz w:val="24"/>
          <w:szCs w:val="24"/>
          <w:lang w:val="en-IE"/>
        </w:rPr>
      </w:pPr>
      <w:r w:rsidRPr="00EC17DB">
        <w:rPr>
          <w:noProof/>
          <w:sz w:val="24"/>
          <w:szCs w:val="24"/>
          <w:lang w:val="en-IE"/>
        </w:rPr>
        <w:t xml:space="preserve">The expected timelines of actions have been updated in view of most recent </w:t>
      </w:r>
      <w:r>
        <w:rPr>
          <w:noProof/>
          <w:sz w:val="24"/>
          <w:szCs w:val="24"/>
          <w:lang w:val="en-IE"/>
        </w:rPr>
        <w:t>d</w:t>
      </w:r>
      <w:r w:rsidRPr="00EC17DB">
        <w:rPr>
          <w:noProof/>
          <w:sz w:val="24"/>
          <w:szCs w:val="24"/>
          <w:lang w:val="en-IE"/>
        </w:rPr>
        <w:t>evelopments</w:t>
      </w:r>
      <w:r>
        <w:rPr>
          <w:noProof/>
          <w:sz w:val="24"/>
          <w:szCs w:val="24"/>
          <w:lang w:val="en-IE"/>
        </w:rPr>
        <w:t>.</w:t>
      </w:r>
    </w:p>
    <w:tbl>
      <w:tblPr>
        <w:tblStyle w:val="TableGrid1"/>
        <w:tblW w:w="9356" w:type="dxa"/>
        <w:tblInd w:w="-5" w:type="dxa"/>
        <w:tblLook w:val="04A0" w:firstRow="1" w:lastRow="0" w:firstColumn="1" w:lastColumn="0" w:noHBand="0" w:noVBand="1"/>
      </w:tblPr>
      <w:tblGrid>
        <w:gridCol w:w="986"/>
        <w:gridCol w:w="6077"/>
        <w:gridCol w:w="2293"/>
      </w:tblGrid>
      <w:tr w:rsidR="004B398D" w:rsidRPr="004B398D" w14:paraId="2E6F708B" w14:textId="77777777" w:rsidTr="153A979C">
        <w:trPr>
          <w:trHeight w:val="397"/>
        </w:trPr>
        <w:tc>
          <w:tcPr>
            <w:tcW w:w="975" w:type="dxa"/>
            <w:shd w:val="clear" w:color="auto" w:fill="8DB3E2"/>
            <w:vAlign w:val="center"/>
          </w:tcPr>
          <w:p w14:paraId="473A0EDA" w14:textId="77777777" w:rsidR="00DC7203" w:rsidRPr="00323814" w:rsidRDefault="00DC7203" w:rsidP="00DC7203">
            <w:pPr>
              <w:suppressAutoHyphens w:val="0"/>
              <w:jc w:val="center"/>
              <w:rPr>
                <w:rFonts w:ascii="Times New Roman" w:hAnsi="Times New Roman" w:cs="Times New Roman"/>
                <w:b/>
                <w:bCs/>
                <w:noProof/>
                <w:lang w:val="en-IE"/>
              </w:rPr>
            </w:pPr>
            <w:r w:rsidRPr="00323814">
              <w:rPr>
                <w:rFonts w:ascii="Times New Roman" w:hAnsi="Times New Roman" w:cs="Times New Roman"/>
                <w:b/>
                <w:bCs/>
                <w:noProof/>
                <w:lang w:val="en-IE"/>
              </w:rPr>
              <w:t>Status</w:t>
            </w:r>
          </w:p>
        </w:tc>
        <w:tc>
          <w:tcPr>
            <w:tcW w:w="6009" w:type="dxa"/>
            <w:shd w:val="clear" w:color="auto" w:fill="8DB3E2"/>
            <w:vAlign w:val="center"/>
          </w:tcPr>
          <w:p w14:paraId="1958AB12" w14:textId="77777777" w:rsidR="00DC7203" w:rsidRPr="00323814" w:rsidRDefault="00DC7203" w:rsidP="00DC7203">
            <w:pPr>
              <w:suppressAutoHyphens w:val="0"/>
              <w:rPr>
                <w:rFonts w:ascii="Times New Roman" w:hAnsi="Times New Roman" w:cs="Times New Roman"/>
                <w:b/>
                <w:bCs/>
                <w:noProof/>
                <w:lang w:val="en-IE"/>
              </w:rPr>
            </w:pPr>
            <w:r w:rsidRPr="00323814">
              <w:rPr>
                <w:rFonts w:ascii="Times New Roman" w:hAnsi="Times New Roman" w:cs="Times New Roman"/>
                <w:b/>
                <w:bCs/>
                <w:noProof/>
                <w:lang w:val="en-IE"/>
              </w:rPr>
              <w:t>Pillar 1 – Closing the innovation gap</w:t>
            </w:r>
          </w:p>
        </w:tc>
        <w:tc>
          <w:tcPr>
            <w:tcW w:w="2268" w:type="dxa"/>
            <w:shd w:val="clear" w:color="auto" w:fill="8DB3E2"/>
            <w:vAlign w:val="center"/>
          </w:tcPr>
          <w:p w14:paraId="79A79E43" w14:textId="77777777" w:rsidR="00DC7203" w:rsidRPr="00323814" w:rsidRDefault="00DC7203" w:rsidP="00DC7203">
            <w:pPr>
              <w:suppressAutoHyphens w:val="0"/>
              <w:jc w:val="center"/>
              <w:rPr>
                <w:rFonts w:ascii="Times New Roman" w:hAnsi="Times New Roman" w:cs="Times New Roman"/>
                <w:b/>
                <w:bCs/>
                <w:noProof/>
                <w:lang w:val="en-IE"/>
              </w:rPr>
            </w:pPr>
            <w:r w:rsidRPr="00323814">
              <w:rPr>
                <w:rFonts w:ascii="Times New Roman" w:hAnsi="Times New Roman" w:cs="Times New Roman"/>
                <w:b/>
                <w:bCs/>
                <w:noProof/>
                <w:lang w:val="en-IE"/>
              </w:rPr>
              <w:t>Timeline</w:t>
            </w:r>
          </w:p>
        </w:tc>
      </w:tr>
      <w:tr w:rsidR="004B398D" w:rsidRPr="004B398D" w14:paraId="41C36D62" w14:textId="77777777" w:rsidTr="153A979C">
        <w:trPr>
          <w:trHeight w:val="397"/>
        </w:trPr>
        <w:tc>
          <w:tcPr>
            <w:tcW w:w="975" w:type="dxa"/>
            <w:shd w:val="clear" w:color="auto" w:fill="C2D69B"/>
            <w:vAlign w:val="center"/>
          </w:tcPr>
          <w:p w14:paraId="043D563F"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0E5E0786" wp14:editId="48534717">
                  <wp:extent cx="164465" cy="146050"/>
                  <wp:effectExtent l="0" t="0" r="6985" b="6350"/>
                  <wp:docPr id="373394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402268E2" w14:textId="534994BD"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Start-up and </w:t>
            </w:r>
            <w:r w:rsidR="00EB19EA">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 xml:space="preserve">cale-up </w:t>
            </w:r>
            <w:r w:rsidR="00EB19EA">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trategy</w:t>
            </w:r>
            <w:r w:rsidR="006D6623">
              <w:rPr>
                <w:rStyle w:val="EndnoteReference"/>
                <w:rFonts w:ascii="Times New Roman" w:hAnsi="Times New Roman" w:cs="Times New Roman"/>
                <w:noProof/>
                <w:sz w:val="20"/>
                <w:szCs w:val="20"/>
                <w:lang w:val="en-IE"/>
              </w:rPr>
              <w:endnoteReference w:id="3"/>
            </w:r>
          </w:p>
        </w:tc>
        <w:tc>
          <w:tcPr>
            <w:tcW w:w="2268" w:type="dxa"/>
            <w:shd w:val="clear" w:color="auto" w:fill="C2D69B"/>
            <w:vAlign w:val="center"/>
          </w:tcPr>
          <w:p w14:paraId="031E7036"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28 May 2025</w:t>
            </w:r>
          </w:p>
        </w:tc>
      </w:tr>
      <w:tr w:rsidR="004B398D" w:rsidRPr="004B398D" w14:paraId="27E988AA" w14:textId="77777777" w:rsidTr="153A979C">
        <w:trPr>
          <w:trHeight w:val="397"/>
        </w:trPr>
        <w:tc>
          <w:tcPr>
            <w:tcW w:w="975" w:type="dxa"/>
            <w:vAlign w:val="center"/>
          </w:tcPr>
          <w:p w14:paraId="01481110" w14:textId="77777777" w:rsidR="00DC7203" w:rsidRPr="0065549F" w:rsidRDefault="00DC7203" w:rsidP="00DC7203">
            <w:pPr>
              <w:suppressAutoHyphens w:val="0"/>
              <w:jc w:val="center"/>
              <w:rPr>
                <w:rFonts w:ascii="Times New Roman" w:hAnsi="Times New Roman" w:cs="Times New Roman"/>
                <w:noProof/>
                <w:sz w:val="20"/>
                <w:szCs w:val="20"/>
                <w:lang w:val="en-IE"/>
              </w:rPr>
            </w:pPr>
          </w:p>
        </w:tc>
        <w:tc>
          <w:tcPr>
            <w:tcW w:w="6009" w:type="dxa"/>
            <w:vAlign w:val="center"/>
          </w:tcPr>
          <w:p w14:paraId="44C34FBB" w14:textId="7434C010" w:rsidR="00DC7203" w:rsidRPr="0065549F" w:rsidRDefault="00DC7203" w:rsidP="153A979C">
            <w:pPr>
              <w:suppressAutoHyphens w:val="0"/>
              <w:rPr>
                <w:rFonts w:ascii="Times New Roman" w:hAnsi="Times New Roman" w:cs="Times New Roman"/>
                <w:noProof/>
                <w:sz w:val="20"/>
                <w:szCs w:val="20"/>
                <w:lang w:val="en-IE"/>
              </w:rPr>
            </w:pPr>
            <w:r w:rsidRPr="153A979C">
              <w:rPr>
                <w:rFonts w:ascii="Times New Roman" w:hAnsi="Times New Roman" w:cs="Times New Roman"/>
                <w:noProof/>
                <w:sz w:val="20"/>
                <w:szCs w:val="20"/>
                <w:lang w:val="en-IE"/>
              </w:rPr>
              <w:t>28</w:t>
            </w:r>
            <w:r w:rsidRPr="153A979C">
              <w:rPr>
                <w:rFonts w:ascii="Times New Roman" w:hAnsi="Times New Roman" w:cs="Times New Roman"/>
                <w:noProof/>
                <w:sz w:val="20"/>
                <w:szCs w:val="20"/>
                <w:vertAlign w:val="superscript"/>
                <w:lang w:val="en-IE"/>
              </w:rPr>
              <w:t>th</w:t>
            </w:r>
            <w:r w:rsidRPr="153A979C">
              <w:rPr>
                <w:rFonts w:ascii="Times New Roman" w:hAnsi="Times New Roman" w:cs="Times New Roman"/>
                <w:noProof/>
                <w:sz w:val="20"/>
                <w:szCs w:val="20"/>
                <w:lang w:val="en-IE"/>
              </w:rPr>
              <w:t xml:space="preserve"> regime </w:t>
            </w:r>
            <w:r w:rsidR="00810B8A">
              <w:rPr>
                <w:rFonts w:ascii="Times New Roman" w:hAnsi="Times New Roman" w:cs="Times New Roman"/>
                <w:noProof/>
                <w:sz w:val="20"/>
                <w:szCs w:val="20"/>
              </w:rPr>
              <w:t>(EU Inc.)</w:t>
            </w:r>
          </w:p>
        </w:tc>
        <w:tc>
          <w:tcPr>
            <w:tcW w:w="2268" w:type="dxa"/>
            <w:vAlign w:val="center"/>
          </w:tcPr>
          <w:p w14:paraId="13D68644"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Q1 2026</w:t>
            </w:r>
          </w:p>
        </w:tc>
      </w:tr>
      <w:tr w:rsidR="004B398D" w:rsidRPr="004B398D" w14:paraId="12CA5065" w14:textId="77777777" w:rsidTr="153A979C">
        <w:trPr>
          <w:trHeight w:val="397"/>
        </w:trPr>
        <w:tc>
          <w:tcPr>
            <w:tcW w:w="975" w:type="dxa"/>
            <w:vAlign w:val="center"/>
          </w:tcPr>
          <w:p w14:paraId="452CB0CF" w14:textId="77777777" w:rsidR="00DC7203" w:rsidRPr="0065549F" w:rsidRDefault="00DC7203" w:rsidP="00DC7203">
            <w:pPr>
              <w:suppressAutoHyphens w:val="0"/>
              <w:jc w:val="center"/>
              <w:rPr>
                <w:rFonts w:ascii="Times New Roman" w:hAnsi="Times New Roman" w:cs="Times New Roman"/>
                <w:noProof/>
                <w:sz w:val="20"/>
                <w:szCs w:val="20"/>
                <w:lang w:val="it-IT"/>
              </w:rPr>
            </w:pPr>
          </w:p>
        </w:tc>
        <w:tc>
          <w:tcPr>
            <w:tcW w:w="6009" w:type="dxa"/>
            <w:vAlign w:val="center"/>
          </w:tcPr>
          <w:p w14:paraId="5E87C0E0" w14:textId="77777777" w:rsidR="00DC7203" w:rsidRPr="0065549F" w:rsidRDefault="00DC7203" w:rsidP="00DC7203">
            <w:pPr>
              <w:suppressAutoHyphens w:val="0"/>
              <w:rPr>
                <w:rFonts w:ascii="Times New Roman" w:hAnsi="Times New Roman" w:cs="Times New Roman"/>
                <w:noProof/>
                <w:sz w:val="20"/>
                <w:szCs w:val="20"/>
                <w:lang w:val="it-IT"/>
              </w:rPr>
            </w:pPr>
            <w:r w:rsidRPr="0065549F">
              <w:rPr>
                <w:rFonts w:ascii="Times New Roman" w:hAnsi="Times New Roman" w:cs="Times New Roman"/>
                <w:noProof/>
                <w:sz w:val="20"/>
                <w:szCs w:val="20"/>
                <w:lang w:val="it-IT"/>
              </w:rPr>
              <w:t xml:space="preserve">European Innovation Act </w:t>
            </w:r>
          </w:p>
        </w:tc>
        <w:tc>
          <w:tcPr>
            <w:tcW w:w="2268" w:type="dxa"/>
            <w:vAlign w:val="center"/>
          </w:tcPr>
          <w:p w14:paraId="18FF3CC0" w14:textId="77777777" w:rsidR="00DC7203" w:rsidRPr="0065549F" w:rsidRDefault="00DC7203" w:rsidP="00DC7203">
            <w:pPr>
              <w:suppressAutoHyphens w:val="0"/>
              <w:jc w:val="center"/>
              <w:rPr>
                <w:rFonts w:ascii="Times New Roman" w:hAnsi="Times New Roman" w:cs="Times New Roman"/>
                <w:noProof/>
                <w:sz w:val="20"/>
                <w:szCs w:val="20"/>
                <w:lang w:val="it-IT"/>
              </w:rPr>
            </w:pPr>
            <w:r w:rsidRPr="0065549F">
              <w:rPr>
                <w:rFonts w:ascii="Times New Roman" w:hAnsi="Times New Roman" w:cs="Times New Roman"/>
                <w:noProof/>
                <w:sz w:val="20"/>
                <w:szCs w:val="20"/>
                <w:lang w:val="it-IT"/>
              </w:rPr>
              <w:t>Q1 2026</w:t>
            </w:r>
          </w:p>
        </w:tc>
      </w:tr>
      <w:tr w:rsidR="004B398D" w:rsidRPr="004B398D" w14:paraId="693442C5" w14:textId="77777777" w:rsidTr="153A979C">
        <w:trPr>
          <w:trHeight w:val="397"/>
        </w:trPr>
        <w:tc>
          <w:tcPr>
            <w:tcW w:w="975" w:type="dxa"/>
            <w:vAlign w:val="center"/>
          </w:tcPr>
          <w:p w14:paraId="767AE078" w14:textId="77777777" w:rsidR="00DC7203" w:rsidRPr="0065549F" w:rsidRDefault="00DC7203" w:rsidP="00DC7203">
            <w:pPr>
              <w:suppressAutoHyphens w:val="0"/>
              <w:jc w:val="center"/>
              <w:rPr>
                <w:rFonts w:ascii="Times New Roman" w:hAnsi="Times New Roman" w:cs="Times New Roman"/>
                <w:noProof/>
                <w:sz w:val="20"/>
                <w:szCs w:val="20"/>
                <w:lang w:val="en-IE"/>
              </w:rPr>
            </w:pPr>
          </w:p>
        </w:tc>
        <w:tc>
          <w:tcPr>
            <w:tcW w:w="6009" w:type="dxa"/>
            <w:vAlign w:val="center"/>
          </w:tcPr>
          <w:p w14:paraId="63025B1F" w14:textId="77777777"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European Research Area Act </w:t>
            </w:r>
          </w:p>
        </w:tc>
        <w:tc>
          <w:tcPr>
            <w:tcW w:w="2268" w:type="dxa"/>
            <w:vAlign w:val="center"/>
          </w:tcPr>
          <w:p w14:paraId="6C6E9418" w14:textId="48DC087A"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Q3 2026</w:t>
            </w:r>
          </w:p>
        </w:tc>
      </w:tr>
      <w:tr w:rsidR="004B398D" w:rsidRPr="004B398D" w14:paraId="464A23FF" w14:textId="77777777" w:rsidTr="153A979C">
        <w:trPr>
          <w:trHeight w:val="397"/>
        </w:trPr>
        <w:tc>
          <w:tcPr>
            <w:tcW w:w="975" w:type="dxa"/>
            <w:shd w:val="clear" w:color="auto" w:fill="C2D69B"/>
            <w:vAlign w:val="center"/>
          </w:tcPr>
          <w:p w14:paraId="14F268B2"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3DDB2C06" wp14:editId="1C34C6E3">
                  <wp:extent cx="164465" cy="146050"/>
                  <wp:effectExtent l="0" t="0" r="6985" b="6350"/>
                  <wp:docPr id="270001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32A72212" w14:textId="2DB22B6C"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AI </w:t>
            </w:r>
            <w:r w:rsidR="00EB19EA">
              <w:rPr>
                <w:rFonts w:ascii="Times New Roman" w:hAnsi="Times New Roman" w:cs="Times New Roman"/>
                <w:noProof/>
                <w:sz w:val="20"/>
                <w:szCs w:val="20"/>
                <w:lang w:val="en-IE"/>
              </w:rPr>
              <w:t>c</w:t>
            </w:r>
            <w:r w:rsidRPr="0065549F">
              <w:rPr>
                <w:rFonts w:ascii="Times New Roman" w:hAnsi="Times New Roman" w:cs="Times New Roman"/>
                <w:noProof/>
                <w:sz w:val="20"/>
                <w:szCs w:val="20"/>
                <w:lang w:val="en-IE"/>
              </w:rPr>
              <w:t xml:space="preserve">ontinent </w:t>
            </w:r>
            <w:r w:rsidR="00EB19EA">
              <w:rPr>
                <w:rFonts w:ascii="Times New Roman" w:hAnsi="Times New Roman" w:cs="Times New Roman"/>
                <w:noProof/>
                <w:sz w:val="20"/>
                <w:szCs w:val="20"/>
                <w:lang w:val="en-IE"/>
              </w:rPr>
              <w:t>a</w:t>
            </w:r>
            <w:r w:rsidRPr="0065549F">
              <w:rPr>
                <w:rFonts w:ascii="Times New Roman" w:hAnsi="Times New Roman" w:cs="Times New Roman"/>
                <w:noProof/>
                <w:sz w:val="20"/>
                <w:szCs w:val="20"/>
                <w:lang w:val="en-IE"/>
              </w:rPr>
              <w:t xml:space="preserve">ction </w:t>
            </w:r>
            <w:r w:rsidR="00EB19EA">
              <w:rPr>
                <w:rFonts w:ascii="Times New Roman" w:hAnsi="Times New Roman" w:cs="Times New Roman"/>
                <w:noProof/>
                <w:sz w:val="20"/>
                <w:szCs w:val="20"/>
                <w:lang w:val="en-IE"/>
              </w:rPr>
              <w:t>p</w:t>
            </w:r>
            <w:r w:rsidRPr="0065549F">
              <w:rPr>
                <w:rFonts w:ascii="Times New Roman" w:hAnsi="Times New Roman" w:cs="Times New Roman"/>
                <w:noProof/>
                <w:sz w:val="20"/>
                <w:szCs w:val="20"/>
                <w:lang w:val="en-IE"/>
              </w:rPr>
              <w:t>lan</w:t>
            </w:r>
            <w:r w:rsidR="004A410B">
              <w:rPr>
                <w:rStyle w:val="EndnoteReference"/>
                <w:rFonts w:ascii="Times New Roman" w:hAnsi="Times New Roman" w:cs="Times New Roman"/>
                <w:noProof/>
                <w:sz w:val="20"/>
                <w:szCs w:val="20"/>
                <w:lang w:val="en-IE"/>
              </w:rPr>
              <w:endnoteReference w:id="4"/>
            </w:r>
          </w:p>
        </w:tc>
        <w:tc>
          <w:tcPr>
            <w:tcW w:w="2268" w:type="dxa"/>
            <w:shd w:val="clear" w:color="auto" w:fill="C2D69B"/>
            <w:vAlign w:val="center"/>
          </w:tcPr>
          <w:p w14:paraId="50D2E93A"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9 April 2025</w:t>
            </w:r>
          </w:p>
        </w:tc>
      </w:tr>
      <w:tr w:rsidR="004B398D" w:rsidRPr="004B398D" w:rsidDel="00766A59" w14:paraId="786DC42D" w14:textId="77777777" w:rsidTr="153A979C">
        <w:trPr>
          <w:trHeight w:val="397"/>
        </w:trPr>
        <w:tc>
          <w:tcPr>
            <w:tcW w:w="975" w:type="dxa"/>
            <w:shd w:val="clear" w:color="auto" w:fill="C2D69B"/>
            <w:vAlign w:val="center"/>
          </w:tcPr>
          <w:p w14:paraId="2D13DD97"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28713D1A" wp14:editId="1B41CE49">
                  <wp:extent cx="164465" cy="146050"/>
                  <wp:effectExtent l="0" t="0" r="6985" b="6350"/>
                  <wp:docPr id="1140093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6E28AD70" w14:textId="27388B87"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Apply AI </w:t>
            </w:r>
            <w:r w:rsidR="00EB19EA">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trategy</w:t>
            </w:r>
            <w:r w:rsidR="00D05CE2">
              <w:rPr>
                <w:rStyle w:val="EndnoteReference"/>
                <w:rFonts w:ascii="Times New Roman" w:hAnsi="Times New Roman" w:cs="Times New Roman"/>
                <w:noProof/>
                <w:sz w:val="20"/>
                <w:szCs w:val="20"/>
                <w:lang w:val="en-IE"/>
              </w:rPr>
              <w:endnoteReference w:id="5"/>
            </w:r>
          </w:p>
        </w:tc>
        <w:tc>
          <w:tcPr>
            <w:tcW w:w="2268" w:type="dxa"/>
            <w:shd w:val="clear" w:color="auto" w:fill="C2D69B"/>
            <w:vAlign w:val="center"/>
          </w:tcPr>
          <w:p w14:paraId="29929BBF" w14:textId="77777777" w:rsidR="00DC7203" w:rsidRPr="0065549F" w:rsidDel="00766A59"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18 October 2025</w:t>
            </w:r>
          </w:p>
        </w:tc>
      </w:tr>
      <w:tr w:rsidR="004B398D" w:rsidRPr="004B398D" w14:paraId="4BD6AE20" w14:textId="77777777" w:rsidTr="153A979C">
        <w:trPr>
          <w:trHeight w:val="397"/>
        </w:trPr>
        <w:tc>
          <w:tcPr>
            <w:tcW w:w="975" w:type="dxa"/>
            <w:shd w:val="clear" w:color="auto" w:fill="C2D69B"/>
            <w:vAlign w:val="center"/>
          </w:tcPr>
          <w:p w14:paraId="260BF1BA"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46939711" wp14:editId="27174B22">
                  <wp:extent cx="164465" cy="146050"/>
                  <wp:effectExtent l="0" t="0" r="6985" b="6350"/>
                  <wp:docPr id="1206819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33453E51" w14:textId="1BC7F274"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AI in </w:t>
            </w:r>
            <w:r w:rsidR="00EB19EA">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 xml:space="preserve">cience </w:t>
            </w:r>
            <w:r w:rsidR="00EB19EA">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trategy</w:t>
            </w:r>
            <w:r w:rsidR="00300253">
              <w:rPr>
                <w:rStyle w:val="EndnoteReference"/>
                <w:rFonts w:ascii="Times New Roman" w:hAnsi="Times New Roman" w:cs="Times New Roman"/>
                <w:noProof/>
                <w:sz w:val="20"/>
                <w:szCs w:val="20"/>
                <w:lang w:val="en-IE"/>
              </w:rPr>
              <w:endnoteReference w:id="6"/>
            </w:r>
          </w:p>
        </w:tc>
        <w:tc>
          <w:tcPr>
            <w:tcW w:w="2268" w:type="dxa"/>
            <w:shd w:val="clear" w:color="auto" w:fill="C2D69B"/>
            <w:vAlign w:val="center"/>
          </w:tcPr>
          <w:p w14:paraId="027489CA"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18 October 2025</w:t>
            </w:r>
          </w:p>
        </w:tc>
      </w:tr>
      <w:tr w:rsidR="004B398D" w:rsidRPr="004B398D" w:rsidDel="00766A59" w14:paraId="1373B9BC" w14:textId="77777777" w:rsidTr="153A979C">
        <w:trPr>
          <w:trHeight w:val="397"/>
        </w:trPr>
        <w:tc>
          <w:tcPr>
            <w:tcW w:w="975" w:type="dxa"/>
            <w:shd w:val="clear" w:color="auto" w:fill="C2D69B"/>
            <w:vAlign w:val="center"/>
          </w:tcPr>
          <w:p w14:paraId="3EC09593"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47F6EC0D" wp14:editId="66CA91DA">
                  <wp:extent cx="164465" cy="146050"/>
                  <wp:effectExtent l="0" t="0" r="6985" b="6350"/>
                  <wp:docPr id="348007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7D36F892" w14:textId="60ACFEB7"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Data Union </w:t>
            </w:r>
            <w:r w:rsidR="00EB19EA">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trategy</w:t>
            </w:r>
            <w:r w:rsidR="00300253">
              <w:rPr>
                <w:rStyle w:val="EndnoteReference"/>
                <w:rFonts w:ascii="Times New Roman" w:hAnsi="Times New Roman" w:cs="Times New Roman"/>
                <w:noProof/>
                <w:sz w:val="20"/>
                <w:szCs w:val="20"/>
                <w:lang w:val="en-IE"/>
              </w:rPr>
              <w:endnoteReference w:id="7"/>
            </w:r>
          </w:p>
        </w:tc>
        <w:tc>
          <w:tcPr>
            <w:tcW w:w="2268" w:type="dxa"/>
            <w:shd w:val="clear" w:color="auto" w:fill="C2D69B"/>
            <w:vAlign w:val="center"/>
          </w:tcPr>
          <w:p w14:paraId="40EB06E1" w14:textId="77777777" w:rsidR="00DC7203" w:rsidRPr="0065549F" w:rsidDel="00766A59"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19 November 2025</w:t>
            </w:r>
          </w:p>
        </w:tc>
      </w:tr>
      <w:tr w:rsidR="004B398D" w:rsidRPr="004B398D" w14:paraId="2B66A3BF" w14:textId="77777777" w:rsidTr="153A979C">
        <w:trPr>
          <w:trHeight w:val="397"/>
        </w:trPr>
        <w:tc>
          <w:tcPr>
            <w:tcW w:w="975" w:type="dxa"/>
            <w:vAlign w:val="center"/>
          </w:tcPr>
          <w:p w14:paraId="59A92C86" w14:textId="77777777" w:rsidR="00DC7203" w:rsidRPr="0065549F" w:rsidRDefault="00DC7203" w:rsidP="00DC7203">
            <w:pPr>
              <w:suppressAutoHyphens w:val="0"/>
              <w:jc w:val="center"/>
              <w:rPr>
                <w:rFonts w:ascii="Times New Roman" w:hAnsi="Times New Roman" w:cs="Times New Roman"/>
                <w:noProof/>
                <w:sz w:val="20"/>
                <w:szCs w:val="20"/>
                <w:lang w:val="en-IE"/>
              </w:rPr>
            </w:pPr>
          </w:p>
        </w:tc>
        <w:tc>
          <w:tcPr>
            <w:tcW w:w="6009" w:type="dxa"/>
            <w:vAlign w:val="center"/>
          </w:tcPr>
          <w:p w14:paraId="4A1DF89B" w14:textId="77777777"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EU Cloud and AI Development Act</w:t>
            </w:r>
          </w:p>
        </w:tc>
        <w:tc>
          <w:tcPr>
            <w:tcW w:w="2268" w:type="dxa"/>
            <w:vAlign w:val="center"/>
          </w:tcPr>
          <w:p w14:paraId="7AD729AC"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Q1 2026</w:t>
            </w:r>
          </w:p>
        </w:tc>
      </w:tr>
      <w:tr w:rsidR="004B398D" w:rsidRPr="004B398D" w14:paraId="70ED6C79" w14:textId="77777777" w:rsidTr="153A979C">
        <w:trPr>
          <w:trHeight w:val="397"/>
        </w:trPr>
        <w:tc>
          <w:tcPr>
            <w:tcW w:w="975" w:type="dxa"/>
            <w:shd w:val="clear" w:color="auto" w:fill="C2D69B"/>
            <w:vAlign w:val="center"/>
          </w:tcPr>
          <w:p w14:paraId="1BA49E65" w14:textId="77777777" w:rsidR="00DC7203" w:rsidRPr="0065549F" w:rsidRDefault="00DC7203" w:rsidP="00DC7203">
            <w:pPr>
              <w:suppressAutoHyphens w:val="0"/>
              <w:jc w:val="center"/>
              <w:rPr>
                <w:rFonts w:ascii="Times New Roman" w:hAnsi="Times New Roman" w:cs="Times New Roman"/>
                <w:noProof/>
                <w:sz w:val="20"/>
                <w:szCs w:val="20"/>
                <w:lang w:val="it-IT"/>
              </w:rPr>
            </w:pPr>
            <w:r w:rsidRPr="0065549F">
              <w:rPr>
                <w:rFonts w:ascii="Times New Roman" w:hAnsi="Times New Roman" w:cs="Times New Roman"/>
                <w:noProof/>
                <w:sz w:val="20"/>
                <w:szCs w:val="20"/>
                <w:lang w:eastAsia="en-GB"/>
              </w:rPr>
              <w:drawing>
                <wp:inline distT="0" distB="0" distL="0" distR="0" wp14:anchorId="044A3DF4" wp14:editId="2F376061">
                  <wp:extent cx="164465" cy="146050"/>
                  <wp:effectExtent l="0" t="0" r="6985" b="6350"/>
                  <wp:docPr id="301375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155D5186" w14:textId="17F5EF3E" w:rsidR="00DC7203" w:rsidRPr="0065549F" w:rsidRDefault="00DC7203" w:rsidP="00DC7203">
            <w:pPr>
              <w:suppressAutoHyphens w:val="0"/>
              <w:rPr>
                <w:rFonts w:ascii="Times New Roman" w:hAnsi="Times New Roman" w:cs="Times New Roman"/>
                <w:noProof/>
                <w:sz w:val="20"/>
                <w:szCs w:val="20"/>
                <w:lang w:val="it-IT"/>
              </w:rPr>
            </w:pPr>
            <w:r w:rsidRPr="0065549F">
              <w:rPr>
                <w:rFonts w:ascii="Times New Roman" w:hAnsi="Times New Roman" w:cs="Times New Roman"/>
                <w:noProof/>
                <w:sz w:val="20"/>
                <w:szCs w:val="20"/>
                <w:lang w:val="it-IT"/>
              </w:rPr>
              <w:t xml:space="preserve">Quantum </w:t>
            </w:r>
            <w:r w:rsidR="00200721">
              <w:rPr>
                <w:rFonts w:ascii="Times New Roman" w:hAnsi="Times New Roman" w:cs="Times New Roman"/>
                <w:noProof/>
                <w:sz w:val="20"/>
                <w:szCs w:val="20"/>
                <w:lang w:val="it-IT"/>
              </w:rPr>
              <w:t xml:space="preserve">Europe </w:t>
            </w:r>
            <w:r w:rsidR="00325008">
              <w:rPr>
                <w:rFonts w:ascii="Times New Roman" w:hAnsi="Times New Roman" w:cs="Times New Roman"/>
                <w:noProof/>
                <w:sz w:val="20"/>
                <w:szCs w:val="20"/>
                <w:lang w:val="it-IT"/>
              </w:rPr>
              <w:t>s</w:t>
            </w:r>
            <w:r w:rsidRPr="0065549F">
              <w:rPr>
                <w:rFonts w:ascii="Times New Roman" w:hAnsi="Times New Roman" w:cs="Times New Roman"/>
                <w:noProof/>
                <w:sz w:val="20"/>
                <w:szCs w:val="20"/>
                <w:lang w:val="it-IT"/>
              </w:rPr>
              <w:t>trategy</w:t>
            </w:r>
            <w:r w:rsidR="00200721">
              <w:rPr>
                <w:rStyle w:val="EndnoteReference"/>
                <w:rFonts w:ascii="Times New Roman" w:hAnsi="Times New Roman" w:cs="Times New Roman"/>
                <w:noProof/>
                <w:sz w:val="20"/>
                <w:szCs w:val="20"/>
                <w:lang w:val="it-IT"/>
              </w:rPr>
              <w:endnoteReference w:id="8"/>
            </w:r>
            <w:r w:rsidRPr="0065549F">
              <w:rPr>
                <w:rFonts w:ascii="Times New Roman" w:hAnsi="Times New Roman" w:cs="Times New Roman"/>
                <w:noProof/>
                <w:sz w:val="20"/>
                <w:szCs w:val="20"/>
                <w:lang w:val="it-IT"/>
              </w:rPr>
              <w:t xml:space="preserve"> </w:t>
            </w:r>
          </w:p>
        </w:tc>
        <w:tc>
          <w:tcPr>
            <w:tcW w:w="2268" w:type="dxa"/>
            <w:shd w:val="clear" w:color="auto" w:fill="C2D69B"/>
            <w:vAlign w:val="center"/>
          </w:tcPr>
          <w:p w14:paraId="380D4A70" w14:textId="77777777" w:rsidR="00DC7203" w:rsidRPr="0065549F" w:rsidRDefault="00DC7203" w:rsidP="00DC7203">
            <w:pPr>
              <w:suppressAutoHyphens w:val="0"/>
              <w:jc w:val="center"/>
              <w:rPr>
                <w:rFonts w:ascii="Times New Roman" w:hAnsi="Times New Roman" w:cs="Times New Roman"/>
                <w:noProof/>
                <w:sz w:val="20"/>
                <w:szCs w:val="20"/>
                <w:lang w:val="it-IT"/>
              </w:rPr>
            </w:pPr>
            <w:r w:rsidRPr="0065549F">
              <w:rPr>
                <w:rFonts w:ascii="Times New Roman" w:hAnsi="Times New Roman" w:cs="Times New Roman"/>
                <w:noProof/>
                <w:sz w:val="20"/>
                <w:szCs w:val="20"/>
                <w:lang w:val="it-IT"/>
              </w:rPr>
              <w:t>2 July 2025</w:t>
            </w:r>
          </w:p>
        </w:tc>
      </w:tr>
      <w:tr w:rsidR="004B398D" w:rsidRPr="004B398D" w:rsidDel="00AA057B" w14:paraId="7D882E5A" w14:textId="77777777" w:rsidTr="153A979C">
        <w:trPr>
          <w:trHeight w:val="397"/>
        </w:trPr>
        <w:tc>
          <w:tcPr>
            <w:tcW w:w="975" w:type="dxa"/>
            <w:tcBorders>
              <w:bottom w:val="single" w:sz="4" w:space="0" w:color="auto"/>
            </w:tcBorders>
            <w:vAlign w:val="center"/>
          </w:tcPr>
          <w:p w14:paraId="5F674A3A" w14:textId="77777777" w:rsidR="00DC7203" w:rsidRPr="0065549F" w:rsidRDefault="00DC7203" w:rsidP="00DC7203">
            <w:pPr>
              <w:suppressAutoHyphens w:val="0"/>
              <w:jc w:val="center"/>
              <w:rPr>
                <w:rFonts w:ascii="Times New Roman" w:hAnsi="Times New Roman" w:cs="Times New Roman"/>
                <w:noProof/>
                <w:sz w:val="20"/>
                <w:szCs w:val="20"/>
                <w:lang w:val="it-IT"/>
              </w:rPr>
            </w:pPr>
          </w:p>
        </w:tc>
        <w:tc>
          <w:tcPr>
            <w:tcW w:w="6009" w:type="dxa"/>
            <w:tcBorders>
              <w:bottom w:val="single" w:sz="4" w:space="0" w:color="auto"/>
            </w:tcBorders>
            <w:vAlign w:val="center"/>
          </w:tcPr>
          <w:p w14:paraId="18977F0B" w14:textId="77777777" w:rsidR="00DC7203" w:rsidRPr="0065549F" w:rsidRDefault="00DC7203" w:rsidP="00DC7203">
            <w:pPr>
              <w:suppressAutoHyphens w:val="0"/>
              <w:rPr>
                <w:rFonts w:ascii="Times New Roman" w:hAnsi="Times New Roman" w:cs="Times New Roman"/>
                <w:noProof/>
                <w:sz w:val="20"/>
                <w:szCs w:val="20"/>
                <w:lang w:val="it-IT"/>
              </w:rPr>
            </w:pPr>
            <w:r w:rsidRPr="0065549F">
              <w:rPr>
                <w:rFonts w:ascii="Times New Roman" w:hAnsi="Times New Roman" w:cs="Times New Roman"/>
                <w:noProof/>
                <w:sz w:val="20"/>
                <w:szCs w:val="20"/>
                <w:lang w:val="it-IT"/>
              </w:rPr>
              <w:t>Quantum Act</w:t>
            </w:r>
          </w:p>
        </w:tc>
        <w:tc>
          <w:tcPr>
            <w:tcW w:w="2268" w:type="dxa"/>
            <w:tcBorders>
              <w:bottom w:val="single" w:sz="4" w:space="0" w:color="auto"/>
            </w:tcBorders>
            <w:vAlign w:val="center"/>
          </w:tcPr>
          <w:p w14:paraId="06F19906" w14:textId="3113607D" w:rsidR="00DC7203" w:rsidRPr="0065549F" w:rsidDel="00AA057B" w:rsidRDefault="00DC7203" w:rsidP="00DC7203">
            <w:pPr>
              <w:suppressAutoHyphens w:val="0"/>
              <w:jc w:val="center"/>
              <w:rPr>
                <w:rFonts w:ascii="Times New Roman" w:hAnsi="Times New Roman" w:cs="Times New Roman"/>
                <w:noProof/>
                <w:sz w:val="20"/>
                <w:szCs w:val="20"/>
                <w:lang w:val="it-IT"/>
              </w:rPr>
            </w:pPr>
            <w:r w:rsidRPr="0065549F">
              <w:rPr>
                <w:rFonts w:ascii="Times New Roman" w:hAnsi="Times New Roman" w:cs="Times New Roman"/>
                <w:noProof/>
                <w:sz w:val="20"/>
                <w:szCs w:val="20"/>
                <w:lang w:val="it-IT"/>
              </w:rPr>
              <w:t>Q2 2026</w:t>
            </w:r>
          </w:p>
        </w:tc>
      </w:tr>
      <w:tr w:rsidR="001D031F" w:rsidRPr="004B398D" w14:paraId="12545409" w14:textId="77777777" w:rsidTr="153A979C">
        <w:trPr>
          <w:trHeight w:val="397"/>
        </w:trPr>
        <w:tc>
          <w:tcPr>
            <w:tcW w:w="975" w:type="dxa"/>
            <w:tcBorders>
              <w:right w:val="single" w:sz="4" w:space="0" w:color="auto"/>
            </w:tcBorders>
            <w:shd w:val="clear" w:color="auto" w:fill="F9F9CF"/>
            <w:vAlign w:val="center"/>
          </w:tcPr>
          <w:p w14:paraId="6C673538" w14:textId="4E2BF4A6" w:rsidR="00DC7203" w:rsidRPr="0065549F" w:rsidRDefault="00965C06"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075555D5" wp14:editId="6FCA7177">
                  <wp:extent cx="207010" cy="207010"/>
                  <wp:effectExtent l="0" t="0" r="2540" b="2540"/>
                  <wp:docPr id="1616514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p>
        </w:tc>
        <w:tc>
          <w:tcPr>
            <w:tcW w:w="6009" w:type="dxa"/>
            <w:tcBorders>
              <w:top w:val="single" w:sz="4" w:space="0" w:color="auto"/>
              <w:left w:val="single" w:sz="4" w:space="0" w:color="auto"/>
              <w:bottom w:val="single" w:sz="4" w:space="0" w:color="auto"/>
              <w:right w:val="single" w:sz="4" w:space="0" w:color="auto"/>
            </w:tcBorders>
            <w:shd w:val="clear" w:color="auto" w:fill="F9F9CF"/>
            <w:vAlign w:val="center"/>
          </w:tcPr>
          <w:p w14:paraId="4E718F5E" w14:textId="187FF0EC" w:rsidR="00DC7203" w:rsidRPr="00853108" w:rsidRDefault="00DC7203" w:rsidP="00DC7203">
            <w:pPr>
              <w:suppressAutoHyphens w:val="0"/>
              <w:rPr>
                <w:rFonts w:ascii="Times New Roman" w:hAnsi="Times New Roman" w:cs="Times New Roman"/>
                <w:noProof/>
                <w:sz w:val="20"/>
                <w:szCs w:val="20"/>
                <w:lang w:val="en-IE"/>
              </w:rPr>
            </w:pPr>
            <w:r w:rsidRPr="00334333">
              <w:rPr>
                <w:rFonts w:ascii="Times New Roman" w:hAnsi="Times New Roman" w:cs="Times New Roman"/>
                <w:noProof/>
                <w:sz w:val="20"/>
                <w:szCs w:val="20"/>
                <w:lang w:val="en-IE"/>
              </w:rPr>
              <w:t>European Biotech Act</w:t>
            </w:r>
            <w:r w:rsidR="00EF10D4">
              <w:rPr>
                <w:rStyle w:val="EndnoteReference"/>
                <w:rFonts w:ascii="Times New Roman" w:hAnsi="Times New Roman" w:cs="Times New Roman"/>
                <w:noProof/>
                <w:sz w:val="20"/>
                <w:szCs w:val="20"/>
                <w:lang w:val="en-IE"/>
              </w:rPr>
              <w:endnoteReference w:id="9"/>
            </w:r>
            <w:r w:rsidR="00811603">
              <w:rPr>
                <w:rFonts w:ascii="Times New Roman" w:hAnsi="Times New Roman" w:cs="Times New Roman"/>
                <w:noProof/>
                <w:sz w:val="20"/>
                <w:szCs w:val="20"/>
                <w:lang w:val="en-IE"/>
              </w:rPr>
              <w:t xml:space="preserve"> (Part I)</w:t>
            </w:r>
          </w:p>
        </w:tc>
        <w:tc>
          <w:tcPr>
            <w:tcW w:w="2268" w:type="dxa"/>
            <w:tcBorders>
              <w:left w:val="single" w:sz="4" w:space="0" w:color="auto"/>
            </w:tcBorders>
            <w:shd w:val="clear" w:color="auto" w:fill="F9F9CF"/>
            <w:vAlign w:val="center"/>
          </w:tcPr>
          <w:p w14:paraId="7595E3E2" w14:textId="482B6E38" w:rsidR="00DC7203" w:rsidRPr="00853108" w:rsidRDefault="0081468F" w:rsidP="00DC7203">
            <w:pPr>
              <w:suppressAutoHyphens w:val="0"/>
              <w:jc w:val="center"/>
              <w:rPr>
                <w:rFonts w:ascii="Times New Roman" w:hAnsi="Times New Roman" w:cs="Times New Roman"/>
                <w:noProof/>
                <w:sz w:val="20"/>
                <w:szCs w:val="20"/>
                <w:lang w:val="en-IE"/>
              </w:rPr>
            </w:pPr>
            <w:r w:rsidRPr="00334333">
              <w:rPr>
                <w:rFonts w:ascii="Times New Roman" w:hAnsi="Times New Roman" w:cs="Times New Roman"/>
                <w:noProof/>
                <w:sz w:val="20"/>
                <w:szCs w:val="20"/>
                <w:lang w:val="en-IE"/>
              </w:rPr>
              <w:t>16 December 2025</w:t>
            </w:r>
          </w:p>
        </w:tc>
      </w:tr>
      <w:tr w:rsidR="00C0356F" w:rsidRPr="004B398D" w14:paraId="4428E217" w14:textId="77777777" w:rsidTr="153A979C">
        <w:trPr>
          <w:trHeight w:val="397"/>
        </w:trPr>
        <w:tc>
          <w:tcPr>
            <w:tcW w:w="975" w:type="dxa"/>
            <w:tcBorders>
              <w:right w:val="single" w:sz="4" w:space="0" w:color="auto"/>
            </w:tcBorders>
            <w:shd w:val="clear" w:color="auto" w:fill="FFFFFF" w:themeFill="background1"/>
            <w:vAlign w:val="center"/>
          </w:tcPr>
          <w:p w14:paraId="5B064EF0" w14:textId="77777777" w:rsidR="00965C06" w:rsidRPr="0065549F" w:rsidRDefault="00965C06" w:rsidP="00DC7203">
            <w:pPr>
              <w:suppressAutoHyphens w:val="0"/>
              <w:jc w:val="center"/>
              <w:rPr>
                <w:rFonts w:ascii="Times New Roman" w:hAnsi="Times New Roman" w:cs="Times New Roman"/>
                <w:noProof/>
                <w:sz w:val="20"/>
                <w:szCs w:val="20"/>
                <w:lang w:val="en-IE"/>
              </w:rPr>
            </w:pPr>
          </w:p>
        </w:tc>
        <w:tc>
          <w:tcPr>
            <w:tcW w:w="6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F4560" w14:textId="06BE804B" w:rsidR="00965C06" w:rsidRPr="00334333" w:rsidRDefault="00965C06" w:rsidP="00DC7203">
            <w:pPr>
              <w:suppressAutoHyphens w:val="0"/>
              <w:rPr>
                <w:rFonts w:ascii="Times New Roman" w:hAnsi="Times New Roman" w:cs="Times New Roman"/>
                <w:noProof/>
                <w:sz w:val="20"/>
                <w:szCs w:val="20"/>
                <w:lang w:val="en-IE"/>
              </w:rPr>
            </w:pPr>
            <w:r w:rsidRPr="00334333">
              <w:rPr>
                <w:rFonts w:ascii="Times New Roman" w:hAnsi="Times New Roman" w:cs="Times New Roman"/>
                <w:noProof/>
                <w:sz w:val="20"/>
                <w:szCs w:val="20"/>
                <w:lang w:val="en-IE"/>
              </w:rPr>
              <w:t>European Biotech Act</w:t>
            </w:r>
            <w:r>
              <w:rPr>
                <w:rFonts w:ascii="Times New Roman" w:hAnsi="Times New Roman" w:cs="Times New Roman"/>
                <w:noProof/>
                <w:sz w:val="20"/>
                <w:szCs w:val="20"/>
                <w:lang w:val="en-IE"/>
              </w:rPr>
              <w:t xml:space="preserve"> (Part II)</w:t>
            </w:r>
          </w:p>
        </w:tc>
        <w:tc>
          <w:tcPr>
            <w:tcW w:w="2268" w:type="dxa"/>
            <w:tcBorders>
              <w:left w:val="single" w:sz="4" w:space="0" w:color="auto"/>
              <w:bottom w:val="single" w:sz="4" w:space="0" w:color="auto"/>
            </w:tcBorders>
            <w:shd w:val="clear" w:color="auto" w:fill="FFFFFF" w:themeFill="background1"/>
            <w:vAlign w:val="center"/>
          </w:tcPr>
          <w:p w14:paraId="10E534D7" w14:textId="085D5180" w:rsidR="00965C06" w:rsidRPr="00334333" w:rsidRDefault="00965C06" w:rsidP="00DC7203">
            <w:pPr>
              <w:suppressAutoHyphens w:val="0"/>
              <w:jc w:val="center"/>
              <w:rPr>
                <w:rFonts w:ascii="Times New Roman" w:hAnsi="Times New Roman" w:cs="Times New Roman"/>
                <w:noProof/>
                <w:sz w:val="20"/>
                <w:szCs w:val="20"/>
                <w:lang w:val="en-IE"/>
              </w:rPr>
            </w:pPr>
            <w:r w:rsidRPr="00853108">
              <w:rPr>
                <w:rFonts w:ascii="Times New Roman" w:hAnsi="Times New Roman" w:cs="Times New Roman"/>
                <w:noProof/>
                <w:sz w:val="20"/>
                <w:szCs w:val="20"/>
                <w:lang w:val="en-IE"/>
              </w:rPr>
              <w:t>Q3 2026</w:t>
            </w:r>
          </w:p>
        </w:tc>
      </w:tr>
      <w:tr w:rsidR="004B398D" w:rsidRPr="004B398D" w14:paraId="3C2AA883" w14:textId="77777777" w:rsidTr="153A979C">
        <w:trPr>
          <w:trHeight w:val="397"/>
        </w:trPr>
        <w:tc>
          <w:tcPr>
            <w:tcW w:w="975" w:type="dxa"/>
            <w:shd w:val="clear" w:color="auto" w:fill="C2D69B"/>
            <w:vAlign w:val="center"/>
          </w:tcPr>
          <w:p w14:paraId="4828855B" w14:textId="58DAA98C" w:rsidR="00DC7203" w:rsidRPr="0065549F" w:rsidRDefault="004D579F"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57A73726" wp14:editId="44FB9E19">
                  <wp:extent cx="164465" cy="146050"/>
                  <wp:effectExtent l="0" t="0" r="6985" b="6350"/>
                  <wp:docPr id="599966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tcBorders>
              <w:top w:val="single" w:sz="4" w:space="0" w:color="auto"/>
            </w:tcBorders>
            <w:shd w:val="clear" w:color="auto" w:fill="C2D69B"/>
            <w:vAlign w:val="center"/>
          </w:tcPr>
          <w:p w14:paraId="5590D4B7" w14:textId="45302559" w:rsidR="00DC7203" w:rsidRPr="0065549F" w:rsidRDefault="00DC7203" w:rsidP="00DC7203">
            <w:pPr>
              <w:suppressAutoHyphens w:val="0"/>
              <w:rPr>
                <w:rFonts w:ascii="Times New Roman" w:hAnsi="Times New Roman" w:cs="Times New Roman"/>
                <w:noProof/>
                <w:sz w:val="20"/>
                <w:szCs w:val="20"/>
                <w:highlight w:val="yellow"/>
                <w:lang w:val="en-IE"/>
              </w:rPr>
            </w:pPr>
            <w:r w:rsidRPr="0065549F">
              <w:rPr>
                <w:rFonts w:ascii="Times New Roman" w:hAnsi="Times New Roman" w:cs="Times New Roman"/>
                <w:noProof/>
                <w:sz w:val="20"/>
                <w:szCs w:val="20"/>
                <w:lang w:val="en-IE"/>
              </w:rPr>
              <w:t xml:space="preserve">Bioeconomy </w:t>
            </w:r>
            <w:r w:rsidR="00325008">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trategy</w:t>
            </w:r>
            <w:r w:rsidR="002C7692">
              <w:rPr>
                <w:rStyle w:val="EndnoteReference"/>
                <w:rFonts w:ascii="Times New Roman" w:hAnsi="Times New Roman" w:cs="Times New Roman"/>
                <w:noProof/>
                <w:sz w:val="20"/>
                <w:szCs w:val="20"/>
                <w:lang w:val="en-IE"/>
              </w:rPr>
              <w:endnoteReference w:id="10"/>
            </w:r>
          </w:p>
        </w:tc>
        <w:tc>
          <w:tcPr>
            <w:tcW w:w="2268" w:type="dxa"/>
            <w:tcBorders>
              <w:top w:val="single" w:sz="4" w:space="0" w:color="auto"/>
            </w:tcBorders>
            <w:shd w:val="clear" w:color="auto" w:fill="C2D69B"/>
            <w:vAlign w:val="center"/>
          </w:tcPr>
          <w:p w14:paraId="303D5676" w14:textId="5F4B9625" w:rsidR="00DC7203" w:rsidRPr="0065549F" w:rsidRDefault="00835D58"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it-IT"/>
              </w:rPr>
              <w:t>2</w:t>
            </w:r>
            <w:r w:rsidR="00786D9C" w:rsidRPr="0065549F">
              <w:rPr>
                <w:rFonts w:ascii="Times New Roman" w:hAnsi="Times New Roman" w:cs="Times New Roman"/>
                <w:noProof/>
                <w:sz w:val="20"/>
                <w:szCs w:val="20"/>
                <w:lang w:val="it-IT"/>
              </w:rPr>
              <w:t>7</w:t>
            </w:r>
            <w:r w:rsidRPr="0065549F">
              <w:rPr>
                <w:rFonts w:ascii="Times New Roman" w:hAnsi="Times New Roman" w:cs="Times New Roman"/>
                <w:noProof/>
                <w:sz w:val="20"/>
                <w:szCs w:val="20"/>
                <w:lang w:val="it-IT"/>
              </w:rPr>
              <w:t xml:space="preserve"> November </w:t>
            </w:r>
            <w:r w:rsidR="00DC7203" w:rsidRPr="0065549F">
              <w:rPr>
                <w:rFonts w:ascii="Times New Roman" w:hAnsi="Times New Roman" w:cs="Times New Roman"/>
                <w:noProof/>
                <w:sz w:val="20"/>
                <w:szCs w:val="20"/>
                <w:lang w:val="it-IT"/>
              </w:rPr>
              <w:t>2025</w:t>
            </w:r>
          </w:p>
        </w:tc>
      </w:tr>
      <w:tr w:rsidR="004B398D" w:rsidRPr="004B398D" w14:paraId="2F2051C3" w14:textId="77777777" w:rsidTr="153A979C">
        <w:trPr>
          <w:trHeight w:val="397"/>
        </w:trPr>
        <w:tc>
          <w:tcPr>
            <w:tcW w:w="975" w:type="dxa"/>
            <w:shd w:val="clear" w:color="auto" w:fill="C2D69B"/>
            <w:vAlign w:val="center"/>
          </w:tcPr>
          <w:p w14:paraId="4B8F738B"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7A793F8D" wp14:editId="18880E05">
                  <wp:extent cx="164465" cy="146050"/>
                  <wp:effectExtent l="0" t="0" r="6985" b="6350"/>
                  <wp:docPr id="817030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5950800C" w14:textId="63159A5A"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Life Sciences </w:t>
            </w:r>
            <w:r w:rsidR="00325008">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trategy</w:t>
            </w:r>
            <w:r w:rsidR="00942564">
              <w:rPr>
                <w:rStyle w:val="EndnoteReference"/>
                <w:rFonts w:ascii="Times New Roman" w:hAnsi="Times New Roman" w:cs="Times New Roman"/>
                <w:noProof/>
                <w:sz w:val="20"/>
                <w:szCs w:val="20"/>
                <w:lang w:val="en-IE"/>
              </w:rPr>
              <w:endnoteReference w:id="11"/>
            </w:r>
          </w:p>
        </w:tc>
        <w:tc>
          <w:tcPr>
            <w:tcW w:w="2268" w:type="dxa"/>
            <w:shd w:val="clear" w:color="auto" w:fill="C2D69B"/>
            <w:vAlign w:val="center"/>
          </w:tcPr>
          <w:p w14:paraId="004D436D"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 July 2025</w:t>
            </w:r>
          </w:p>
        </w:tc>
      </w:tr>
      <w:tr w:rsidR="004B398D" w:rsidRPr="004B398D" w14:paraId="37191EBD" w14:textId="77777777" w:rsidTr="153A979C">
        <w:trPr>
          <w:trHeight w:val="397"/>
        </w:trPr>
        <w:tc>
          <w:tcPr>
            <w:tcW w:w="975" w:type="dxa"/>
            <w:vAlign w:val="center"/>
          </w:tcPr>
          <w:p w14:paraId="05ED8348" w14:textId="77777777" w:rsidR="00DC7203" w:rsidRPr="0065549F" w:rsidRDefault="00DC7203" w:rsidP="00DC7203">
            <w:pPr>
              <w:suppressAutoHyphens w:val="0"/>
              <w:jc w:val="center"/>
              <w:rPr>
                <w:rFonts w:ascii="Times New Roman" w:hAnsi="Times New Roman" w:cs="Times New Roman"/>
                <w:noProof/>
                <w:sz w:val="20"/>
                <w:szCs w:val="20"/>
                <w:lang w:val="en-IE"/>
              </w:rPr>
            </w:pPr>
          </w:p>
        </w:tc>
        <w:tc>
          <w:tcPr>
            <w:tcW w:w="6009" w:type="dxa"/>
            <w:vAlign w:val="center"/>
          </w:tcPr>
          <w:p w14:paraId="03D21011" w14:textId="77777777"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Advanced Materials Act </w:t>
            </w:r>
          </w:p>
        </w:tc>
        <w:tc>
          <w:tcPr>
            <w:tcW w:w="2268" w:type="dxa"/>
            <w:vAlign w:val="center"/>
          </w:tcPr>
          <w:p w14:paraId="2CBF046A" w14:textId="5B1EC2E1" w:rsidR="00DC7203" w:rsidRPr="0065549F" w:rsidRDefault="003B1855"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Q4</w:t>
            </w:r>
            <w:r w:rsidR="00DC7203" w:rsidRPr="0065549F">
              <w:rPr>
                <w:rFonts w:ascii="Times New Roman" w:hAnsi="Times New Roman" w:cs="Times New Roman"/>
                <w:noProof/>
                <w:sz w:val="20"/>
                <w:szCs w:val="20"/>
                <w:lang w:val="en-IE"/>
              </w:rPr>
              <w:t xml:space="preserve"> 2026</w:t>
            </w:r>
          </w:p>
        </w:tc>
      </w:tr>
      <w:tr w:rsidR="004B398D" w:rsidRPr="004B398D" w14:paraId="3852E2A5" w14:textId="77777777" w:rsidTr="153A979C">
        <w:trPr>
          <w:trHeight w:val="397"/>
        </w:trPr>
        <w:tc>
          <w:tcPr>
            <w:tcW w:w="975" w:type="dxa"/>
            <w:shd w:val="clear" w:color="auto" w:fill="F9F9CF"/>
            <w:vAlign w:val="center"/>
          </w:tcPr>
          <w:p w14:paraId="59BD1665"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368E8ACB" wp14:editId="156F5156">
                  <wp:extent cx="207010" cy="207010"/>
                  <wp:effectExtent l="0" t="0" r="2540" b="2540"/>
                  <wp:docPr id="8335976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p>
        </w:tc>
        <w:tc>
          <w:tcPr>
            <w:tcW w:w="6009" w:type="dxa"/>
            <w:shd w:val="clear" w:color="auto" w:fill="F9F9CF"/>
            <w:vAlign w:val="center"/>
          </w:tcPr>
          <w:p w14:paraId="46110372" w14:textId="1F3CA4C3"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Space Act</w:t>
            </w:r>
            <w:r w:rsidR="00F45A8C">
              <w:rPr>
                <w:rStyle w:val="EndnoteReference"/>
                <w:rFonts w:ascii="Times New Roman" w:hAnsi="Times New Roman" w:cs="Times New Roman"/>
                <w:noProof/>
                <w:sz w:val="20"/>
                <w:szCs w:val="20"/>
                <w:lang w:val="en-IE"/>
              </w:rPr>
              <w:endnoteReference w:id="12"/>
            </w:r>
            <w:r w:rsidRPr="0065549F">
              <w:rPr>
                <w:rFonts w:ascii="Times New Roman" w:hAnsi="Times New Roman" w:cs="Times New Roman"/>
                <w:noProof/>
                <w:sz w:val="20"/>
                <w:szCs w:val="20"/>
                <w:lang w:val="en-IE"/>
              </w:rPr>
              <w:t xml:space="preserve"> </w:t>
            </w:r>
          </w:p>
        </w:tc>
        <w:tc>
          <w:tcPr>
            <w:tcW w:w="2268" w:type="dxa"/>
            <w:shd w:val="clear" w:color="auto" w:fill="F9F9CF"/>
            <w:vAlign w:val="center"/>
          </w:tcPr>
          <w:p w14:paraId="15BE15B1"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25 June 2025</w:t>
            </w:r>
          </w:p>
        </w:tc>
      </w:tr>
      <w:tr w:rsidR="004B398D" w:rsidRPr="004B398D" w14:paraId="0E5751E9" w14:textId="77777777" w:rsidTr="153A979C">
        <w:trPr>
          <w:trHeight w:val="397"/>
        </w:trPr>
        <w:tc>
          <w:tcPr>
            <w:tcW w:w="975" w:type="dxa"/>
            <w:vAlign w:val="center"/>
          </w:tcPr>
          <w:p w14:paraId="5ECDA862" w14:textId="77777777" w:rsidR="00DC7203" w:rsidRPr="0065549F" w:rsidRDefault="00DC7203" w:rsidP="00DC7203">
            <w:pPr>
              <w:suppressAutoHyphens w:val="0"/>
              <w:jc w:val="center"/>
              <w:rPr>
                <w:rFonts w:ascii="Times New Roman" w:hAnsi="Times New Roman" w:cs="Times New Roman"/>
                <w:noProof/>
                <w:sz w:val="20"/>
                <w:szCs w:val="20"/>
                <w:lang w:val="en-IE"/>
              </w:rPr>
            </w:pPr>
          </w:p>
        </w:tc>
        <w:tc>
          <w:tcPr>
            <w:tcW w:w="6009" w:type="dxa"/>
            <w:vAlign w:val="center"/>
          </w:tcPr>
          <w:p w14:paraId="12C1ACA5" w14:textId="3929090B"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Review of the </w:t>
            </w:r>
            <w:r w:rsidR="00C73A33">
              <w:rPr>
                <w:rFonts w:ascii="Times New Roman" w:hAnsi="Times New Roman" w:cs="Times New Roman"/>
                <w:noProof/>
                <w:sz w:val="20"/>
                <w:szCs w:val="20"/>
                <w:lang w:val="en-IE"/>
              </w:rPr>
              <w:t>EU</w:t>
            </w:r>
            <w:r w:rsidR="00C73A33" w:rsidRPr="0065549F">
              <w:rPr>
                <w:rFonts w:ascii="Times New Roman" w:hAnsi="Times New Roman" w:cs="Times New Roman"/>
                <w:noProof/>
                <w:sz w:val="20"/>
                <w:szCs w:val="20"/>
                <w:lang w:val="en-IE"/>
              </w:rPr>
              <w:t xml:space="preserve"> </w:t>
            </w:r>
            <w:r w:rsidR="00325008">
              <w:rPr>
                <w:rFonts w:ascii="Times New Roman" w:hAnsi="Times New Roman" w:cs="Times New Roman"/>
                <w:noProof/>
                <w:sz w:val="20"/>
                <w:szCs w:val="20"/>
                <w:lang w:val="en-IE"/>
              </w:rPr>
              <w:t>m</w:t>
            </w:r>
            <w:r w:rsidRPr="0065549F">
              <w:rPr>
                <w:rFonts w:ascii="Times New Roman" w:hAnsi="Times New Roman" w:cs="Times New Roman"/>
                <w:noProof/>
                <w:sz w:val="20"/>
                <w:szCs w:val="20"/>
                <w:lang w:val="en-IE"/>
              </w:rPr>
              <w:t xml:space="preserve">erger </w:t>
            </w:r>
            <w:r w:rsidR="00325008">
              <w:rPr>
                <w:rFonts w:ascii="Times New Roman" w:hAnsi="Times New Roman" w:cs="Times New Roman"/>
                <w:noProof/>
                <w:sz w:val="20"/>
                <w:szCs w:val="20"/>
                <w:lang w:val="en-IE"/>
              </w:rPr>
              <w:t>g</w:t>
            </w:r>
            <w:r w:rsidRPr="0065549F">
              <w:rPr>
                <w:rFonts w:ascii="Times New Roman" w:hAnsi="Times New Roman" w:cs="Times New Roman"/>
                <w:noProof/>
                <w:sz w:val="20"/>
                <w:szCs w:val="20"/>
                <w:lang w:val="en-IE"/>
              </w:rPr>
              <w:t xml:space="preserve">uidelines </w:t>
            </w:r>
          </w:p>
        </w:tc>
        <w:tc>
          <w:tcPr>
            <w:tcW w:w="2268" w:type="dxa"/>
            <w:vAlign w:val="center"/>
          </w:tcPr>
          <w:p w14:paraId="2B08DEC7" w14:textId="215DA834" w:rsidR="00DC7203" w:rsidRPr="0065549F" w:rsidRDefault="00EE2E8F" w:rsidP="00DC7203">
            <w:pPr>
              <w:suppressAutoHyphens w:val="0"/>
              <w:jc w:val="center"/>
              <w:rPr>
                <w:rFonts w:ascii="Times New Roman" w:hAnsi="Times New Roman" w:cs="Times New Roman"/>
                <w:noProof/>
                <w:sz w:val="20"/>
                <w:szCs w:val="20"/>
                <w:lang w:val="en-IE"/>
              </w:rPr>
            </w:pPr>
            <w:r w:rsidRPr="00286F91">
              <w:rPr>
                <w:rFonts w:ascii="Times New Roman" w:hAnsi="Times New Roman" w:cs="Times New Roman"/>
                <w:noProof/>
                <w:sz w:val="20"/>
                <w:szCs w:val="20"/>
                <w:lang w:val="en-IE"/>
              </w:rPr>
              <w:t xml:space="preserve">Q4 </w:t>
            </w:r>
            <w:r w:rsidR="00DC7203" w:rsidRPr="00DF5EC4">
              <w:rPr>
                <w:rFonts w:ascii="Times New Roman" w:hAnsi="Times New Roman" w:cs="Times New Roman"/>
                <w:noProof/>
                <w:sz w:val="20"/>
                <w:szCs w:val="20"/>
                <w:lang w:val="en-IE"/>
              </w:rPr>
              <w:t>202</w:t>
            </w:r>
            <w:r w:rsidR="00C73A33" w:rsidRPr="00DF5EC4">
              <w:rPr>
                <w:rFonts w:ascii="Times New Roman" w:hAnsi="Times New Roman" w:cs="Times New Roman"/>
                <w:noProof/>
                <w:sz w:val="20"/>
                <w:szCs w:val="20"/>
                <w:lang w:val="en-IE"/>
              </w:rPr>
              <w:t>6</w:t>
            </w:r>
          </w:p>
        </w:tc>
      </w:tr>
      <w:tr w:rsidR="004B398D" w:rsidRPr="004B398D" w14:paraId="69078459" w14:textId="77777777" w:rsidTr="153A979C">
        <w:trPr>
          <w:trHeight w:val="397"/>
        </w:trPr>
        <w:tc>
          <w:tcPr>
            <w:tcW w:w="975" w:type="dxa"/>
            <w:shd w:val="clear" w:color="auto" w:fill="F9F9CF"/>
            <w:vAlign w:val="center"/>
          </w:tcPr>
          <w:p w14:paraId="46EE1469" w14:textId="032E4A36" w:rsidR="00DC7203" w:rsidRPr="0065549F" w:rsidRDefault="002A29FD"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21E1B7CF" wp14:editId="6B5550E6">
                  <wp:extent cx="207010" cy="207010"/>
                  <wp:effectExtent l="0" t="0" r="2540" b="2540"/>
                  <wp:docPr id="1598440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p>
        </w:tc>
        <w:tc>
          <w:tcPr>
            <w:tcW w:w="6009" w:type="dxa"/>
            <w:shd w:val="clear" w:color="auto" w:fill="F9F9CF"/>
            <w:vAlign w:val="center"/>
          </w:tcPr>
          <w:p w14:paraId="3691E5E6" w14:textId="7452D3F6" w:rsidR="00DC7203" w:rsidRPr="0065549F" w:rsidRDefault="00DC7203" w:rsidP="00DC7203">
            <w:pPr>
              <w:suppressAutoHyphens w:val="0"/>
              <w:rPr>
                <w:rFonts w:ascii="Times New Roman" w:hAnsi="Times New Roman" w:cs="Times New Roman"/>
                <w:noProof/>
                <w:sz w:val="20"/>
                <w:szCs w:val="20"/>
                <w:lang w:val="en-IE"/>
              </w:rPr>
            </w:pPr>
            <w:r w:rsidRPr="006E0577">
              <w:rPr>
                <w:rFonts w:ascii="Times New Roman" w:hAnsi="Times New Roman" w:cs="Times New Roman"/>
                <w:noProof/>
                <w:sz w:val="20"/>
                <w:szCs w:val="20"/>
                <w:lang w:val="en-IE"/>
              </w:rPr>
              <w:t>Digital Networks Act</w:t>
            </w:r>
            <w:r w:rsidR="000E3E1C" w:rsidRPr="006E0577">
              <w:rPr>
                <w:rStyle w:val="EndnoteReference"/>
                <w:rFonts w:ascii="Times New Roman" w:hAnsi="Times New Roman" w:cs="Times New Roman"/>
                <w:noProof/>
                <w:sz w:val="20"/>
                <w:szCs w:val="20"/>
                <w:lang w:val="en-IE"/>
              </w:rPr>
              <w:endnoteReference w:id="13"/>
            </w:r>
            <w:r w:rsidRPr="0065549F">
              <w:rPr>
                <w:rFonts w:ascii="Times New Roman" w:hAnsi="Times New Roman" w:cs="Times New Roman"/>
                <w:noProof/>
                <w:sz w:val="20"/>
                <w:szCs w:val="20"/>
                <w:lang w:val="en-IE"/>
              </w:rPr>
              <w:t xml:space="preserve"> </w:t>
            </w:r>
          </w:p>
        </w:tc>
        <w:tc>
          <w:tcPr>
            <w:tcW w:w="2268" w:type="dxa"/>
            <w:shd w:val="clear" w:color="auto" w:fill="F9F9CF"/>
            <w:vAlign w:val="center"/>
          </w:tcPr>
          <w:p w14:paraId="162D75A9" w14:textId="404F7C7D" w:rsidR="00597F98" w:rsidRPr="0065549F" w:rsidRDefault="00971AC1" w:rsidP="00DC7203">
            <w:pPr>
              <w:suppressAutoHyphens w:val="0"/>
              <w:jc w:val="center"/>
              <w:rPr>
                <w:rFonts w:ascii="Times New Roman" w:hAnsi="Times New Roman" w:cs="Times New Roman"/>
                <w:noProof/>
                <w:sz w:val="20"/>
                <w:szCs w:val="20"/>
                <w:highlight w:val="yellow"/>
                <w:lang w:val="en-IE"/>
              </w:rPr>
            </w:pPr>
            <w:r w:rsidRPr="00286F91">
              <w:rPr>
                <w:rFonts w:ascii="Times New Roman" w:hAnsi="Times New Roman" w:cs="Times New Roman"/>
                <w:noProof/>
                <w:sz w:val="20"/>
                <w:szCs w:val="20"/>
                <w:lang w:val="en-IE"/>
              </w:rPr>
              <w:t>2</w:t>
            </w:r>
            <w:r w:rsidR="002A29FD" w:rsidRPr="00286F91">
              <w:rPr>
                <w:rFonts w:ascii="Times New Roman" w:hAnsi="Times New Roman" w:cs="Times New Roman"/>
                <w:noProof/>
                <w:sz w:val="20"/>
                <w:szCs w:val="20"/>
                <w:lang w:val="en-IE"/>
              </w:rPr>
              <w:t>1</w:t>
            </w:r>
            <w:r w:rsidRPr="00286F91">
              <w:rPr>
                <w:rFonts w:ascii="Times New Roman" w:hAnsi="Times New Roman" w:cs="Times New Roman"/>
                <w:noProof/>
                <w:sz w:val="20"/>
                <w:szCs w:val="20"/>
                <w:lang w:val="en-IE"/>
              </w:rPr>
              <w:t xml:space="preserve"> January</w:t>
            </w:r>
            <w:r w:rsidR="00DC7203" w:rsidRPr="00286F91">
              <w:rPr>
                <w:rFonts w:ascii="Times New Roman" w:hAnsi="Times New Roman" w:cs="Times New Roman"/>
                <w:noProof/>
                <w:sz w:val="20"/>
                <w:szCs w:val="20"/>
                <w:lang w:val="en-IE"/>
              </w:rPr>
              <w:t xml:space="preserve"> 202</w:t>
            </w:r>
            <w:r w:rsidR="00984337" w:rsidRPr="00286F91">
              <w:rPr>
                <w:rFonts w:ascii="Times New Roman" w:hAnsi="Times New Roman" w:cs="Times New Roman"/>
                <w:noProof/>
                <w:sz w:val="20"/>
                <w:szCs w:val="20"/>
                <w:lang w:val="en-IE"/>
              </w:rPr>
              <w:t>6</w:t>
            </w:r>
            <w:r w:rsidR="005C6A34" w:rsidRPr="00286F91">
              <w:rPr>
                <w:rFonts w:ascii="Times New Roman" w:hAnsi="Times New Roman" w:cs="Times New Roman"/>
                <w:noProof/>
                <w:sz w:val="20"/>
                <w:szCs w:val="20"/>
                <w:lang w:val="en-IE"/>
              </w:rPr>
              <w:t xml:space="preserve"> </w:t>
            </w:r>
          </w:p>
        </w:tc>
      </w:tr>
      <w:tr w:rsidR="004B398D" w:rsidRPr="004B398D" w14:paraId="02FD6A6B" w14:textId="77777777" w:rsidTr="153A979C">
        <w:trPr>
          <w:trHeight w:val="397"/>
        </w:trPr>
        <w:tc>
          <w:tcPr>
            <w:tcW w:w="975" w:type="dxa"/>
            <w:shd w:val="clear" w:color="auto" w:fill="8DB3E2"/>
            <w:vAlign w:val="center"/>
          </w:tcPr>
          <w:p w14:paraId="606D2DC3" w14:textId="77777777" w:rsidR="00DC7203" w:rsidRPr="00323814" w:rsidRDefault="00DC7203" w:rsidP="00DC7203">
            <w:pPr>
              <w:suppressAutoHyphens w:val="0"/>
              <w:jc w:val="center"/>
              <w:rPr>
                <w:rFonts w:ascii="Times New Roman" w:hAnsi="Times New Roman" w:cs="Times New Roman"/>
                <w:b/>
                <w:bCs/>
                <w:noProof/>
                <w:lang w:val="en-IE"/>
              </w:rPr>
            </w:pPr>
            <w:r w:rsidRPr="00323814">
              <w:rPr>
                <w:rFonts w:ascii="Times New Roman" w:hAnsi="Times New Roman" w:cs="Times New Roman"/>
                <w:b/>
                <w:bCs/>
                <w:noProof/>
                <w:lang w:val="en-IE"/>
              </w:rPr>
              <w:t>Status</w:t>
            </w:r>
          </w:p>
        </w:tc>
        <w:tc>
          <w:tcPr>
            <w:tcW w:w="6009" w:type="dxa"/>
            <w:shd w:val="clear" w:color="auto" w:fill="8DB3E2"/>
            <w:vAlign w:val="center"/>
          </w:tcPr>
          <w:p w14:paraId="57816D1A" w14:textId="77777777" w:rsidR="00DC7203" w:rsidRPr="00323814" w:rsidRDefault="00DC7203" w:rsidP="00DC7203">
            <w:pPr>
              <w:suppressAutoHyphens w:val="0"/>
              <w:rPr>
                <w:rFonts w:ascii="Times New Roman" w:hAnsi="Times New Roman" w:cs="Times New Roman"/>
                <w:noProof/>
                <w:lang w:val="en-IE"/>
              </w:rPr>
            </w:pPr>
            <w:r w:rsidRPr="00323814">
              <w:rPr>
                <w:rFonts w:ascii="Times New Roman" w:hAnsi="Times New Roman" w:cs="Times New Roman"/>
                <w:b/>
                <w:bCs/>
                <w:noProof/>
                <w:lang w:val="en-IE"/>
              </w:rPr>
              <w:t>Pillar 2 – A joint roadmap for decarbonisation and competitiveness</w:t>
            </w:r>
          </w:p>
        </w:tc>
        <w:tc>
          <w:tcPr>
            <w:tcW w:w="2268" w:type="dxa"/>
            <w:shd w:val="clear" w:color="auto" w:fill="8DB3E2"/>
            <w:vAlign w:val="center"/>
          </w:tcPr>
          <w:p w14:paraId="1B43616E" w14:textId="77777777" w:rsidR="00DC7203" w:rsidRPr="00323814" w:rsidRDefault="00DC7203" w:rsidP="00DC7203">
            <w:pPr>
              <w:suppressAutoHyphens w:val="0"/>
              <w:jc w:val="center"/>
              <w:rPr>
                <w:rFonts w:ascii="Times New Roman" w:hAnsi="Times New Roman" w:cs="Times New Roman"/>
                <w:noProof/>
                <w:lang w:val="en-IE"/>
              </w:rPr>
            </w:pPr>
            <w:r w:rsidRPr="00323814">
              <w:rPr>
                <w:rFonts w:ascii="Times New Roman" w:hAnsi="Times New Roman" w:cs="Times New Roman"/>
                <w:b/>
                <w:bCs/>
                <w:noProof/>
                <w:lang w:val="en-IE"/>
              </w:rPr>
              <w:t>Timeline</w:t>
            </w:r>
          </w:p>
        </w:tc>
      </w:tr>
      <w:tr w:rsidR="004B398D" w:rsidRPr="004B398D" w14:paraId="1E56A779" w14:textId="77777777" w:rsidTr="153A979C">
        <w:trPr>
          <w:trHeight w:val="397"/>
        </w:trPr>
        <w:tc>
          <w:tcPr>
            <w:tcW w:w="975" w:type="dxa"/>
            <w:shd w:val="clear" w:color="auto" w:fill="C2D69B"/>
            <w:vAlign w:val="center"/>
          </w:tcPr>
          <w:p w14:paraId="4EE839DA"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6A8FFD92" wp14:editId="30FFC61F">
                  <wp:extent cx="164465" cy="146050"/>
                  <wp:effectExtent l="0" t="0" r="6985" b="6350"/>
                  <wp:docPr id="380111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3E0035C4" w14:textId="36661F15"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Clean Industrial Deal</w:t>
            </w:r>
            <w:r w:rsidR="00617412">
              <w:rPr>
                <w:rStyle w:val="EndnoteReference"/>
                <w:rFonts w:ascii="Times New Roman" w:hAnsi="Times New Roman" w:cs="Times New Roman"/>
                <w:noProof/>
                <w:sz w:val="20"/>
                <w:szCs w:val="20"/>
                <w:lang w:val="en-IE"/>
              </w:rPr>
              <w:endnoteReference w:id="14"/>
            </w:r>
          </w:p>
        </w:tc>
        <w:tc>
          <w:tcPr>
            <w:tcW w:w="2268" w:type="dxa"/>
            <w:shd w:val="clear" w:color="auto" w:fill="C2D69B"/>
            <w:vAlign w:val="center"/>
          </w:tcPr>
          <w:p w14:paraId="291B7B51"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26 February 2025</w:t>
            </w:r>
          </w:p>
        </w:tc>
      </w:tr>
      <w:tr w:rsidR="004B398D" w:rsidRPr="004B398D" w14:paraId="26B3568C" w14:textId="77777777" w:rsidTr="153A979C">
        <w:trPr>
          <w:trHeight w:val="397"/>
        </w:trPr>
        <w:tc>
          <w:tcPr>
            <w:tcW w:w="975" w:type="dxa"/>
            <w:shd w:val="clear" w:color="auto" w:fill="C2D69B"/>
            <w:vAlign w:val="center"/>
          </w:tcPr>
          <w:p w14:paraId="7D6386A6"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5F60654E" wp14:editId="101B5D92">
                  <wp:extent cx="164465" cy="146050"/>
                  <wp:effectExtent l="0" t="0" r="6985" b="6350"/>
                  <wp:docPr id="359558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6E318942" w14:textId="234E07F1"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Action </w:t>
            </w:r>
            <w:r w:rsidR="00C96BDA">
              <w:rPr>
                <w:rFonts w:ascii="Times New Roman" w:hAnsi="Times New Roman" w:cs="Times New Roman"/>
                <w:noProof/>
                <w:sz w:val="20"/>
                <w:szCs w:val="20"/>
                <w:lang w:val="en-IE"/>
              </w:rPr>
              <w:t>p</w:t>
            </w:r>
            <w:r w:rsidRPr="0065549F">
              <w:rPr>
                <w:rFonts w:ascii="Times New Roman" w:hAnsi="Times New Roman" w:cs="Times New Roman"/>
                <w:noProof/>
                <w:sz w:val="20"/>
                <w:szCs w:val="20"/>
                <w:lang w:val="en-IE"/>
              </w:rPr>
              <w:t xml:space="preserve">lan </w:t>
            </w:r>
            <w:r w:rsidR="002D7DA4">
              <w:rPr>
                <w:rFonts w:ascii="Times New Roman" w:hAnsi="Times New Roman" w:cs="Times New Roman"/>
                <w:noProof/>
                <w:sz w:val="20"/>
                <w:szCs w:val="20"/>
                <w:lang w:val="en-IE"/>
              </w:rPr>
              <w:t>for</w:t>
            </w:r>
            <w:r w:rsidR="002D7DA4" w:rsidRPr="0065549F">
              <w:rPr>
                <w:rFonts w:ascii="Times New Roman" w:hAnsi="Times New Roman" w:cs="Times New Roman"/>
                <w:noProof/>
                <w:sz w:val="20"/>
                <w:szCs w:val="20"/>
                <w:lang w:val="en-IE"/>
              </w:rPr>
              <w:t xml:space="preserve"> </w:t>
            </w:r>
            <w:r w:rsidR="00C96BDA">
              <w:rPr>
                <w:rFonts w:ascii="Times New Roman" w:hAnsi="Times New Roman" w:cs="Times New Roman"/>
                <w:noProof/>
                <w:sz w:val="20"/>
                <w:szCs w:val="20"/>
                <w:lang w:val="en-IE"/>
              </w:rPr>
              <w:t>a</w:t>
            </w:r>
            <w:r w:rsidRPr="0065549F">
              <w:rPr>
                <w:rFonts w:ascii="Times New Roman" w:hAnsi="Times New Roman" w:cs="Times New Roman"/>
                <w:noProof/>
                <w:sz w:val="20"/>
                <w:szCs w:val="20"/>
                <w:lang w:val="en-IE"/>
              </w:rPr>
              <w:t xml:space="preserve">ffordable </w:t>
            </w:r>
            <w:r w:rsidR="00C96BDA">
              <w:rPr>
                <w:rFonts w:ascii="Times New Roman" w:hAnsi="Times New Roman" w:cs="Times New Roman"/>
                <w:noProof/>
                <w:sz w:val="20"/>
                <w:szCs w:val="20"/>
                <w:lang w:val="en-IE"/>
              </w:rPr>
              <w:t>e</w:t>
            </w:r>
            <w:r w:rsidRPr="0065549F">
              <w:rPr>
                <w:rFonts w:ascii="Times New Roman" w:hAnsi="Times New Roman" w:cs="Times New Roman"/>
                <w:noProof/>
                <w:sz w:val="20"/>
                <w:szCs w:val="20"/>
                <w:lang w:val="en-IE"/>
              </w:rPr>
              <w:t>nergy</w:t>
            </w:r>
            <w:r w:rsidR="002D7DA4">
              <w:rPr>
                <w:rStyle w:val="EndnoteReference"/>
                <w:rFonts w:ascii="Times New Roman" w:hAnsi="Times New Roman" w:cs="Times New Roman"/>
                <w:noProof/>
                <w:sz w:val="20"/>
                <w:szCs w:val="20"/>
                <w:lang w:val="en-IE"/>
              </w:rPr>
              <w:endnoteReference w:id="15"/>
            </w:r>
          </w:p>
        </w:tc>
        <w:tc>
          <w:tcPr>
            <w:tcW w:w="2268" w:type="dxa"/>
            <w:shd w:val="clear" w:color="auto" w:fill="C2D69B"/>
            <w:vAlign w:val="center"/>
          </w:tcPr>
          <w:p w14:paraId="7D6BAC06"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26 February 2025</w:t>
            </w:r>
          </w:p>
        </w:tc>
      </w:tr>
      <w:tr w:rsidR="004B398D" w:rsidRPr="004B398D" w14:paraId="7EA4729B" w14:textId="77777777" w:rsidTr="153A979C">
        <w:trPr>
          <w:trHeight w:val="397"/>
        </w:trPr>
        <w:tc>
          <w:tcPr>
            <w:tcW w:w="975" w:type="dxa"/>
            <w:vAlign w:val="center"/>
          </w:tcPr>
          <w:p w14:paraId="490BEFC8" w14:textId="77777777" w:rsidR="00DC7203" w:rsidRPr="0065549F" w:rsidRDefault="00DC7203" w:rsidP="00DC7203">
            <w:pPr>
              <w:suppressAutoHyphens w:val="0"/>
              <w:jc w:val="center"/>
              <w:rPr>
                <w:rFonts w:ascii="Times New Roman" w:hAnsi="Times New Roman" w:cs="Times New Roman"/>
                <w:noProof/>
                <w:sz w:val="20"/>
                <w:szCs w:val="20"/>
                <w:lang w:val="it-IT"/>
              </w:rPr>
            </w:pPr>
          </w:p>
        </w:tc>
        <w:tc>
          <w:tcPr>
            <w:tcW w:w="6009" w:type="dxa"/>
            <w:vAlign w:val="center"/>
          </w:tcPr>
          <w:p w14:paraId="69FAAAF6" w14:textId="77777777" w:rsidR="00DC7203" w:rsidRPr="006E0577" w:rsidRDefault="00DC7203" w:rsidP="00DC7203">
            <w:pPr>
              <w:suppressAutoHyphens w:val="0"/>
              <w:rPr>
                <w:rFonts w:ascii="Times New Roman" w:hAnsi="Times New Roman" w:cs="Times New Roman"/>
                <w:noProof/>
                <w:sz w:val="20"/>
                <w:szCs w:val="20"/>
                <w:lang w:val="it-IT"/>
              </w:rPr>
            </w:pPr>
            <w:r w:rsidRPr="006E0577">
              <w:rPr>
                <w:rFonts w:ascii="Times New Roman" w:hAnsi="Times New Roman" w:cs="Times New Roman"/>
                <w:noProof/>
                <w:sz w:val="20"/>
                <w:szCs w:val="20"/>
                <w:lang w:val="it-IT"/>
              </w:rPr>
              <w:t xml:space="preserve">Industrial Accelerator Act </w:t>
            </w:r>
          </w:p>
        </w:tc>
        <w:tc>
          <w:tcPr>
            <w:tcW w:w="2268" w:type="dxa"/>
            <w:vAlign w:val="center"/>
          </w:tcPr>
          <w:p w14:paraId="507DA15E" w14:textId="1AB91F75" w:rsidR="00DC7203" w:rsidRPr="006E0577" w:rsidRDefault="001A15E5" w:rsidP="00DC7203">
            <w:pPr>
              <w:suppressAutoHyphens w:val="0"/>
              <w:jc w:val="center"/>
              <w:rPr>
                <w:rFonts w:ascii="Times New Roman" w:hAnsi="Times New Roman" w:cs="Times New Roman"/>
                <w:noProof/>
                <w:sz w:val="20"/>
                <w:szCs w:val="20"/>
                <w:lang w:val="it-IT"/>
              </w:rPr>
            </w:pPr>
            <w:r w:rsidRPr="006E0577">
              <w:rPr>
                <w:rFonts w:ascii="Times New Roman" w:hAnsi="Times New Roman" w:cs="Times New Roman"/>
                <w:noProof/>
                <w:sz w:val="20"/>
                <w:szCs w:val="20"/>
                <w:lang w:val="it-IT"/>
              </w:rPr>
              <w:t xml:space="preserve"> Q1</w:t>
            </w:r>
            <w:r w:rsidR="009B1643" w:rsidRPr="006E0577">
              <w:rPr>
                <w:rFonts w:ascii="Times New Roman" w:hAnsi="Times New Roman" w:cs="Times New Roman"/>
                <w:noProof/>
                <w:sz w:val="20"/>
                <w:szCs w:val="20"/>
                <w:lang w:val="it-IT"/>
              </w:rPr>
              <w:t xml:space="preserve"> </w:t>
            </w:r>
            <w:r w:rsidR="00913037" w:rsidRPr="006E0577">
              <w:rPr>
                <w:rFonts w:ascii="Times New Roman" w:hAnsi="Times New Roman" w:cs="Times New Roman"/>
                <w:noProof/>
                <w:sz w:val="20"/>
                <w:szCs w:val="20"/>
                <w:lang w:val="it-IT"/>
              </w:rPr>
              <w:t>2026</w:t>
            </w:r>
          </w:p>
        </w:tc>
      </w:tr>
      <w:tr w:rsidR="004B398D" w:rsidRPr="004B398D" w14:paraId="61F096D0" w14:textId="77777777" w:rsidTr="153A979C">
        <w:trPr>
          <w:trHeight w:val="397"/>
        </w:trPr>
        <w:tc>
          <w:tcPr>
            <w:tcW w:w="975" w:type="dxa"/>
            <w:vAlign w:val="center"/>
          </w:tcPr>
          <w:p w14:paraId="05CD8DE3" w14:textId="77777777" w:rsidR="00DC7203" w:rsidRPr="0065549F" w:rsidRDefault="00DC7203" w:rsidP="00DC7203">
            <w:pPr>
              <w:suppressAutoHyphens w:val="0"/>
              <w:jc w:val="center"/>
              <w:rPr>
                <w:rFonts w:ascii="Times New Roman" w:hAnsi="Times New Roman" w:cs="Times New Roman"/>
                <w:noProof/>
                <w:sz w:val="20"/>
                <w:szCs w:val="20"/>
                <w:lang w:val="en-IE"/>
              </w:rPr>
            </w:pPr>
          </w:p>
        </w:tc>
        <w:tc>
          <w:tcPr>
            <w:tcW w:w="6009" w:type="dxa"/>
            <w:vAlign w:val="center"/>
          </w:tcPr>
          <w:p w14:paraId="39C8EE65" w14:textId="0B9E51B4"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Electrification </w:t>
            </w:r>
            <w:r w:rsidR="00325008">
              <w:rPr>
                <w:rFonts w:ascii="Times New Roman" w:hAnsi="Times New Roman" w:cs="Times New Roman"/>
                <w:noProof/>
                <w:sz w:val="20"/>
                <w:szCs w:val="20"/>
                <w:lang w:val="en-IE"/>
              </w:rPr>
              <w:t>a</w:t>
            </w:r>
            <w:r w:rsidRPr="0065549F">
              <w:rPr>
                <w:rFonts w:ascii="Times New Roman" w:hAnsi="Times New Roman" w:cs="Times New Roman"/>
                <w:noProof/>
                <w:sz w:val="20"/>
                <w:szCs w:val="20"/>
                <w:lang w:val="en-IE"/>
              </w:rPr>
              <w:t xml:space="preserve">ction </w:t>
            </w:r>
            <w:r w:rsidR="00325008">
              <w:rPr>
                <w:rFonts w:ascii="Times New Roman" w:hAnsi="Times New Roman" w:cs="Times New Roman"/>
                <w:noProof/>
                <w:sz w:val="20"/>
                <w:szCs w:val="20"/>
                <w:lang w:val="en-IE"/>
              </w:rPr>
              <w:t>p</w:t>
            </w:r>
            <w:r w:rsidRPr="0065549F">
              <w:rPr>
                <w:rFonts w:ascii="Times New Roman" w:hAnsi="Times New Roman" w:cs="Times New Roman"/>
                <w:noProof/>
                <w:sz w:val="20"/>
                <w:szCs w:val="20"/>
                <w:lang w:val="en-IE"/>
              </w:rPr>
              <w:t>lan</w:t>
            </w:r>
          </w:p>
        </w:tc>
        <w:tc>
          <w:tcPr>
            <w:tcW w:w="2268" w:type="dxa"/>
            <w:vAlign w:val="center"/>
          </w:tcPr>
          <w:p w14:paraId="6C6E639E"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Q1 2026</w:t>
            </w:r>
          </w:p>
        </w:tc>
      </w:tr>
      <w:tr w:rsidR="004B398D" w:rsidRPr="004B398D" w14:paraId="77F62ACE" w14:textId="77777777" w:rsidTr="153A979C">
        <w:trPr>
          <w:trHeight w:val="397"/>
        </w:trPr>
        <w:tc>
          <w:tcPr>
            <w:tcW w:w="975" w:type="dxa"/>
            <w:shd w:val="clear" w:color="auto" w:fill="F9F9CF"/>
            <w:vAlign w:val="center"/>
          </w:tcPr>
          <w:p w14:paraId="65D6917C" w14:textId="4E3DC924" w:rsidR="00DC7203" w:rsidRPr="0065549F" w:rsidRDefault="00E575DF"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335A5C1F" wp14:editId="2C8CD646">
                  <wp:extent cx="207010" cy="207010"/>
                  <wp:effectExtent l="0" t="0" r="2540" b="2540"/>
                  <wp:docPr id="15311418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p>
        </w:tc>
        <w:tc>
          <w:tcPr>
            <w:tcW w:w="6009" w:type="dxa"/>
            <w:shd w:val="clear" w:color="auto" w:fill="F9F9CF"/>
            <w:vAlign w:val="center"/>
          </w:tcPr>
          <w:p w14:paraId="73983FC6" w14:textId="4BF80E4B" w:rsidR="00DC7203" w:rsidRPr="000C0B93" w:rsidRDefault="00DC7203" w:rsidP="00DC7203">
            <w:pPr>
              <w:suppressAutoHyphens w:val="0"/>
              <w:rPr>
                <w:rFonts w:ascii="Times New Roman" w:hAnsi="Times New Roman" w:cs="Times New Roman"/>
                <w:noProof/>
                <w:sz w:val="20"/>
                <w:szCs w:val="20"/>
                <w:lang w:val="en-IE"/>
              </w:rPr>
            </w:pPr>
            <w:r w:rsidRPr="000C0B93">
              <w:rPr>
                <w:rFonts w:ascii="Times New Roman" w:hAnsi="Times New Roman" w:cs="Times New Roman"/>
                <w:noProof/>
                <w:sz w:val="20"/>
                <w:szCs w:val="20"/>
                <w:lang w:val="en-IE"/>
              </w:rPr>
              <w:t xml:space="preserve">European </w:t>
            </w:r>
            <w:r w:rsidR="00C96BDA">
              <w:rPr>
                <w:rFonts w:ascii="Times New Roman" w:hAnsi="Times New Roman" w:cs="Times New Roman"/>
                <w:noProof/>
                <w:sz w:val="20"/>
                <w:szCs w:val="20"/>
                <w:lang w:val="en-IE"/>
              </w:rPr>
              <w:t>g</w:t>
            </w:r>
            <w:r w:rsidRPr="000C0B93">
              <w:rPr>
                <w:rFonts w:ascii="Times New Roman" w:hAnsi="Times New Roman" w:cs="Times New Roman"/>
                <w:noProof/>
                <w:sz w:val="20"/>
                <w:szCs w:val="20"/>
                <w:lang w:val="en-IE"/>
              </w:rPr>
              <w:t xml:space="preserve">rids </w:t>
            </w:r>
            <w:r w:rsidR="00C96BDA">
              <w:rPr>
                <w:rFonts w:ascii="Times New Roman" w:hAnsi="Times New Roman" w:cs="Times New Roman"/>
                <w:noProof/>
                <w:sz w:val="20"/>
                <w:szCs w:val="20"/>
                <w:lang w:val="en-IE"/>
              </w:rPr>
              <w:t>p</w:t>
            </w:r>
            <w:r w:rsidRPr="000C0B93">
              <w:rPr>
                <w:rFonts w:ascii="Times New Roman" w:hAnsi="Times New Roman" w:cs="Times New Roman"/>
                <w:noProof/>
                <w:sz w:val="20"/>
                <w:szCs w:val="20"/>
                <w:lang w:val="en-IE"/>
              </w:rPr>
              <w:t>ackage</w:t>
            </w:r>
            <w:r w:rsidR="00296787">
              <w:rPr>
                <w:rStyle w:val="EndnoteReference"/>
                <w:rFonts w:ascii="Times New Roman" w:hAnsi="Times New Roman" w:cs="Times New Roman"/>
                <w:noProof/>
                <w:sz w:val="20"/>
                <w:szCs w:val="20"/>
                <w:lang w:val="en-IE"/>
              </w:rPr>
              <w:endnoteReference w:id="16"/>
            </w:r>
          </w:p>
        </w:tc>
        <w:tc>
          <w:tcPr>
            <w:tcW w:w="2268" w:type="dxa"/>
            <w:shd w:val="clear" w:color="auto" w:fill="F9F9CF"/>
            <w:vAlign w:val="center"/>
          </w:tcPr>
          <w:p w14:paraId="32D38731" w14:textId="2AC45BA5" w:rsidR="00DC7203" w:rsidRPr="0065549F" w:rsidRDefault="00E47741" w:rsidP="00DC7203">
            <w:pPr>
              <w:suppressAutoHyphens w:val="0"/>
              <w:jc w:val="center"/>
              <w:rPr>
                <w:rFonts w:ascii="Times New Roman" w:hAnsi="Times New Roman" w:cs="Times New Roman"/>
                <w:noProof/>
                <w:sz w:val="20"/>
                <w:szCs w:val="20"/>
                <w:lang w:val="en-IE"/>
              </w:rPr>
            </w:pPr>
            <w:r w:rsidRPr="000C0B93">
              <w:rPr>
                <w:rFonts w:ascii="Times New Roman" w:hAnsi="Times New Roman" w:cs="Times New Roman"/>
                <w:noProof/>
                <w:sz w:val="20"/>
                <w:szCs w:val="20"/>
                <w:lang w:val="en-IE"/>
              </w:rPr>
              <w:t>10 December 2025</w:t>
            </w:r>
          </w:p>
        </w:tc>
      </w:tr>
      <w:tr w:rsidR="004B398D" w:rsidRPr="004B398D" w14:paraId="3FB992C5" w14:textId="77777777" w:rsidTr="153A979C">
        <w:trPr>
          <w:trHeight w:val="397"/>
        </w:trPr>
        <w:tc>
          <w:tcPr>
            <w:tcW w:w="975" w:type="dxa"/>
            <w:shd w:val="clear" w:color="auto" w:fill="C2D69B"/>
            <w:vAlign w:val="center"/>
          </w:tcPr>
          <w:p w14:paraId="39D51008"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04E163AA" wp14:editId="55B91805">
                  <wp:extent cx="164465" cy="146050"/>
                  <wp:effectExtent l="0" t="0" r="6985" b="6350"/>
                  <wp:docPr id="1211379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3DD4CBA9" w14:textId="5903ECAE"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Clean </w:t>
            </w:r>
            <w:r w:rsidR="006D5FDA">
              <w:rPr>
                <w:rFonts w:ascii="Times New Roman" w:hAnsi="Times New Roman" w:cs="Times New Roman"/>
                <w:noProof/>
                <w:sz w:val="20"/>
                <w:szCs w:val="20"/>
                <w:lang w:val="en-IE"/>
              </w:rPr>
              <w:t>I</w:t>
            </w:r>
            <w:r w:rsidRPr="0065549F">
              <w:rPr>
                <w:rFonts w:ascii="Times New Roman" w:hAnsi="Times New Roman" w:cs="Times New Roman"/>
                <w:noProof/>
                <w:sz w:val="20"/>
                <w:szCs w:val="20"/>
                <w:lang w:val="en-IE"/>
              </w:rPr>
              <w:t xml:space="preserve">ndustrial </w:t>
            </w:r>
            <w:r w:rsidR="006D5FDA">
              <w:rPr>
                <w:rFonts w:ascii="Times New Roman" w:hAnsi="Times New Roman" w:cs="Times New Roman"/>
                <w:noProof/>
                <w:sz w:val="20"/>
                <w:szCs w:val="20"/>
                <w:lang w:val="en-IE"/>
              </w:rPr>
              <w:t xml:space="preserve">Deal </w:t>
            </w:r>
            <w:r w:rsidRPr="0065549F">
              <w:rPr>
                <w:rFonts w:ascii="Times New Roman" w:hAnsi="Times New Roman" w:cs="Times New Roman"/>
                <w:noProof/>
                <w:sz w:val="20"/>
                <w:szCs w:val="20"/>
                <w:lang w:val="en-IE"/>
              </w:rPr>
              <w:t xml:space="preserve">State </w:t>
            </w:r>
            <w:r w:rsidR="0069039F">
              <w:rPr>
                <w:rFonts w:ascii="Times New Roman" w:hAnsi="Times New Roman" w:cs="Times New Roman"/>
                <w:noProof/>
                <w:sz w:val="20"/>
                <w:szCs w:val="20"/>
                <w:lang w:val="en-IE"/>
              </w:rPr>
              <w:t>a</w:t>
            </w:r>
            <w:r w:rsidRPr="0065549F">
              <w:rPr>
                <w:rFonts w:ascii="Times New Roman" w:hAnsi="Times New Roman" w:cs="Times New Roman"/>
                <w:noProof/>
                <w:sz w:val="20"/>
                <w:szCs w:val="20"/>
                <w:lang w:val="en-IE"/>
              </w:rPr>
              <w:t>id</w:t>
            </w:r>
            <w:r w:rsidR="0069039F">
              <w:rPr>
                <w:rFonts w:ascii="Times New Roman" w:hAnsi="Times New Roman" w:cs="Times New Roman"/>
                <w:noProof/>
                <w:sz w:val="20"/>
                <w:szCs w:val="20"/>
                <w:lang w:val="en-IE"/>
              </w:rPr>
              <w:t>f</w:t>
            </w:r>
            <w:r w:rsidRPr="0065549F">
              <w:rPr>
                <w:rFonts w:ascii="Times New Roman" w:hAnsi="Times New Roman" w:cs="Times New Roman"/>
                <w:noProof/>
                <w:sz w:val="20"/>
                <w:szCs w:val="20"/>
                <w:lang w:val="en-IE"/>
              </w:rPr>
              <w:t>ramework (CISAF)</w:t>
            </w:r>
            <w:r w:rsidR="00B26561">
              <w:rPr>
                <w:rStyle w:val="EndnoteReference"/>
                <w:rFonts w:ascii="Times New Roman" w:hAnsi="Times New Roman" w:cs="Times New Roman"/>
                <w:noProof/>
                <w:sz w:val="20"/>
                <w:szCs w:val="20"/>
                <w:lang w:val="en-IE"/>
              </w:rPr>
              <w:endnoteReference w:id="17"/>
            </w:r>
          </w:p>
        </w:tc>
        <w:tc>
          <w:tcPr>
            <w:tcW w:w="2268" w:type="dxa"/>
            <w:shd w:val="clear" w:color="auto" w:fill="C2D69B"/>
            <w:vAlign w:val="center"/>
          </w:tcPr>
          <w:p w14:paraId="2795FA8C"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25 June 2025</w:t>
            </w:r>
          </w:p>
        </w:tc>
      </w:tr>
      <w:tr w:rsidR="004B398D" w:rsidRPr="004B398D" w14:paraId="6DB7A3AE" w14:textId="77777777" w:rsidTr="153A979C">
        <w:trPr>
          <w:trHeight w:val="397"/>
        </w:trPr>
        <w:tc>
          <w:tcPr>
            <w:tcW w:w="975" w:type="dxa"/>
            <w:tcBorders>
              <w:bottom w:val="single" w:sz="4" w:space="0" w:color="auto"/>
            </w:tcBorders>
            <w:shd w:val="clear" w:color="auto" w:fill="C2D69B"/>
            <w:vAlign w:val="center"/>
          </w:tcPr>
          <w:p w14:paraId="4D405519"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38DB588D" wp14:editId="51E0DFCE">
                  <wp:extent cx="164465" cy="146050"/>
                  <wp:effectExtent l="0" t="0" r="6985" b="6350"/>
                  <wp:docPr id="2088817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tcBorders>
              <w:bottom w:val="single" w:sz="4" w:space="0" w:color="auto"/>
            </w:tcBorders>
            <w:shd w:val="clear" w:color="auto" w:fill="C2D69B"/>
            <w:vAlign w:val="center"/>
          </w:tcPr>
          <w:p w14:paraId="380D8F80" w14:textId="41E2EA15"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Steel and metals action plan</w:t>
            </w:r>
            <w:r w:rsidR="009E0FC2">
              <w:rPr>
                <w:rStyle w:val="EndnoteReference"/>
                <w:rFonts w:ascii="Times New Roman" w:hAnsi="Times New Roman" w:cs="Times New Roman"/>
                <w:noProof/>
                <w:sz w:val="20"/>
                <w:szCs w:val="20"/>
                <w:lang w:val="en-IE"/>
              </w:rPr>
              <w:endnoteReference w:id="18"/>
            </w:r>
            <w:r w:rsidRPr="0065549F">
              <w:rPr>
                <w:rFonts w:ascii="Times New Roman" w:hAnsi="Times New Roman" w:cs="Times New Roman"/>
                <w:noProof/>
                <w:sz w:val="20"/>
                <w:szCs w:val="20"/>
                <w:lang w:val="en-IE"/>
              </w:rPr>
              <w:t xml:space="preserve"> </w:t>
            </w:r>
          </w:p>
        </w:tc>
        <w:tc>
          <w:tcPr>
            <w:tcW w:w="2268" w:type="dxa"/>
            <w:tcBorders>
              <w:bottom w:val="single" w:sz="4" w:space="0" w:color="auto"/>
            </w:tcBorders>
            <w:shd w:val="clear" w:color="auto" w:fill="C2D69B"/>
            <w:vAlign w:val="center"/>
          </w:tcPr>
          <w:p w14:paraId="7B46FF28"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19 March 2025</w:t>
            </w:r>
          </w:p>
        </w:tc>
      </w:tr>
      <w:tr w:rsidR="001B2E41" w:rsidRPr="004B398D" w14:paraId="21D73824" w14:textId="77777777" w:rsidTr="153A979C">
        <w:trPr>
          <w:trHeight w:val="397"/>
        </w:trPr>
        <w:tc>
          <w:tcPr>
            <w:tcW w:w="975" w:type="dxa"/>
            <w:tcBorders>
              <w:bottom w:val="nil"/>
            </w:tcBorders>
            <w:shd w:val="clear" w:color="auto" w:fill="C2D69B"/>
            <w:vAlign w:val="center"/>
          </w:tcPr>
          <w:p w14:paraId="355114F0" w14:textId="022CDE32" w:rsidR="001B2E41" w:rsidRPr="0065549F" w:rsidRDefault="001B2E41" w:rsidP="001B2E41">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0E54DD43" wp14:editId="68B9168D">
                  <wp:extent cx="163830" cy="146685"/>
                  <wp:effectExtent l="0" t="0" r="7620" b="5715"/>
                  <wp:docPr id="8217476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3830" cy="146685"/>
                          </a:xfrm>
                          <a:prstGeom prst="rect">
                            <a:avLst/>
                          </a:prstGeom>
                          <a:noFill/>
                          <a:ln>
                            <a:noFill/>
                          </a:ln>
                        </pic:spPr>
                      </pic:pic>
                    </a:graphicData>
                  </a:graphic>
                </wp:inline>
              </w:drawing>
            </w:r>
          </w:p>
        </w:tc>
        <w:tc>
          <w:tcPr>
            <w:tcW w:w="6009" w:type="dxa"/>
            <w:tcBorders>
              <w:bottom w:val="nil"/>
            </w:tcBorders>
            <w:shd w:val="clear" w:color="auto" w:fill="C2D69B"/>
            <w:vAlign w:val="center"/>
          </w:tcPr>
          <w:p w14:paraId="029CF868" w14:textId="66A03402" w:rsidR="001B2E41" w:rsidRPr="0065549F" w:rsidRDefault="009E324C" w:rsidP="001B2E41">
            <w:pPr>
              <w:suppressAutoHyphens w:val="0"/>
              <w:rPr>
                <w:rFonts w:ascii="Times New Roman" w:hAnsi="Times New Roman" w:cs="Times New Roman"/>
                <w:noProof/>
                <w:sz w:val="20"/>
                <w:szCs w:val="20"/>
                <w:lang w:val="en-IE"/>
              </w:rPr>
            </w:pPr>
            <w:r>
              <w:rPr>
                <w:rFonts w:ascii="Times New Roman" w:hAnsi="Times New Roman" w:cs="Times New Roman"/>
                <w:noProof/>
                <w:sz w:val="20"/>
                <w:szCs w:val="20"/>
                <w:lang w:val="en-IE"/>
              </w:rPr>
              <w:t xml:space="preserve">Chemicals </w:t>
            </w:r>
            <w:r w:rsidR="000E3D06">
              <w:rPr>
                <w:rFonts w:ascii="Times New Roman" w:hAnsi="Times New Roman" w:cs="Times New Roman"/>
                <w:noProof/>
                <w:sz w:val="20"/>
                <w:szCs w:val="20"/>
                <w:lang w:val="en-IE"/>
              </w:rPr>
              <w:t xml:space="preserve">industry </w:t>
            </w:r>
            <w:r>
              <w:rPr>
                <w:rFonts w:ascii="Times New Roman" w:hAnsi="Times New Roman" w:cs="Times New Roman"/>
                <w:noProof/>
                <w:sz w:val="20"/>
                <w:szCs w:val="20"/>
                <w:lang w:val="en-IE"/>
              </w:rPr>
              <w:t xml:space="preserve">package: </w:t>
            </w:r>
            <w:r w:rsidR="00F42F3C">
              <w:rPr>
                <w:rFonts w:ascii="Times New Roman" w:hAnsi="Times New Roman" w:cs="Times New Roman"/>
                <w:noProof/>
                <w:sz w:val="20"/>
                <w:szCs w:val="20"/>
                <w:lang w:val="en-IE"/>
              </w:rPr>
              <w:t xml:space="preserve">(1) </w:t>
            </w:r>
            <w:r w:rsidR="001B2E41" w:rsidRPr="0065549F">
              <w:rPr>
                <w:rFonts w:ascii="Times New Roman" w:hAnsi="Times New Roman" w:cs="Times New Roman"/>
                <w:noProof/>
                <w:sz w:val="20"/>
                <w:szCs w:val="20"/>
                <w:lang w:val="en-IE"/>
              </w:rPr>
              <w:t xml:space="preserve">Action </w:t>
            </w:r>
            <w:r w:rsidR="001B2E41">
              <w:rPr>
                <w:rFonts w:ascii="Times New Roman" w:hAnsi="Times New Roman" w:cs="Times New Roman"/>
                <w:noProof/>
                <w:sz w:val="20"/>
                <w:szCs w:val="20"/>
                <w:lang w:val="en-IE"/>
              </w:rPr>
              <w:t>p</w:t>
            </w:r>
            <w:r w:rsidR="001B2E41" w:rsidRPr="0065549F">
              <w:rPr>
                <w:rFonts w:ascii="Times New Roman" w:hAnsi="Times New Roman" w:cs="Times New Roman"/>
                <w:noProof/>
                <w:sz w:val="20"/>
                <w:szCs w:val="20"/>
                <w:lang w:val="en-IE"/>
              </w:rPr>
              <w:t xml:space="preserve">lan for the </w:t>
            </w:r>
            <w:r w:rsidR="001B2E41">
              <w:rPr>
                <w:rFonts w:ascii="Times New Roman" w:hAnsi="Times New Roman" w:cs="Times New Roman"/>
                <w:noProof/>
                <w:sz w:val="20"/>
                <w:szCs w:val="20"/>
                <w:lang w:val="en-IE"/>
              </w:rPr>
              <w:t>c</w:t>
            </w:r>
            <w:r w:rsidR="001B2E41" w:rsidRPr="0065549F">
              <w:rPr>
                <w:rFonts w:ascii="Times New Roman" w:hAnsi="Times New Roman" w:cs="Times New Roman"/>
                <w:noProof/>
                <w:sz w:val="20"/>
                <w:szCs w:val="20"/>
                <w:lang w:val="en-IE"/>
              </w:rPr>
              <w:t xml:space="preserve">hemicals </w:t>
            </w:r>
            <w:r w:rsidR="001B2E41">
              <w:rPr>
                <w:rFonts w:ascii="Times New Roman" w:hAnsi="Times New Roman" w:cs="Times New Roman"/>
                <w:noProof/>
                <w:sz w:val="20"/>
                <w:szCs w:val="20"/>
                <w:lang w:val="en-IE"/>
              </w:rPr>
              <w:t>i</w:t>
            </w:r>
            <w:r w:rsidR="001B2E41" w:rsidRPr="0065549F">
              <w:rPr>
                <w:rFonts w:ascii="Times New Roman" w:hAnsi="Times New Roman" w:cs="Times New Roman"/>
                <w:noProof/>
                <w:sz w:val="20"/>
                <w:szCs w:val="20"/>
                <w:lang w:val="en-IE"/>
              </w:rPr>
              <w:t>ndustry</w:t>
            </w:r>
            <w:r w:rsidR="001B2E41">
              <w:rPr>
                <w:rStyle w:val="EndnoteReference"/>
                <w:rFonts w:ascii="Times New Roman" w:hAnsi="Times New Roman" w:cs="Times New Roman"/>
                <w:noProof/>
                <w:sz w:val="20"/>
                <w:szCs w:val="20"/>
                <w:lang w:val="en-IE"/>
              </w:rPr>
              <w:endnoteReference w:id="19"/>
            </w:r>
            <w:r>
              <w:rPr>
                <w:rFonts w:ascii="Times New Roman" w:hAnsi="Times New Roman" w:cs="Times New Roman"/>
                <w:noProof/>
                <w:sz w:val="20"/>
                <w:szCs w:val="20"/>
                <w:lang w:val="en-IE"/>
              </w:rPr>
              <w:t xml:space="preserve"> …</w:t>
            </w:r>
          </w:p>
        </w:tc>
        <w:tc>
          <w:tcPr>
            <w:tcW w:w="2268" w:type="dxa"/>
            <w:tcBorders>
              <w:bottom w:val="nil"/>
            </w:tcBorders>
            <w:shd w:val="clear" w:color="auto" w:fill="C2D69B"/>
            <w:vAlign w:val="center"/>
          </w:tcPr>
          <w:p w14:paraId="5AF2709E" w14:textId="3E21521A" w:rsidR="001B2E41" w:rsidRPr="0065549F" w:rsidRDefault="001B2E41" w:rsidP="001B2E41">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8 July 2025</w:t>
            </w:r>
          </w:p>
        </w:tc>
      </w:tr>
      <w:tr w:rsidR="001B2E41" w:rsidRPr="004B398D" w14:paraId="16E680CB" w14:textId="77777777" w:rsidTr="153A979C">
        <w:trPr>
          <w:trHeight w:val="397"/>
        </w:trPr>
        <w:tc>
          <w:tcPr>
            <w:tcW w:w="975" w:type="dxa"/>
            <w:tcBorders>
              <w:top w:val="nil"/>
            </w:tcBorders>
            <w:shd w:val="clear" w:color="auto" w:fill="F9F9CF"/>
            <w:vAlign w:val="center"/>
          </w:tcPr>
          <w:p w14:paraId="65C85A27" w14:textId="1FA30D72" w:rsidR="001B2E41" w:rsidRPr="0065549F" w:rsidRDefault="001B2E41" w:rsidP="001B2E41">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4D47894F" wp14:editId="4C6B6CB2">
                  <wp:extent cx="207010" cy="207010"/>
                  <wp:effectExtent l="0" t="0" r="2540" b="2540"/>
                  <wp:docPr id="1432262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p>
        </w:tc>
        <w:tc>
          <w:tcPr>
            <w:tcW w:w="6009" w:type="dxa"/>
            <w:tcBorders>
              <w:top w:val="nil"/>
            </w:tcBorders>
            <w:shd w:val="clear" w:color="auto" w:fill="F9F9CF"/>
            <w:vAlign w:val="center"/>
          </w:tcPr>
          <w:p w14:paraId="52376940" w14:textId="6B3E6723" w:rsidR="001B2E41" w:rsidRPr="001B2E41" w:rsidRDefault="009E324C" w:rsidP="001B2E41">
            <w:pPr>
              <w:suppressAutoHyphens w:val="0"/>
              <w:rPr>
                <w:rFonts w:ascii="Times New Roman" w:hAnsi="Times New Roman" w:cs="Times New Roman"/>
                <w:noProof/>
                <w:sz w:val="20"/>
                <w:szCs w:val="20"/>
                <w:lang w:val="fr-FR"/>
              </w:rPr>
            </w:pPr>
            <w:r>
              <w:rPr>
                <w:rFonts w:ascii="Times New Roman" w:hAnsi="Times New Roman" w:cs="Times New Roman"/>
                <w:noProof/>
                <w:sz w:val="20"/>
                <w:szCs w:val="20"/>
                <w:lang w:val="fr-BE"/>
              </w:rPr>
              <w:t xml:space="preserve">… and </w:t>
            </w:r>
            <w:r w:rsidR="00F42F3C">
              <w:rPr>
                <w:rFonts w:ascii="Times New Roman" w:hAnsi="Times New Roman" w:cs="Times New Roman"/>
                <w:noProof/>
                <w:sz w:val="20"/>
                <w:szCs w:val="20"/>
                <w:lang w:val="fr-BE"/>
              </w:rPr>
              <w:t xml:space="preserve">(2) </w:t>
            </w:r>
            <w:r w:rsidR="001B2E41" w:rsidRPr="0065549F">
              <w:rPr>
                <w:rFonts w:ascii="Times New Roman" w:hAnsi="Times New Roman" w:cs="Times New Roman"/>
                <w:noProof/>
                <w:sz w:val="20"/>
                <w:szCs w:val="20"/>
                <w:lang w:val="fr-BE"/>
              </w:rPr>
              <w:t xml:space="preserve">Simplification Omnibus VI on </w:t>
            </w:r>
            <w:r w:rsidR="001B2E41">
              <w:rPr>
                <w:rFonts w:ascii="Times New Roman" w:hAnsi="Times New Roman" w:cs="Times New Roman"/>
                <w:noProof/>
                <w:sz w:val="20"/>
                <w:szCs w:val="20"/>
                <w:lang w:val="fr-BE"/>
              </w:rPr>
              <w:t>c</w:t>
            </w:r>
            <w:r w:rsidR="001B2E41" w:rsidRPr="0065549F">
              <w:rPr>
                <w:rFonts w:ascii="Times New Roman" w:hAnsi="Times New Roman" w:cs="Times New Roman"/>
                <w:noProof/>
                <w:sz w:val="20"/>
                <w:szCs w:val="20"/>
                <w:lang w:val="fr-BE"/>
              </w:rPr>
              <w:t>hemicals</w:t>
            </w:r>
            <w:r w:rsidR="001B2E41">
              <w:rPr>
                <w:rStyle w:val="EndnoteReference"/>
                <w:rFonts w:ascii="Times New Roman" w:hAnsi="Times New Roman" w:cs="Times New Roman"/>
                <w:noProof/>
                <w:sz w:val="20"/>
                <w:szCs w:val="20"/>
                <w:lang w:val="fr-BE"/>
              </w:rPr>
              <w:endnoteReference w:id="20"/>
            </w:r>
          </w:p>
        </w:tc>
        <w:tc>
          <w:tcPr>
            <w:tcW w:w="2268" w:type="dxa"/>
            <w:tcBorders>
              <w:top w:val="nil"/>
            </w:tcBorders>
            <w:shd w:val="clear" w:color="auto" w:fill="F9F9CF"/>
            <w:vAlign w:val="center"/>
          </w:tcPr>
          <w:p w14:paraId="32CDA959" w14:textId="14F99C7D" w:rsidR="001B2E41" w:rsidRPr="0065549F" w:rsidRDefault="001B2E41" w:rsidP="001B2E41">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8 July 2025</w:t>
            </w:r>
          </w:p>
        </w:tc>
      </w:tr>
      <w:tr w:rsidR="004B398D" w:rsidRPr="004B398D" w14:paraId="5D1A223B" w14:textId="77777777" w:rsidTr="153A979C">
        <w:trPr>
          <w:trHeight w:val="397"/>
        </w:trPr>
        <w:tc>
          <w:tcPr>
            <w:tcW w:w="975" w:type="dxa"/>
            <w:shd w:val="clear" w:color="auto" w:fill="C2D69B"/>
            <w:vAlign w:val="center"/>
          </w:tcPr>
          <w:p w14:paraId="6CA3448D"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7409F6CC" wp14:editId="3D4DF8EE">
                  <wp:extent cx="164465" cy="146050"/>
                  <wp:effectExtent l="0" t="0" r="6985" b="6350"/>
                  <wp:docPr id="807305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4E89D161" w14:textId="77777777"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Strategic dialogue on the future of the European automotive industry</w:t>
            </w:r>
          </w:p>
        </w:tc>
        <w:tc>
          <w:tcPr>
            <w:tcW w:w="2268" w:type="dxa"/>
            <w:shd w:val="clear" w:color="auto" w:fill="C2D69B"/>
            <w:vAlign w:val="center"/>
          </w:tcPr>
          <w:p w14:paraId="18324F55"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30 January 2025</w:t>
            </w:r>
          </w:p>
        </w:tc>
      </w:tr>
      <w:tr w:rsidR="004B398D" w:rsidRPr="004B398D" w14:paraId="64582A87" w14:textId="77777777" w:rsidTr="153A979C">
        <w:trPr>
          <w:trHeight w:val="397"/>
        </w:trPr>
        <w:tc>
          <w:tcPr>
            <w:tcW w:w="975" w:type="dxa"/>
            <w:shd w:val="clear" w:color="auto" w:fill="C2D69B"/>
            <w:vAlign w:val="center"/>
          </w:tcPr>
          <w:p w14:paraId="4EA00DAB"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73539002" wp14:editId="67C89CDA">
                  <wp:extent cx="164465" cy="146050"/>
                  <wp:effectExtent l="0" t="0" r="6985" b="6350"/>
                  <wp:docPr id="21058503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6D3949F6" w14:textId="61AB1F0B"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Industrial </w:t>
            </w:r>
            <w:r w:rsidR="00864844">
              <w:rPr>
                <w:rFonts w:ascii="Times New Roman" w:hAnsi="Times New Roman" w:cs="Times New Roman"/>
                <w:noProof/>
                <w:sz w:val="20"/>
                <w:szCs w:val="20"/>
                <w:lang w:val="en-IE"/>
              </w:rPr>
              <w:t>a</w:t>
            </w:r>
            <w:r w:rsidRPr="0065549F">
              <w:rPr>
                <w:rFonts w:ascii="Times New Roman" w:hAnsi="Times New Roman" w:cs="Times New Roman"/>
                <w:noProof/>
                <w:sz w:val="20"/>
                <w:szCs w:val="20"/>
                <w:lang w:val="en-IE"/>
              </w:rPr>
              <w:t xml:space="preserve">ction </w:t>
            </w:r>
            <w:r w:rsidR="00864844">
              <w:rPr>
                <w:rFonts w:ascii="Times New Roman" w:hAnsi="Times New Roman" w:cs="Times New Roman"/>
                <w:noProof/>
                <w:sz w:val="20"/>
                <w:szCs w:val="20"/>
                <w:lang w:val="en-IE"/>
              </w:rPr>
              <w:t>p</w:t>
            </w:r>
            <w:r w:rsidRPr="0065549F">
              <w:rPr>
                <w:rFonts w:ascii="Times New Roman" w:hAnsi="Times New Roman" w:cs="Times New Roman"/>
                <w:noProof/>
                <w:sz w:val="20"/>
                <w:szCs w:val="20"/>
                <w:lang w:val="en-IE"/>
              </w:rPr>
              <w:t xml:space="preserve">lan for the European </w:t>
            </w:r>
            <w:r w:rsidR="00864844">
              <w:rPr>
                <w:rFonts w:ascii="Times New Roman" w:hAnsi="Times New Roman" w:cs="Times New Roman"/>
                <w:noProof/>
                <w:sz w:val="20"/>
                <w:szCs w:val="20"/>
                <w:lang w:val="en-IE"/>
              </w:rPr>
              <w:t>a</w:t>
            </w:r>
            <w:r w:rsidRPr="0065549F">
              <w:rPr>
                <w:rFonts w:ascii="Times New Roman" w:hAnsi="Times New Roman" w:cs="Times New Roman"/>
                <w:noProof/>
                <w:sz w:val="20"/>
                <w:szCs w:val="20"/>
                <w:lang w:val="en-IE"/>
              </w:rPr>
              <w:t>utomotive sector</w:t>
            </w:r>
            <w:r w:rsidR="00754568">
              <w:rPr>
                <w:rStyle w:val="EndnoteReference"/>
                <w:rFonts w:ascii="Times New Roman" w:hAnsi="Times New Roman" w:cs="Times New Roman"/>
                <w:noProof/>
                <w:sz w:val="20"/>
                <w:szCs w:val="20"/>
                <w:lang w:val="en-IE"/>
              </w:rPr>
              <w:endnoteReference w:id="21"/>
            </w:r>
          </w:p>
        </w:tc>
        <w:tc>
          <w:tcPr>
            <w:tcW w:w="2268" w:type="dxa"/>
            <w:shd w:val="clear" w:color="auto" w:fill="C2D69B"/>
            <w:vAlign w:val="center"/>
          </w:tcPr>
          <w:p w14:paraId="49D75156"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5 March 2025</w:t>
            </w:r>
          </w:p>
        </w:tc>
      </w:tr>
      <w:tr w:rsidR="004B398D" w:rsidRPr="004B398D" w14:paraId="7222290E" w14:textId="77777777" w:rsidTr="153A979C">
        <w:trPr>
          <w:trHeight w:val="397"/>
        </w:trPr>
        <w:tc>
          <w:tcPr>
            <w:tcW w:w="975" w:type="dxa"/>
            <w:shd w:val="clear" w:color="auto" w:fill="C2D69B"/>
            <w:vAlign w:val="center"/>
          </w:tcPr>
          <w:p w14:paraId="25647887"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1636486A" wp14:editId="3B84CF98">
                  <wp:extent cx="164465" cy="146050"/>
                  <wp:effectExtent l="0" t="0" r="6985" b="6350"/>
                  <wp:docPr id="396603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1A7093B5" w14:textId="2BAE0980"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Sustainable </w:t>
            </w:r>
            <w:r w:rsidR="00864844">
              <w:rPr>
                <w:rFonts w:ascii="Times New Roman" w:hAnsi="Times New Roman" w:cs="Times New Roman"/>
                <w:noProof/>
                <w:sz w:val="20"/>
                <w:szCs w:val="20"/>
                <w:lang w:val="en-IE"/>
              </w:rPr>
              <w:t>t</w:t>
            </w:r>
            <w:r w:rsidRPr="0065549F">
              <w:rPr>
                <w:rFonts w:ascii="Times New Roman" w:hAnsi="Times New Roman" w:cs="Times New Roman"/>
                <w:noProof/>
                <w:sz w:val="20"/>
                <w:szCs w:val="20"/>
                <w:lang w:val="en-IE"/>
              </w:rPr>
              <w:t xml:space="preserve">ransport </w:t>
            </w:r>
            <w:r w:rsidR="00864844">
              <w:rPr>
                <w:rFonts w:ascii="Times New Roman" w:hAnsi="Times New Roman" w:cs="Times New Roman"/>
                <w:noProof/>
                <w:sz w:val="20"/>
                <w:szCs w:val="20"/>
                <w:lang w:val="en-IE"/>
              </w:rPr>
              <w:t>i</w:t>
            </w:r>
            <w:r w:rsidRPr="0065549F">
              <w:rPr>
                <w:rFonts w:ascii="Times New Roman" w:hAnsi="Times New Roman" w:cs="Times New Roman"/>
                <w:noProof/>
                <w:sz w:val="20"/>
                <w:szCs w:val="20"/>
                <w:lang w:val="en-IE"/>
              </w:rPr>
              <w:t xml:space="preserve">nvestment </w:t>
            </w:r>
            <w:r w:rsidR="00864844">
              <w:rPr>
                <w:rFonts w:ascii="Times New Roman" w:hAnsi="Times New Roman" w:cs="Times New Roman"/>
                <w:noProof/>
                <w:sz w:val="20"/>
                <w:szCs w:val="20"/>
                <w:lang w:val="en-IE"/>
              </w:rPr>
              <w:t>p</w:t>
            </w:r>
            <w:r w:rsidRPr="0065549F">
              <w:rPr>
                <w:rFonts w:ascii="Times New Roman" w:hAnsi="Times New Roman" w:cs="Times New Roman"/>
                <w:noProof/>
                <w:sz w:val="20"/>
                <w:szCs w:val="20"/>
                <w:lang w:val="en-IE"/>
              </w:rPr>
              <w:t>lan</w:t>
            </w:r>
            <w:r w:rsidR="001D456A">
              <w:rPr>
                <w:rStyle w:val="EndnoteReference"/>
                <w:rFonts w:ascii="Times New Roman" w:hAnsi="Times New Roman" w:cs="Times New Roman"/>
                <w:noProof/>
                <w:sz w:val="20"/>
                <w:szCs w:val="20"/>
                <w:lang w:val="en-IE"/>
              </w:rPr>
              <w:endnoteReference w:id="22"/>
            </w:r>
          </w:p>
        </w:tc>
        <w:tc>
          <w:tcPr>
            <w:tcW w:w="2268" w:type="dxa"/>
            <w:shd w:val="clear" w:color="auto" w:fill="C2D69B"/>
            <w:vAlign w:val="center"/>
          </w:tcPr>
          <w:p w14:paraId="6BDF5739" w14:textId="77777777" w:rsidR="00DC7203" w:rsidRPr="0065549F" w:rsidRDefault="00DC7203" w:rsidP="001A3E96">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5 November 2025</w:t>
            </w:r>
          </w:p>
        </w:tc>
      </w:tr>
      <w:tr w:rsidR="004B398D" w:rsidRPr="004B398D" w14:paraId="1D0C1084" w14:textId="77777777" w:rsidTr="153A979C">
        <w:trPr>
          <w:trHeight w:val="397"/>
        </w:trPr>
        <w:tc>
          <w:tcPr>
            <w:tcW w:w="975" w:type="dxa"/>
            <w:vAlign w:val="center"/>
          </w:tcPr>
          <w:p w14:paraId="238DE7F6" w14:textId="77777777" w:rsidR="00DC7203" w:rsidRPr="0065549F" w:rsidRDefault="00DC7203" w:rsidP="00DC7203">
            <w:pPr>
              <w:suppressAutoHyphens w:val="0"/>
              <w:jc w:val="center"/>
              <w:rPr>
                <w:rFonts w:ascii="Times New Roman" w:hAnsi="Times New Roman" w:cs="Times New Roman"/>
                <w:noProof/>
                <w:sz w:val="20"/>
                <w:szCs w:val="20"/>
                <w:lang w:val="en-IE"/>
              </w:rPr>
            </w:pPr>
          </w:p>
        </w:tc>
        <w:tc>
          <w:tcPr>
            <w:tcW w:w="6009" w:type="dxa"/>
            <w:vAlign w:val="center"/>
          </w:tcPr>
          <w:p w14:paraId="1608952C" w14:textId="1174C095" w:rsidR="00DC7203" w:rsidRPr="007C1E53" w:rsidRDefault="00DC7203" w:rsidP="00DC7203">
            <w:pPr>
              <w:suppressAutoHyphens w:val="0"/>
              <w:rPr>
                <w:rFonts w:ascii="Times New Roman" w:hAnsi="Times New Roman" w:cs="Times New Roman"/>
                <w:noProof/>
                <w:sz w:val="20"/>
                <w:szCs w:val="20"/>
                <w:lang w:val="en-IE"/>
              </w:rPr>
            </w:pPr>
            <w:r w:rsidRPr="00EC17DB">
              <w:rPr>
                <w:rFonts w:ascii="Times New Roman" w:hAnsi="Times New Roman" w:cs="Times New Roman"/>
                <w:noProof/>
                <w:sz w:val="20"/>
                <w:szCs w:val="20"/>
                <w:lang w:val="en-IE"/>
              </w:rPr>
              <w:t xml:space="preserve">European </w:t>
            </w:r>
            <w:r w:rsidR="00864844" w:rsidRPr="00EC17DB">
              <w:rPr>
                <w:rFonts w:ascii="Times New Roman" w:hAnsi="Times New Roman" w:cs="Times New Roman"/>
                <w:noProof/>
                <w:sz w:val="20"/>
                <w:szCs w:val="20"/>
                <w:lang w:val="en-IE"/>
              </w:rPr>
              <w:t>p</w:t>
            </w:r>
            <w:r w:rsidRPr="00EC17DB">
              <w:rPr>
                <w:rFonts w:ascii="Times New Roman" w:hAnsi="Times New Roman" w:cs="Times New Roman"/>
                <w:noProof/>
                <w:sz w:val="20"/>
                <w:szCs w:val="20"/>
                <w:lang w:val="en-IE"/>
              </w:rPr>
              <w:t xml:space="preserve">ort </w:t>
            </w:r>
            <w:r w:rsidR="00864844" w:rsidRPr="00EC17DB">
              <w:rPr>
                <w:rFonts w:ascii="Times New Roman" w:hAnsi="Times New Roman" w:cs="Times New Roman"/>
                <w:noProof/>
                <w:sz w:val="20"/>
                <w:szCs w:val="20"/>
                <w:lang w:val="en-IE"/>
              </w:rPr>
              <w:t>s</w:t>
            </w:r>
            <w:r w:rsidRPr="00EC17DB">
              <w:rPr>
                <w:rFonts w:ascii="Times New Roman" w:hAnsi="Times New Roman" w:cs="Times New Roman"/>
                <w:noProof/>
                <w:sz w:val="20"/>
                <w:szCs w:val="20"/>
                <w:lang w:val="en-IE"/>
              </w:rPr>
              <w:t xml:space="preserve">trategy and </w:t>
            </w:r>
            <w:r w:rsidR="00864844" w:rsidRPr="00EC17DB">
              <w:rPr>
                <w:rFonts w:ascii="Times New Roman" w:hAnsi="Times New Roman" w:cs="Times New Roman"/>
                <w:noProof/>
                <w:sz w:val="20"/>
                <w:szCs w:val="20"/>
                <w:lang w:val="en-IE"/>
              </w:rPr>
              <w:t>i</w:t>
            </w:r>
            <w:r w:rsidRPr="00EC17DB">
              <w:rPr>
                <w:rFonts w:ascii="Times New Roman" w:hAnsi="Times New Roman" w:cs="Times New Roman"/>
                <w:noProof/>
                <w:sz w:val="20"/>
                <w:szCs w:val="20"/>
                <w:lang w:val="en-IE"/>
              </w:rPr>
              <w:t xml:space="preserve">ndustrial </w:t>
            </w:r>
            <w:r w:rsidR="00864844" w:rsidRPr="00EC17DB">
              <w:rPr>
                <w:rFonts w:ascii="Times New Roman" w:hAnsi="Times New Roman" w:cs="Times New Roman"/>
                <w:noProof/>
                <w:sz w:val="20"/>
                <w:szCs w:val="20"/>
                <w:lang w:val="en-IE"/>
              </w:rPr>
              <w:t>m</w:t>
            </w:r>
            <w:r w:rsidRPr="00EC17DB">
              <w:rPr>
                <w:rFonts w:ascii="Times New Roman" w:hAnsi="Times New Roman" w:cs="Times New Roman"/>
                <w:noProof/>
                <w:sz w:val="20"/>
                <w:szCs w:val="20"/>
                <w:lang w:val="en-IE"/>
              </w:rPr>
              <w:t xml:space="preserve">aritime </w:t>
            </w:r>
            <w:r w:rsidR="00864844" w:rsidRPr="00EC17DB">
              <w:rPr>
                <w:rFonts w:ascii="Times New Roman" w:hAnsi="Times New Roman" w:cs="Times New Roman"/>
                <w:noProof/>
                <w:sz w:val="20"/>
                <w:szCs w:val="20"/>
                <w:lang w:val="en-IE"/>
              </w:rPr>
              <w:t>s</w:t>
            </w:r>
            <w:r w:rsidRPr="00EC17DB">
              <w:rPr>
                <w:rFonts w:ascii="Times New Roman" w:hAnsi="Times New Roman" w:cs="Times New Roman"/>
                <w:noProof/>
                <w:sz w:val="20"/>
                <w:szCs w:val="20"/>
                <w:lang w:val="en-IE"/>
              </w:rPr>
              <w:t>trategy</w:t>
            </w:r>
          </w:p>
        </w:tc>
        <w:tc>
          <w:tcPr>
            <w:tcW w:w="2268" w:type="dxa"/>
            <w:vAlign w:val="center"/>
          </w:tcPr>
          <w:p w14:paraId="624F736D" w14:textId="01A55675" w:rsidR="00F03CB8" w:rsidRPr="00EC17DB" w:rsidRDefault="00FC23A9" w:rsidP="00907DE4">
            <w:pPr>
              <w:suppressAutoHyphens w:val="0"/>
              <w:jc w:val="center"/>
              <w:rPr>
                <w:rFonts w:ascii="Times New Roman" w:hAnsi="Times New Roman" w:cs="Times New Roman"/>
                <w:noProof/>
                <w:sz w:val="20"/>
                <w:szCs w:val="20"/>
              </w:rPr>
            </w:pPr>
            <w:r w:rsidRPr="00EC17DB">
              <w:rPr>
                <w:rFonts w:ascii="Times New Roman" w:hAnsi="Times New Roman" w:cs="Times New Roman"/>
                <w:noProof/>
                <w:sz w:val="20"/>
                <w:szCs w:val="20"/>
              </w:rPr>
              <w:t>Q1 2026</w:t>
            </w:r>
          </w:p>
        </w:tc>
      </w:tr>
      <w:tr w:rsidR="004B398D" w:rsidRPr="004B398D" w14:paraId="2FE7347E" w14:textId="77777777" w:rsidTr="153A979C">
        <w:trPr>
          <w:trHeight w:val="397"/>
        </w:trPr>
        <w:tc>
          <w:tcPr>
            <w:tcW w:w="975" w:type="dxa"/>
            <w:shd w:val="clear" w:color="auto" w:fill="C2D69B"/>
            <w:vAlign w:val="center"/>
          </w:tcPr>
          <w:p w14:paraId="72E24B5A"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711CBFD3" wp14:editId="76F7F809">
                  <wp:extent cx="164465" cy="146050"/>
                  <wp:effectExtent l="0" t="0" r="6985" b="6350"/>
                  <wp:docPr id="1385972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6E71ACC2" w14:textId="66DDCF8B"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High</w:t>
            </w:r>
            <w:r w:rsidR="000D494F">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 xml:space="preserve">peed </w:t>
            </w:r>
            <w:r w:rsidR="000D494F">
              <w:rPr>
                <w:rFonts w:ascii="Times New Roman" w:hAnsi="Times New Roman" w:cs="Times New Roman"/>
                <w:noProof/>
                <w:sz w:val="20"/>
                <w:szCs w:val="20"/>
                <w:lang w:val="en-IE"/>
              </w:rPr>
              <w:t>r</w:t>
            </w:r>
            <w:r w:rsidRPr="0065549F">
              <w:rPr>
                <w:rFonts w:ascii="Times New Roman" w:hAnsi="Times New Roman" w:cs="Times New Roman"/>
                <w:noProof/>
                <w:sz w:val="20"/>
                <w:szCs w:val="20"/>
                <w:lang w:val="en-IE"/>
              </w:rPr>
              <w:t xml:space="preserve">ail </w:t>
            </w:r>
            <w:r w:rsidR="000D494F">
              <w:rPr>
                <w:rFonts w:ascii="Times New Roman" w:hAnsi="Times New Roman" w:cs="Times New Roman"/>
                <w:noProof/>
                <w:sz w:val="20"/>
                <w:szCs w:val="20"/>
                <w:lang w:val="en-IE"/>
              </w:rPr>
              <w:t>a</w:t>
            </w:r>
            <w:r w:rsidRPr="0065549F">
              <w:rPr>
                <w:rFonts w:ascii="Times New Roman" w:hAnsi="Times New Roman" w:cs="Times New Roman"/>
                <w:noProof/>
                <w:sz w:val="20"/>
                <w:szCs w:val="20"/>
                <w:lang w:val="en-IE"/>
              </w:rPr>
              <w:t xml:space="preserve">ction </w:t>
            </w:r>
            <w:r w:rsidR="000D494F">
              <w:rPr>
                <w:rFonts w:ascii="Times New Roman" w:hAnsi="Times New Roman" w:cs="Times New Roman"/>
                <w:noProof/>
                <w:sz w:val="20"/>
                <w:szCs w:val="20"/>
                <w:lang w:val="en-IE"/>
              </w:rPr>
              <w:t>p</w:t>
            </w:r>
            <w:r w:rsidRPr="0065549F">
              <w:rPr>
                <w:rFonts w:ascii="Times New Roman" w:hAnsi="Times New Roman" w:cs="Times New Roman"/>
                <w:noProof/>
                <w:sz w:val="20"/>
                <w:szCs w:val="20"/>
                <w:lang w:val="en-IE"/>
              </w:rPr>
              <w:t>lan</w:t>
            </w:r>
            <w:r w:rsidR="004818A5">
              <w:rPr>
                <w:rStyle w:val="EndnoteReference"/>
                <w:rFonts w:ascii="Times New Roman" w:hAnsi="Times New Roman" w:cs="Times New Roman"/>
                <w:noProof/>
                <w:sz w:val="20"/>
                <w:szCs w:val="20"/>
                <w:lang w:val="en-IE"/>
              </w:rPr>
              <w:endnoteReference w:id="23"/>
            </w:r>
          </w:p>
        </w:tc>
        <w:tc>
          <w:tcPr>
            <w:tcW w:w="2268" w:type="dxa"/>
            <w:shd w:val="clear" w:color="auto" w:fill="C2D69B"/>
            <w:vAlign w:val="center"/>
          </w:tcPr>
          <w:p w14:paraId="19FD926E"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5 November 2025</w:t>
            </w:r>
          </w:p>
        </w:tc>
      </w:tr>
      <w:tr w:rsidR="00BE690D" w:rsidRPr="004B398D" w14:paraId="51B900B2" w14:textId="77777777" w:rsidTr="153A979C">
        <w:trPr>
          <w:trHeight w:val="397"/>
        </w:trPr>
        <w:tc>
          <w:tcPr>
            <w:tcW w:w="975" w:type="dxa"/>
            <w:shd w:val="clear" w:color="auto" w:fill="C2D69B"/>
            <w:vAlign w:val="center"/>
          </w:tcPr>
          <w:p w14:paraId="540F5E59" w14:textId="62F8FA67" w:rsidR="00BE690D" w:rsidRPr="0065549F" w:rsidRDefault="003F1DF4">
            <w:pPr>
              <w:suppressAutoHyphens w:val="0"/>
              <w:jc w:val="center"/>
              <w:rPr>
                <w:rFonts w:ascii="Times New Roman" w:hAnsi="Times New Roman" w:cs="Times New Roman"/>
                <w:noProof/>
                <w:sz w:val="20"/>
                <w:szCs w:val="20"/>
                <w:lang w:val="en-IE"/>
              </w:rPr>
            </w:pPr>
            <w:r>
              <w:rPr>
                <w:rFonts w:ascii="Times New Roman" w:hAnsi="Times New Roman" w:cs="Times New Roman"/>
                <w:noProof/>
                <w:sz w:val="20"/>
                <w:szCs w:val="20"/>
                <w:lang w:eastAsia="en-GB"/>
              </w:rPr>
              <w:drawing>
                <wp:inline distT="0" distB="0" distL="0" distR="0" wp14:anchorId="3B96710A" wp14:editId="67668493">
                  <wp:extent cx="164465" cy="146050"/>
                  <wp:effectExtent l="0" t="0" r="6985" b="6350"/>
                  <wp:docPr id="243598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6CA356C5" w14:textId="7D2C0F8A" w:rsidR="00BE690D" w:rsidRPr="001D74EB" w:rsidRDefault="00BE690D">
            <w:pPr>
              <w:suppressAutoHyphens w:val="0"/>
              <w:rPr>
                <w:rFonts w:ascii="Times New Roman" w:hAnsi="Times New Roman" w:cs="Times New Roman"/>
                <w:noProof/>
                <w:sz w:val="20"/>
                <w:szCs w:val="20"/>
                <w:highlight w:val="yellow"/>
                <w:lang w:val="en-IE"/>
              </w:rPr>
            </w:pPr>
            <w:r w:rsidRPr="009F533C">
              <w:rPr>
                <w:rFonts w:ascii="Times New Roman" w:hAnsi="Times New Roman" w:cs="Times New Roman"/>
                <w:noProof/>
                <w:sz w:val="20"/>
                <w:szCs w:val="20"/>
                <w:lang w:val="en-IE"/>
              </w:rPr>
              <w:t>Review of the Carbon Border Adjustment Mechanism (CBAM)</w:t>
            </w:r>
            <w:r w:rsidR="003E45AE" w:rsidRPr="001D786D">
              <w:rPr>
                <w:rStyle w:val="EndnoteReference"/>
                <w:rFonts w:ascii="Times New Roman" w:eastAsia="Times New Roman" w:hAnsi="Times New Roman" w:cs="Times New Roman"/>
                <w:noProof/>
                <w:sz w:val="20"/>
                <w:szCs w:val="20"/>
                <w:lang w:val="en-IE"/>
              </w:rPr>
              <w:endnoteReference w:id="24"/>
            </w:r>
          </w:p>
        </w:tc>
        <w:tc>
          <w:tcPr>
            <w:tcW w:w="2268" w:type="dxa"/>
            <w:shd w:val="clear" w:color="auto" w:fill="C2D69B"/>
            <w:vAlign w:val="center"/>
          </w:tcPr>
          <w:p w14:paraId="5144A69F" w14:textId="626B4536" w:rsidR="00BE690D" w:rsidRPr="001D74EB" w:rsidRDefault="00BE690D">
            <w:pPr>
              <w:suppressAutoHyphens w:val="0"/>
              <w:jc w:val="center"/>
              <w:rPr>
                <w:rFonts w:ascii="Times New Roman" w:hAnsi="Times New Roman" w:cs="Times New Roman"/>
                <w:noProof/>
                <w:sz w:val="20"/>
                <w:szCs w:val="20"/>
                <w:highlight w:val="yellow"/>
                <w:lang w:val="en-IE"/>
              </w:rPr>
            </w:pPr>
            <w:r w:rsidRPr="009F533C">
              <w:rPr>
                <w:rFonts w:ascii="Times New Roman" w:hAnsi="Times New Roman" w:cs="Times New Roman"/>
                <w:noProof/>
                <w:sz w:val="20"/>
                <w:szCs w:val="20"/>
                <w:lang w:val="en-IE"/>
              </w:rPr>
              <w:t>1</w:t>
            </w:r>
            <w:r w:rsidRPr="006E0577">
              <w:rPr>
                <w:rFonts w:ascii="Times New Roman" w:hAnsi="Times New Roman" w:cs="Times New Roman"/>
                <w:noProof/>
                <w:sz w:val="20"/>
                <w:szCs w:val="20"/>
                <w:lang w:val="en-IE"/>
              </w:rPr>
              <w:t>7</w:t>
            </w:r>
            <w:r w:rsidRPr="009F533C">
              <w:rPr>
                <w:rFonts w:ascii="Times New Roman" w:hAnsi="Times New Roman" w:cs="Times New Roman"/>
                <w:noProof/>
                <w:sz w:val="20"/>
                <w:szCs w:val="20"/>
                <w:lang w:val="en-IE"/>
              </w:rPr>
              <w:t xml:space="preserve"> December 2025 </w:t>
            </w:r>
          </w:p>
        </w:tc>
      </w:tr>
      <w:tr w:rsidR="004B398D" w:rsidRPr="004B398D" w14:paraId="66E92534" w14:textId="77777777" w:rsidTr="153A979C">
        <w:trPr>
          <w:trHeight w:val="397"/>
        </w:trPr>
        <w:tc>
          <w:tcPr>
            <w:tcW w:w="975" w:type="dxa"/>
            <w:vAlign w:val="center"/>
          </w:tcPr>
          <w:p w14:paraId="545D21DE" w14:textId="77777777" w:rsidR="00DC7203" w:rsidRPr="0065549F" w:rsidRDefault="00DC7203" w:rsidP="00DC7203">
            <w:pPr>
              <w:suppressAutoHyphens w:val="0"/>
              <w:jc w:val="center"/>
              <w:rPr>
                <w:rFonts w:ascii="Times New Roman" w:hAnsi="Times New Roman" w:cs="Times New Roman"/>
                <w:noProof/>
                <w:sz w:val="20"/>
                <w:szCs w:val="20"/>
                <w:lang w:val="en-IE"/>
              </w:rPr>
            </w:pPr>
          </w:p>
        </w:tc>
        <w:tc>
          <w:tcPr>
            <w:tcW w:w="6009" w:type="dxa"/>
            <w:vAlign w:val="center"/>
          </w:tcPr>
          <w:p w14:paraId="13E919FE" w14:textId="77777777"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Circular Economy Act</w:t>
            </w:r>
          </w:p>
        </w:tc>
        <w:tc>
          <w:tcPr>
            <w:tcW w:w="2268" w:type="dxa"/>
            <w:vAlign w:val="center"/>
          </w:tcPr>
          <w:p w14:paraId="7096DEAA" w14:textId="1B836DFE"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w:t>
            </w:r>
            <w:r w:rsidR="00986D94" w:rsidRPr="0065549F">
              <w:rPr>
                <w:rFonts w:ascii="Times New Roman" w:hAnsi="Times New Roman" w:cs="Times New Roman"/>
                <w:noProof/>
                <w:sz w:val="20"/>
                <w:szCs w:val="20"/>
                <w:lang w:val="en-IE"/>
              </w:rPr>
              <w:t>3</w:t>
            </w:r>
            <w:r w:rsidRPr="0065549F">
              <w:rPr>
                <w:rFonts w:ascii="Times New Roman" w:hAnsi="Times New Roman" w:cs="Times New Roman"/>
                <w:noProof/>
                <w:sz w:val="20"/>
                <w:szCs w:val="20"/>
                <w:lang w:val="en-IE"/>
              </w:rPr>
              <w:t xml:space="preserve"> 2026</w:t>
            </w:r>
          </w:p>
        </w:tc>
      </w:tr>
      <w:tr w:rsidR="004B398D" w:rsidRPr="004B398D" w14:paraId="4D8A9491" w14:textId="77777777" w:rsidTr="153A979C">
        <w:trPr>
          <w:trHeight w:val="397"/>
        </w:trPr>
        <w:tc>
          <w:tcPr>
            <w:tcW w:w="975" w:type="dxa"/>
            <w:shd w:val="clear" w:color="auto" w:fill="C2D69B"/>
            <w:vAlign w:val="center"/>
          </w:tcPr>
          <w:p w14:paraId="19452910"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21F3712D" wp14:editId="13498139">
                  <wp:extent cx="164465" cy="146050"/>
                  <wp:effectExtent l="0" t="0" r="6985" b="6350"/>
                  <wp:docPr id="247693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0D45173E" w14:textId="1DEFD345"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Vision for </w:t>
            </w:r>
            <w:r w:rsidR="000D494F">
              <w:rPr>
                <w:rFonts w:ascii="Times New Roman" w:hAnsi="Times New Roman" w:cs="Times New Roman"/>
                <w:noProof/>
                <w:sz w:val="20"/>
                <w:szCs w:val="20"/>
                <w:lang w:val="en-IE"/>
              </w:rPr>
              <w:t>a</w:t>
            </w:r>
            <w:r w:rsidRPr="0065549F">
              <w:rPr>
                <w:rFonts w:ascii="Times New Roman" w:hAnsi="Times New Roman" w:cs="Times New Roman"/>
                <w:noProof/>
                <w:sz w:val="20"/>
                <w:szCs w:val="20"/>
                <w:lang w:val="en-IE"/>
              </w:rPr>
              <w:t xml:space="preserve">griculture and </w:t>
            </w:r>
            <w:r w:rsidR="000D494F">
              <w:rPr>
                <w:rFonts w:ascii="Times New Roman" w:hAnsi="Times New Roman" w:cs="Times New Roman"/>
                <w:noProof/>
                <w:sz w:val="20"/>
                <w:szCs w:val="20"/>
                <w:lang w:val="en-IE"/>
              </w:rPr>
              <w:t>f</w:t>
            </w:r>
            <w:r w:rsidRPr="0065549F">
              <w:rPr>
                <w:rFonts w:ascii="Times New Roman" w:hAnsi="Times New Roman" w:cs="Times New Roman"/>
                <w:noProof/>
                <w:sz w:val="20"/>
                <w:szCs w:val="20"/>
                <w:lang w:val="en-IE"/>
              </w:rPr>
              <w:t>ood</w:t>
            </w:r>
            <w:r w:rsidR="00376F73">
              <w:rPr>
                <w:rStyle w:val="EndnoteReference"/>
                <w:rFonts w:ascii="Times New Roman" w:hAnsi="Times New Roman" w:cs="Times New Roman"/>
                <w:noProof/>
                <w:sz w:val="20"/>
                <w:szCs w:val="20"/>
                <w:lang w:val="en-IE"/>
              </w:rPr>
              <w:endnoteReference w:id="25"/>
            </w:r>
          </w:p>
        </w:tc>
        <w:tc>
          <w:tcPr>
            <w:tcW w:w="2268" w:type="dxa"/>
            <w:shd w:val="clear" w:color="auto" w:fill="C2D69B"/>
            <w:vAlign w:val="center"/>
          </w:tcPr>
          <w:p w14:paraId="2E99637E"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19 February 2025</w:t>
            </w:r>
          </w:p>
        </w:tc>
      </w:tr>
      <w:tr w:rsidR="004B398D" w:rsidRPr="004B398D" w14:paraId="349BF0E8" w14:textId="77777777" w:rsidTr="153A979C">
        <w:trPr>
          <w:trHeight w:val="397"/>
        </w:trPr>
        <w:tc>
          <w:tcPr>
            <w:tcW w:w="975" w:type="dxa"/>
            <w:shd w:val="clear" w:color="auto" w:fill="C2D69B"/>
            <w:vAlign w:val="center"/>
          </w:tcPr>
          <w:p w14:paraId="58725691"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05EF3231" wp14:editId="4465240B">
                  <wp:extent cx="164465" cy="146050"/>
                  <wp:effectExtent l="0" t="0" r="6985" b="6350"/>
                  <wp:docPr id="379713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356FD4FD" w14:textId="5DC4D8EE"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Oceans Pact</w:t>
            </w:r>
            <w:r w:rsidR="00A4288A">
              <w:rPr>
                <w:rStyle w:val="EndnoteReference"/>
                <w:rFonts w:ascii="Times New Roman" w:hAnsi="Times New Roman" w:cs="Times New Roman"/>
                <w:noProof/>
                <w:sz w:val="20"/>
                <w:szCs w:val="20"/>
                <w:lang w:val="en-IE"/>
              </w:rPr>
              <w:endnoteReference w:id="26"/>
            </w:r>
          </w:p>
        </w:tc>
        <w:tc>
          <w:tcPr>
            <w:tcW w:w="2268" w:type="dxa"/>
            <w:shd w:val="clear" w:color="auto" w:fill="C2D69B"/>
            <w:vAlign w:val="center"/>
          </w:tcPr>
          <w:p w14:paraId="1E4ABF5C"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5 June 2025</w:t>
            </w:r>
          </w:p>
        </w:tc>
      </w:tr>
      <w:tr w:rsidR="004B398D" w:rsidRPr="004B398D" w14:paraId="2B0A9C3C" w14:textId="77777777" w:rsidTr="153A979C">
        <w:trPr>
          <w:trHeight w:val="397"/>
        </w:trPr>
        <w:tc>
          <w:tcPr>
            <w:tcW w:w="975" w:type="dxa"/>
            <w:shd w:val="clear" w:color="auto" w:fill="F9F9CF"/>
            <w:vAlign w:val="center"/>
          </w:tcPr>
          <w:p w14:paraId="5D75CEDE"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EC17DB">
              <w:rPr>
                <w:rFonts w:ascii="Times New Roman" w:hAnsi="Times New Roman" w:cs="Times New Roman"/>
                <w:noProof/>
                <w:sz w:val="20"/>
                <w:szCs w:val="20"/>
                <w:lang w:eastAsia="en-GB"/>
              </w:rPr>
              <w:drawing>
                <wp:inline distT="0" distB="0" distL="0" distR="0" wp14:anchorId="77249435" wp14:editId="5156A9C4">
                  <wp:extent cx="207010" cy="207010"/>
                  <wp:effectExtent l="0" t="0" r="2540" b="2540"/>
                  <wp:docPr id="885045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p>
        </w:tc>
        <w:tc>
          <w:tcPr>
            <w:tcW w:w="6009" w:type="dxa"/>
            <w:shd w:val="clear" w:color="auto" w:fill="F9F9CF"/>
            <w:vAlign w:val="center"/>
          </w:tcPr>
          <w:p w14:paraId="0B8E0BA5" w14:textId="1F65EB5C" w:rsidR="00CC0A2A" w:rsidRPr="00EC17DB" w:rsidRDefault="00DC7203" w:rsidP="00DC7203">
            <w:pPr>
              <w:suppressAutoHyphens w:val="0"/>
              <w:rPr>
                <w:rFonts w:ascii="Times New Roman" w:hAnsi="Times New Roman" w:cs="Times New Roman"/>
                <w:noProof/>
                <w:sz w:val="20"/>
                <w:szCs w:val="20"/>
                <w:lang w:val="en-IE"/>
              </w:rPr>
            </w:pPr>
            <w:r w:rsidRPr="00EC17DB">
              <w:rPr>
                <w:rFonts w:ascii="Times New Roman" w:hAnsi="Times New Roman" w:cs="Times New Roman"/>
                <w:noProof/>
                <w:sz w:val="20"/>
                <w:szCs w:val="20"/>
                <w:lang w:val="en-IE"/>
              </w:rPr>
              <w:t>Amendment of the Climate Law</w:t>
            </w:r>
            <w:r w:rsidR="00AA675C">
              <w:rPr>
                <w:rStyle w:val="EndnoteReference"/>
                <w:rFonts w:ascii="Times New Roman" w:hAnsi="Times New Roman" w:cs="Times New Roman"/>
                <w:noProof/>
                <w:sz w:val="20"/>
                <w:szCs w:val="20"/>
                <w:lang w:val="en-IE"/>
              </w:rPr>
              <w:endnoteReference w:id="27"/>
            </w:r>
          </w:p>
        </w:tc>
        <w:tc>
          <w:tcPr>
            <w:tcW w:w="2268" w:type="dxa"/>
            <w:shd w:val="clear" w:color="auto" w:fill="F9F9CF"/>
            <w:vAlign w:val="center"/>
          </w:tcPr>
          <w:p w14:paraId="6361691E"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 July 2025</w:t>
            </w:r>
          </w:p>
        </w:tc>
      </w:tr>
      <w:tr w:rsidR="004B398D" w:rsidRPr="004B398D" w14:paraId="5452682E" w14:textId="77777777" w:rsidTr="153A979C">
        <w:trPr>
          <w:trHeight w:val="397"/>
        </w:trPr>
        <w:tc>
          <w:tcPr>
            <w:tcW w:w="975" w:type="dxa"/>
            <w:shd w:val="clear" w:color="auto" w:fill="8DB3E2"/>
            <w:vAlign w:val="center"/>
          </w:tcPr>
          <w:p w14:paraId="511878B2" w14:textId="77777777" w:rsidR="00DC7203" w:rsidRPr="00323814" w:rsidRDefault="00DC7203" w:rsidP="00DC7203">
            <w:pPr>
              <w:suppressAutoHyphens w:val="0"/>
              <w:jc w:val="center"/>
              <w:rPr>
                <w:rFonts w:ascii="Times New Roman" w:hAnsi="Times New Roman" w:cs="Times New Roman"/>
                <w:b/>
                <w:bCs/>
                <w:noProof/>
                <w:lang w:val="en-IE"/>
              </w:rPr>
            </w:pPr>
            <w:r w:rsidRPr="00323814">
              <w:rPr>
                <w:rFonts w:ascii="Times New Roman" w:hAnsi="Times New Roman" w:cs="Times New Roman"/>
                <w:b/>
                <w:bCs/>
                <w:noProof/>
                <w:lang w:val="en-IE"/>
              </w:rPr>
              <w:t>Status</w:t>
            </w:r>
          </w:p>
        </w:tc>
        <w:tc>
          <w:tcPr>
            <w:tcW w:w="6009" w:type="dxa"/>
            <w:shd w:val="clear" w:color="auto" w:fill="8DB3E2"/>
            <w:vAlign w:val="center"/>
          </w:tcPr>
          <w:p w14:paraId="32DB28C5" w14:textId="77777777" w:rsidR="00DC7203" w:rsidRPr="00323814" w:rsidRDefault="00DC7203" w:rsidP="00DC7203">
            <w:pPr>
              <w:suppressAutoHyphens w:val="0"/>
              <w:rPr>
                <w:rFonts w:ascii="Times New Roman" w:hAnsi="Times New Roman" w:cs="Times New Roman"/>
                <w:noProof/>
                <w:lang w:val="en-IE"/>
              </w:rPr>
            </w:pPr>
            <w:r w:rsidRPr="00323814">
              <w:rPr>
                <w:rFonts w:ascii="Times New Roman" w:hAnsi="Times New Roman" w:cs="Times New Roman"/>
                <w:b/>
                <w:bCs/>
                <w:noProof/>
                <w:lang w:val="en-IE"/>
              </w:rPr>
              <w:t>Pillar 3 – Reducing excessive dependencies and increasing security</w:t>
            </w:r>
          </w:p>
        </w:tc>
        <w:tc>
          <w:tcPr>
            <w:tcW w:w="2268" w:type="dxa"/>
            <w:shd w:val="clear" w:color="auto" w:fill="8DB3E2"/>
            <w:vAlign w:val="center"/>
          </w:tcPr>
          <w:p w14:paraId="1CB7DAD2" w14:textId="77777777" w:rsidR="00DC7203" w:rsidRPr="00323814" w:rsidRDefault="00DC7203" w:rsidP="00DC7203">
            <w:pPr>
              <w:suppressAutoHyphens w:val="0"/>
              <w:jc w:val="center"/>
              <w:rPr>
                <w:rFonts w:ascii="Times New Roman" w:hAnsi="Times New Roman" w:cs="Times New Roman"/>
                <w:noProof/>
                <w:lang w:val="en-IE"/>
              </w:rPr>
            </w:pPr>
            <w:r w:rsidRPr="00323814">
              <w:rPr>
                <w:rFonts w:ascii="Times New Roman" w:hAnsi="Times New Roman" w:cs="Times New Roman"/>
                <w:b/>
                <w:bCs/>
                <w:noProof/>
                <w:lang w:val="en-IE"/>
              </w:rPr>
              <w:t>Timeline</w:t>
            </w:r>
          </w:p>
        </w:tc>
      </w:tr>
      <w:tr w:rsidR="004B398D" w:rsidRPr="004B398D" w14:paraId="2F21A802" w14:textId="77777777" w:rsidTr="153A979C">
        <w:trPr>
          <w:trHeight w:val="397"/>
        </w:trPr>
        <w:tc>
          <w:tcPr>
            <w:tcW w:w="975" w:type="dxa"/>
            <w:shd w:val="clear" w:color="auto" w:fill="F9F9CF"/>
            <w:vAlign w:val="center"/>
          </w:tcPr>
          <w:p w14:paraId="787387E5" w14:textId="77777777" w:rsidR="00DC7203" w:rsidRPr="0065549F" w:rsidRDefault="00DC7203" w:rsidP="00DC7203">
            <w:pPr>
              <w:suppressAutoHyphens w:val="0"/>
              <w:jc w:val="center"/>
              <w:rPr>
                <w:rFonts w:ascii="Times New Roman" w:hAnsi="Times New Roman" w:cs="Times New Roman"/>
                <w:noProof/>
                <w:sz w:val="20"/>
                <w:szCs w:val="20"/>
                <w:lang w:val="en-IE"/>
              </w:rPr>
            </w:pPr>
          </w:p>
        </w:tc>
        <w:tc>
          <w:tcPr>
            <w:tcW w:w="6009" w:type="dxa"/>
            <w:shd w:val="clear" w:color="auto" w:fill="F9F9CF"/>
            <w:vAlign w:val="center"/>
          </w:tcPr>
          <w:p w14:paraId="03315E92" w14:textId="41489E01" w:rsidR="00DC7203" w:rsidRPr="00EC17DB" w:rsidRDefault="00DC7203" w:rsidP="00DC7203">
            <w:pPr>
              <w:suppressAutoHyphens w:val="0"/>
              <w:rPr>
                <w:rFonts w:ascii="Times New Roman" w:hAnsi="Times New Roman" w:cs="Times New Roman"/>
                <w:noProof/>
                <w:sz w:val="20"/>
                <w:szCs w:val="20"/>
                <w:lang w:val="en-IE"/>
              </w:rPr>
            </w:pPr>
            <w:r w:rsidRPr="00EC17DB">
              <w:rPr>
                <w:rFonts w:ascii="Times New Roman" w:hAnsi="Times New Roman" w:cs="Times New Roman"/>
                <w:noProof/>
                <w:sz w:val="20"/>
                <w:szCs w:val="20"/>
                <w:lang w:val="en-IE"/>
              </w:rPr>
              <w:t xml:space="preserve">Conclude and implement ambitious trade agreements, </w:t>
            </w:r>
            <w:r w:rsidR="000D494F">
              <w:rPr>
                <w:rFonts w:ascii="Times New Roman" w:hAnsi="Times New Roman" w:cs="Times New Roman"/>
                <w:noProof/>
                <w:sz w:val="20"/>
                <w:szCs w:val="20"/>
                <w:lang w:val="en-IE"/>
              </w:rPr>
              <w:t>c</w:t>
            </w:r>
            <w:r w:rsidRPr="00EC17DB">
              <w:rPr>
                <w:rFonts w:ascii="Times New Roman" w:hAnsi="Times New Roman" w:cs="Times New Roman"/>
                <w:noProof/>
                <w:sz w:val="20"/>
                <w:szCs w:val="20"/>
                <w:lang w:val="en-IE"/>
              </w:rPr>
              <w:t xml:space="preserve">lean </w:t>
            </w:r>
            <w:r w:rsidR="000D494F">
              <w:rPr>
                <w:rFonts w:ascii="Times New Roman" w:hAnsi="Times New Roman" w:cs="Times New Roman"/>
                <w:noProof/>
                <w:sz w:val="20"/>
                <w:szCs w:val="20"/>
                <w:lang w:val="en-IE"/>
              </w:rPr>
              <w:t>t</w:t>
            </w:r>
            <w:r w:rsidRPr="00EC17DB">
              <w:rPr>
                <w:rFonts w:ascii="Times New Roman" w:hAnsi="Times New Roman" w:cs="Times New Roman"/>
                <w:noProof/>
                <w:sz w:val="20"/>
                <w:szCs w:val="20"/>
                <w:lang w:val="en-IE"/>
              </w:rPr>
              <w:t xml:space="preserve">rade and </w:t>
            </w:r>
            <w:r w:rsidR="000D494F">
              <w:rPr>
                <w:rFonts w:ascii="Times New Roman" w:hAnsi="Times New Roman" w:cs="Times New Roman"/>
                <w:noProof/>
                <w:sz w:val="20"/>
                <w:szCs w:val="20"/>
                <w:lang w:val="en-IE"/>
              </w:rPr>
              <w:t>i</w:t>
            </w:r>
            <w:r w:rsidRPr="00EC17DB">
              <w:rPr>
                <w:rFonts w:ascii="Times New Roman" w:hAnsi="Times New Roman" w:cs="Times New Roman"/>
                <w:noProof/>
                <w:sz w:val="20"/>
                <w:szCs w:val="20"/>
                <w:lang w:val="en-IE"/>
              </w:rPr>
              <w:t xml:space="preserve">nvestment </w:t>
            </w:r>
            <w:r w:rsidR="000D494F">
              <w:rPr>
                <w:rFonts w:ascii="Times New Roman" w:hAnsi="Times New Roman" w:cs="Times New Roman"/>
                <w:noProof/>
                <w:sz w:val="20"/>
                <w:szCs w:val="20"/>
                <w:lang w:val="en-IE"/>
              </w:rPr>
              <w:t>p</w:t>
            </w:r>
            <w:r w:rsidRPr="00EC17DB">
              <w:rPr>
                <w:rFonts w:ascii="Times New Roman" w:hAnsi="Times New Roman" w:cs="Times New Roman"/>
                <w:noProof/>
                <w:sz w:val="20"/>
                <w:szCs w:val="20"/>
                <w:lang w:val="en-IE"/>
              </w:rPr>
              <w:t>artnerships</w:t>
            </w:r>
          </w:p>
        </w:tc>
        <w:tc>
          <w:tcPr>
            <w:tcW w:w="2268" w:type="dxa"/>
            <w:shd w:val="clear" w:color="auto" w:fill="F9F9CF"/>
            <w:vAlign w:val="center"/>
          </w:tcPr>
          <w:p w14:paraId="1805BC9E" w14:textId="6DF8C587" w:rsidR="00990F6E" w:rsidRPr="0065549F" w:rsidRDefault="00DC7203" w:rsidP="00DC7203">
            <w:pPr>
              <w:suppressAutoHyphens w:val="0"/>
              <w:jc w:val="center"/>
              <w:rPr>
                <w:rFonts w:ascii="Times New Roman" w:hAnsi="Times New Roman" w:cs="Times New Roman"/>
                <w:noProof/>
                <w:sz w:val="20"/>
                <w:szCs w:val="20"/>
                <w:lang w:val="en-IE"/>
              </w:rPr>
            </w:pPr>
            <w:r w:rsidRPr="00EC17DB">
              <w:rPr>
                <w:rFonts w:ascii="Times New Roman" w:hAnsi="Times New Roman" w:cs="Times New Roman"/>
                <w:noProof/>
                <w:sz w:val="20"/>
                <w:szCs w:val="20"/>
                <w:lang w:val="en-IE"/>
              </w:rPr>
              <w:t>Ongoing</w:t>
            </w:r>
            <w:r w:rsidR="003830FB">
              <w:rPr>
                <w:rStyle w:val="EndnoteReference"/>
                <w:rFonts w:ascii="Times New Roman" w:hAnsi="Times New Roman" w:cs="Times New Roman"/>
                <w:noProof/>
                <w:sz w:val="20"/>
                <w:szCs w:val="20"/>
                <w:lang w:val="en-IE"/>
              </w:rPr>
              <w:endnoteReference w:id="28"/>
            </w:r>
          </w:p>
        </w:tc>
      </w:tr>
      <w:tr w:rsidR="004B398D" w:rsidRPr="004B398D" w14:paraId="790E10D6" w14:textId="77777777" w:rsidTr="153A979C">
        <w:trPr>
          <w:trHeight w:val="397"/>
        </w:trPr>
        <w:tc>
          <w:tcPr>
            <w:tcW w:w="975" w:type="dxa"/>
            <w:shd w:val="clear" w:color="auto" w:fill="C2D69B"/>
            <w:vAlign w:val="center"/>
          </w:tcPr>
          <w:p w14:paraId="39371E75" w14:textId="19E8C575" w:rsidR="00DC7203" w:rsidRPr="00766C95" w:rsidRDefault="00766C95" w:rsidP="00DC7203">
            <w:pPr>
              <w:suppressAutoHyphens w:val="0"/>
              <w:jc w:val="center"/>
              <w:rPr>
                <w:rFonts w:ascii="Times New Roman" w:hAnsi="Times New Roman" w:cs="Times New Roman"/>
                <w:noProof/>
                <w:sz w:val="20"/>
                <w:szCs w:val="20"/>
                <w:lang w:val="en-IE"/>
              </w:rPr>
            </w:pPr>
            <w:r w:rsidRPr="00766C95">
              <w:rPr>
                <w:rFonts w:ascii="Times New Roman" w:hAnsi="Times New Roman" w:cs="Times New Roman"/>
                <w:noProof/>
                <w:sz w:val="20"/>
                <w:szCs w:val="20"/>
                <w:lang w:eastAsia="en-GB"/>
              </w:rPr>
              <w:drawing>
                <wp:inline distT="0" distB="0" distL="0" distR="0" wp14:anchorId="11EBDE84" wp14:editId="20C42C98">
                  <wp:extent cx="164465" cy="146050"/>
                  <wp:effectExtent l="0" t="0" r="6985" b="6350"/>
                  <wp:docPr id="264498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12983E28" w14:textId="139F2BA9" w:rsidR="00DC7203" w:rsidRPr="00EC17DB" w:rsidRDefault="00DC7203" w:rsidP="00DC7203">
            <w:pPr>
              <w:suppressAutoHyphens w:val="0"/>
              <w:rPr>
                <w:rFonts w:ascii="Times New Roman" w:hAnsi="Times New Roman" w:cs="Times New Roman"/>
                <w:noProof/>
                <w:sz w:val="20"/>
                <w:szCs w:val="20"/>
                <w:lang w:val="en-IE"/>
              </w:rPr>
            </w:pPr>
            <w:r w:rsidRPr="00EC17DB">
              <w:rPr>
                <w:rFonts w:ascii="Times New Roman" w:hAnsi="Times New Roman" w:cs="Times New Roman"/>
                <w:noProof/>
                <w:sz w:val="20"/>
                <w:szCs w:val="20"/>
                <w:lang w:val="en-IE"/>
              </w:rPr>
              <w:t>Trans-Mediterranean Energy and Clean Tech Cooperation initiative</w:t>
            </w:r>
            <w:r w:rsidR="004451CF">
              <w:rPr>
                <w:rStyle w:val="EndnoteReference"/>
                <w:rFonts w:ascii="Times New Roman" w:hAnsi="Times New Roman" w:cs="Times New Roman"/>
                <w:noProof/>
                <w:sz w:val="20"/>
                <w:szCs w:val="20"/>
                <w:lang w:val="en-IE"/>
              </w:rPr>
              <w:endnoteReference w:id="29"/>
            </w:r>
          </w:p>
        </w:tc>
        <w:tc>
          <w:tcPr>
            <w:tcW w:w="2268" w:type="dxa"/>
            <w:shd w:val="clear" w:color="auto" w:fill="C2D69B"/>
            <w:vAlign w:val="center"/>
          </w:tcPr>
          <w:p w14:paraId="75953B3A" w14:textId="58BC0063" w:rsidR="00E32B18" w:rsidRPr="00766C95" w:rsidRDefault="009667B6" w:rsidP="00DC7203">
            <w:pPr>
              <w:suppressAutoHyphens w:val="0"/>
              <w:jc w:val="center"/>
              <w:rPr>
                <w:rFonts w:ascii="Times New Roman" w:hAnsi="Times New Roman" w:cs="Times New Roman"/>
                <w:noProof/>
                <w:sz w:val="20"/>
                <w:szCs w:val="20"/>
                <w:lang w:val="en-IE"/>
              </w:rPr>
            </w:pPr>
            <w:r>
              <w:rPr>
                <w:rFonts w:ascii="Times New Roman" w:hAnsi="Times New Roman" w:cs="Times New Roman"/>
                <w:noProof/>
                <w:sz w:val="20"/>
                <w:szCs w:val="20"/>
              </w:rPr>
              <w:t>Q4</w:t>
            </w:r>
            <w:r w:rsidR="00BB649A" w:rsidRPr="00BB649A">
              <w:rPr>
                <w:rFonts w:ascii="Times New Roman" w:hAnsi="Times New Roman" w:cs="Times New Roman"/>
                <w:noProof/>
                <w:sz w:val="20"/>
                <w:szCs w:val="20"/>
              </w:rPr>
              <w:t xml:space="preserve"> 2025</w:t>
            </w:r>
          </w:p>
        </w:tc>
      </w:tr>
      <w:tr w:rsidR="004B398D" w:rsidRPr="004B398D" w14:paraId="7BBE3DEC" w14:textId="77777777" w:rsidTr="153A979C">
        <w:trPr>
          <w:trHeight w:val="397"/>
        </w:trPr>
        <w:tc>
          <w:tcPr>
            <w:tcW w:w="975" w:type="dxa"/>
            <w:shd w:val="clear" w:color="auto" w:fill="C2D69B"/>
            <w:vAlign w:val="center"/>
          </w:tcPr>
          <w:p w14:paraId="2BA8C9D2"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04BBAF6E" wp14:editId="2F45BFAA">
                  <wp:extent cx="164465" cy="146050"/>
                  <wp:effectExtent l="0" t="0" r="6985" b="6350"/>
                  <wp:docPr id="1666850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05533C4F" w14:textId="7DFD9EA1"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Joint purchasing platform for Critical Raw Minerals</w:t>
            </w:r>
            <w:r w:rsidR="00566A34">
              <w:rPr>
                <w:rStyle w:val="EndnoteReference"/>
                <w:rFonts w:ascii="Times New Roman" w:hAnsi="Times New Roman" w:cs="Times New Roman"/>
                <w:noProof/>
                <w:sz w:val="20"/>
                <w:szCs w:val="20"/>
                <w:lang w:val="en-IE"/>
              </w:rPr>
              <w:endnoteReference w:id="30"/>
            </w:r>
          </w:p>
        </w:tc>
        <w:tc>
          <w:tcPr>
            <w:tcW w:w="2268" w:type="dxa"/>
            <w:shd w:val="clear" w:color="auto" w:fill="C2D69B"/>
            <w:vAlign w:val="center"/>
          </w:tcPr>
          <w:p w14:paraId="653D4CF5"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 July 2025</w:t>
            </w:r>
          </w:p>
        </w:tc>
      </w:tr>
      <w:tr w:rsidR="004B398D" w:rsidRPr="004B398D" w14:paraId="356E76F4" w14:textId="77777777" w:rsidTr="153A979C">
        <w:trPr>
          <w:trHeight w:val="397"/>
        </w:trPr>
        <w:tc>
          <w:tcPr>
            <w:tcW w:w="975" w:type="dxa"/>
            <w:vAlign w:val="center"/>
          </w:tcPr>
          <w:p w14:paraId="4C5A8EA7" w14:textId="77777777" w:rsidR="00DC7203" w:rsidRPr="0065549F" w:rsidRDefault="00DC7203" w:rsidP="00DC7203">
            <w:pPr>
              <w:suppressAutoHyphens w:val="0"/>
              <w:jc w:val="center"/>
              <w:rPr>
                <w:rFonts w:ascii="Times New Roman" w:hAnsi="Times New Roman" w:cs="Times New Roman"/>
                <w:noProof/>
                <w:sz w:val="20"/>
                <w:szCs w:val="20"/>
                <w:lang w:val="en-IE"/>
              </w:rPr>
            </w:pPr>
          </w:p>
        </w:tc>
        <w:tc>
          <w:tcPr>
            <w:tcW w:w="6009" w:type="dxa"/>
            <w:vAlign w:val="center"/>
          </w:tcPr>
          <w:p w14:paraId="491F89B0" w14:textId="036819FE"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Revision of directives on </w:t>
            </w:r>
            <w:r w:rsidR="000D494F">
              <w:rPr>
                <w:rFonts w:ascii="Times New Roman" w:hAnsi="Times New Roman" w:cs="Times New Roman"/>
                <w:noProof/>
                <w:sz w:val="20"/>
                <w:szCs w:val="20"/>
                <w:lang w:val="en-IE"/>
              </w:rPr>
              <w:t>p</w:t>
            </w:r>
            <w:r w:rsidRPr="0065549F">
              <w:rPr>
                <w:rFonts w:ascii="Times New Roman" w:hAnsi="Times New Roman" w:cs="Times New Roman"/>
                <w:noProof/>
                <w:sz w:val="20"/>
                <w:szCs w:val="20"/>
                <w:lang w:val="en-IE"/>
              </w:rPr>
              <w:t xml:space="preserve">ublic </w:t>
            </w:r>
            <w:r w:rsidR="000D494F">
              <w:rPr>
                <w:rFonts w:ascii="Times New Roman" w:hAnsi="Times New Roman" w:cs="Times New Roman"/>
                <w:noProof/>
                <w:sz w:val="20"/>
                <w:szCs w:val="20"/>
                <w:lang w:val="en-IE"/>
              </w:rPr>
              <w:t>p</w:t>
            </w:r>
            <w:r w:rsidRPr="0065549F">
              <w:rPr>
                <w:rFonts w:ascii="Times New Roman" w:hAnsi="Times New Roman" w:cs="Times New Roman"/>
                <w:noProof/>
                <w:sz w:val="20"/>
                <w:szCs w:val="20"/>
                <w:lang w:val="en-IE"/>
              </w:rPr>
              <w:t>rocurement</w:t>
            </w:r>
          </w:p>
        </w:tc>
        <w:tc>
          <w:tcPr>
            <w:tcW w:w="2268" w:type="dxa"/>
            <w:vAlign w:val="center"/>
          </w:tcPr>
          <w:p w14:paraId="59F209CA"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Q2 2026</w:t>
            </w:r>
          </w:p>
        </w:tc>
      </w:tr>
      <w:tr w:rsidR="004B398D" w:rsidRPr="004B398D" w14:paraId="1E79627C" w14:textId="77777777" w:rsidTr="153A979C">
        <w:trPr>
          <w:trHeight w:val="397"/>
        </w:trPr>
        <w:tc>
          <w:tcPr>
            <w:tcW w:w="975" w:type="dxa"/>
            <w:shd w:val="clear" w:color="auto" w:fill="C2D69B"/>
            <w:vAlign w:val="center"/>
          </w:tcPr>
          <w:p w14:paraId="69D6500C"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21D6B926" wp14:editId="458998DB">
                  <wp:extent cx="164465" cy="146050"/>
                  <wp:effectExtent l="0" t="0" r="6985" b="6350"/>
                  <wp:docPr id="1224321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5DC9BB4B" w14:textId="775497DA"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White Paper for European Defence</w:t>
            </w:r>
            <w:r w:rsidR="00415A7E">
              <w:rPr>
                <w:rStyle w:val="EndnoteReference"/>
                <w:rFonts w:ascii="Times New Roman" w:hAnsi="Times New Roman" w:cs="Times New Roman"/>
                <w:noProof/>
                <w:sz w:val="20"/>
                <w:szCs w:val="20"/>
                <w:lang w:val="en-IE"/>
              </w:rPr>
              <w:endnoteReference w:id="31"/>
            </w:r>
          </w:p>
        </w:tc>
        <w:tc>
          <w:tcPr>
            <w:tcW w:w="2268" w:type="dxa"/>
            <w:shd w:val="clear" w:color="auto" w:fill="C2D69B"/>
            <w:vAlign w:val="center"/>
          </w:tcPr>
          <w:p w14:paraId="1F230B68"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19 March 2025</w:t>
            </w:r>
          </w:p>
        </w:tc>
      </w:tr>
      <w:tr w:rsidR="004B398D" w:rsidRPr="004B398D" w14:paraId="36914DBB" w14:textId="77777777" w:rsidTr="153A979C">
        <w:trPr>
          <w:trHeight w:val="397"/>
        </w:trPr>
        <w:tc>
          <w:tcPr>
            <w:tcW w:w="975" w:type="dxa"/>
            <w:shd w:val="clear" w:color="auto" w:fill="C2D69B"/>
            <w:vAlign w:val="center"/>
          </w:tcPr>
          <w:p w14:paraId="31C3F063"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4AB9F049" wp14:editId="5A43FB7B">
                  <wp:extent cx="164465" cy="146050"/>
                  <wp:effectExtent l="0" t="0" r="6985" b="6350"/>
                  <wp:docPr id="916626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44E9C86D" w14:textId="4BB9DF58"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Preparedness Union </w:t>
            </w:r>
            <w:r w:rsidR="000D494F">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trategy</w:t>
            </w:r>
            <w:r w:rsidR="002A4687">
              <w:rPr>
                <w:rStyle w:val="EndnoteReference"/>
                <w:rFonts w:ascii="Times New Roman" w:hAnsi="Times New Roman" w:cs="Times New Roman"/>
                <w:noProof/>
                <w:sz w:val="20"/>
                <w:szCs w:val="20"/>
                <w:lang w:val="en-IE"/>
              </w:rPr>
              <w:endnoteReference w:id="32"/>
            </w:r>
            <w:r w:rsidRPr="0065549F">
              <w:rPr>
                <w:rFonts w:ascii="Times New Roman" w:hAnsi="Times New Roman" w:cs="Times New Roman"/>
                <w:noProof/>
                <w:sz w:val="20"/>
                <w:szCs w:val="20"/>
                <w:lang w:val="en-IE"/>
              </w:rPr>
              <w:t xml:space="preserve"> </w:t>
            </w:r>
          </w:p>
        </w:tc>
        <w:tc>
          <w:tcPr>
            <w:tcW w:w="2268" w:type="dxa"/>
            <w:shd w:val="clear" w:color="auto" w:fill="C2D69B"/>
            <w:vAlign w:val="center"/>
          </w:tcPr>
          <w:p w14:paraId="57BADBDB"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26 March 2025</w:t>
            </w:r>
          </w:p>
        </w:tc>
      </w:tr>
      <w:tr w:rsidR="004B398D" w:rsidRPr="004B398D" w14:paraId="593FF30B" w14:textId="77777777" w:rsidTr="153A979C">
        <w:trPr>
          <w:trHeight w:val="397"/>
        </w:trPr>
        <w:tc>
          <w:tcPr>
            <w:tcW w:w="975" w:type="dxa"/>
            <w:shd w:val="clear" w:color="auto" w:fill="C2D69B"/>
            <w:vAlign w:val="center"/>
          </w:tcPr>
          <w:p w14:paraId="7F5FCB5B"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7D138B27" wp14:editId="71CE3F77">
                  <wp:extent cx="164465" cy="146050"/>
                  <wp:effectExtent l="0" t="0" r="6985" b="6350"/>
                  <wp:docPr id="390971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19096CC1" w14:textId="5F39E200"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Internal </w:t>
            </w:r>
            <w:r w:rsidR="000D494F">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 xml:space="preserve">ecurity </w:t>
            </w:r>
            <w:r w:rsidR="000D494F">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trategy</w:t>
            </w:r>
            <w:r w:rsidR="00663968">
              <w:rPr>
                <w:rStyle w:val="EndnoteReference"/>
                <w:rFonts w:ascii="Times New Roman" w:hAnsi="Times New Roman" w:cs="Times New Roman"/>
                <w:noProof/>
                <w:sz w:val="20"/>
                <w:szCs w:val="20"/>
                <w:lang w:val="en-IE"/>
              </w:rPr>
              <w:endnoteReference w:id="33"/>
            </w:r>
            <w:r w:rsidRPr="0065549F">
              <w:rPr>
                <w:rFonts w:ascii="Times New Roman" w:hAnsi="Times New Roman" w:cs="Times New Roman"/>
                <w:noProof/>
                <w:sz w:val="20"/>
                <w:szCs w:val="20"/>
                <w:lang w:val="en-IE"/>
              </w:rPr>
              <w:t xml:space="preserve"> </w:t>
            </w:r>
          </w:p>
        </w:tc>
        <w:tc>
          <w:tcPr>
            <w:tcW w:w="2268" w:type="dxa"/>
            <w:shd w:val="clear" w:color="auto" w:fill="C2D69B"/>
            <w:vAlign w:val="center"/>
          </w:tcPr>
          <w:p w14:paraId="199DE3FC"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 April 2025</w:t>
            </w:r>
          </w:p>
        </w:tc>
      </w:tr>
      <w:tr w:rsidR="004B398D" w:rsidRPr="004B398D" w14:paraId="46226952" w14:textId="77777777" w:rsidTr="153A979C">
        <w:trPr>
          <w:trHeight w:val="397"/>
        </w:trPr>
        <w:tc>
          <w:tcPr>
            <w:tcW w:w="975" w:type="dxa"/>
            <w:shd w:val="clear" w:color="auto" w:fill="F9F9CF"/>
            <w:vAlign w:val="center"/>
          </w:tcPr>
          <w:p w14:paraId="055BC531"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EC17DB">
              <w:rPr>
                <w:rFonts w:ascii="Times New Roman" w:hAnsi="Times New Roman" w:cs="Times New Roman"/>
                <w:noProof/>
                <w:sz w:val="20"/>
                <w:szCs w:val="20"/>
                <w:lang w:eastAsia="en-GB"/>
              </w:rPr>
              <w:drawing>
                <wp:inline distT="0" distB="0" distL="0" distR="0" wp14:anchorId="1065B271" wp14:editId="287B566B">
                  <wp:extent cx="207010" cy="207010"/>
                  <wp:effectExtent l="0" t="0" r="2540" b="2540"/>
                  <wp:docPr id="9980558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p>
        </w:tc>
        <w:tc>
          <w:tcPr>
            <w:tcW w:w="6009" w:type="dxa"/>
            <w:shd w:val="clear" w:color="auto" w:fill="F9F9CF"/>
            <w:vAlign w:val="center"/>
          </w:tcPr>
          <w:p w14:paraId="2CA89443" w14:textId="245F4B17"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Critical Medicines Act</w:t>
            </w:r>
            <w:r w:rsidR="0070428A">
              <w:rPr>
                <w:rStyle w:val="EndnoteReference"/>
                <w:rFonts w:ascii="Times New Roman" w:hAnsi="Times New Roman" w:cs="Times New Roman"/>
                <w:noProof/>
                <w:sz w:val="20"/>
                <w:szCs w:val="20"/>
                <w:lang w:val="en-IE"/>
              </w:rPr>
              <w:endnoteReference w:id="34"/>
            </w:r>
            <w:r w:rsidRPr="0065549F">
              <w:rPr>
                <w:rFonts w:ascii="Times New Roman" w:hAnsi="Times New Roman" w:cs="Times New Roman"/>
                <w:noProof/>
                <w:sz w:val="20"/>
                <w:szCs w:val="20"/>
                <w:lang w:val="en-IE"/>
              </w:rPr>
              <w:t xml:space="preserve"> </w:t>
            </w:r>
          </w:p>
        </w:tc>
        <w:tc>
          <w:tcPr>
            <w:tcW w:w="2268" w:type="dxa"/>
            <w:shd w:val="clear" w:color="auto" w:fill="F9F9CF"/>
            <w:vAlign w:val="center"/>
          </w:tcPr>
          <w:p w14:paraId="5A4C8F4D"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11 March 2025</w:t>
            </w:r>
          </w:p>
        </w:tc>
      </w:tr>
      <w:tr w:rsidR="004B398D" w:rsidRPr="004B398D" w14:paraId="5A7AAABA" w14:textId="77777777" w:rsidTr="153A979C">
        <w:trPr>
          <w:trHeight w:val="397"/>
        </w:trPr>
        <w:tc>
          <w:tcPr>
            <w:tcW w:w="975" w:type="dxa"/>
            <w:vAlign w:val="center"/>
          </w:tcPr>
          <w:p w14:paraId="312F3B4B" w14:textId="77777777" w:rsidR="00DC7203" w:rsidRPr="0065549F" w:rsidRDefault="00DC7203" w:rsidP="00DC7203">
            <w:pPr>
              <w:suppressAutoHyphens w:val="0"/>
              <w:jc w:val="center"/>
              <w:rPr>
                <w:rFonts w:ascii="Times New Roman" w:hAnsi="Times New Roman" w:cs="Times New Roman"/>
                <w:noProof/>
                <w:sz w:val="20"/>
                <w:szCs w:val="20"/>
                <w:lang w:val="en-IE"/>
              </w:rPr>
            </w:pPr>
          </w:p>
        </w:tc>
        <w:tc>
          <w:tcPr>
            <w:tcW w:w="6009" w:type="dxa"/>
            <w:vAlign w:val="center"/>
          </w:tcPr>
          <w:p w14:paraId="7C02712D" w14:textId="2969BF67"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European </w:t>
            </w:r>
            <w:r w:rsidR="000D494F">
              <w:rPr>
                <w:rFonts w:ascii="Times New Roman" w:hAnsi="Times New Roman" w:cs="Times New Roman"/>
                <w:noProof/>
                <w:sz w:val="20"/>
                <w:szCs w:val="20"/>
                <w:lang w:val="en-IE"/>
              </w:rPr>
              <w:t>c</w:t>
            </w:r>
            <w:r w:rsidRPr="0065549F">
              <w:rPr>
                <w:rFonts w:ascii="Times New Roman" w:hAnsi="Times New Roman" w:cs="Times New Roman"/>
                <w:noProof/>
                <w:sz w:val="20"/>
                <w:szCs w:val="20"/>
                <w:lang w:val="en-IE"/>
              </w:rPr>
              <w:t xml:space="preserve">limate </w:t>
            </w:r>
            <w:r w:rsidR="000D494F">
              <w:rPr>
                <w:rFonts w:ascii="Times New Roman" w:hAnsi="Times New Roman" w:cs="Times New Roman"/>
                <w:noProof/>
                <w:sz w:val="20"/>
                <w:szCs w:val="20"/>
                <w:lang w:val="en-IE"/>
              </w:rPr>
              <w:t>a</w:t>
            </w:r>
            <w:r w:rsidRPr="0065549F">
              <w:rPr>
                <w:rFonts w:ascii="Times New Roman" w:hAnsi="Times New Roman" w:cs="Times New Roman"/>
                <w:noProof/>
                <w:sz w:val="20"/>
                <w:szCs w:val="20"/>
                <w:lang w:val="en-IE"/>
              </w:rPr>
              <w:t xml:space="preserve">daptation </w:t>
            </w:r>
            <w:r w:rsidR="000D494F">
              <w:rPr>
                <w:rFonts w:ascii="Times New Roman" w:hAnsi="Times New Roman" w:cs="Times New Roman"/>
                <w:noProof/>
                <w:sz w:val="20"/>
                <w:szCs w:val="20"/>
                <w:lang w:val="en-IE"/>
              </w:rPr>
              <w:t>p</w:t>
            </w:r>
            <w:r w:rsidRPr="0065549F">
              <w:rPr>
                <w:rFonts w:ascii="Times New Roman" w:hAnsi="Times New Roman" w:cs="Times New Roman"/>
                <w:noProof/>
                <w:sz w:val="20"/>
                <w:szCs w:val="20"/>
                <w:lang w:val="en-IE"/>
              </w:rPr>
              <w:t xml:space="preserve">lan </w:t>
            </w:r>
          </w:p>
        </w:tc>
        <w:tc>
          <w:tcPr>
            <w:tcW w:w="2268" w:type="dxa"/>
            <w:vAlign w:val="center"/>
          </w:tcPr>
          <w:p w14:paraId="04BCCFC0"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Q4 2026</w:t>
            </w:r>
          </w:p>
        </w:tc>
      </w:tr>
      <w:tr w:rsidR="004B398D" w:rsidRPr="004B398D" w14:paraId="69756CAB" w14:textId="77777777" w:rsidTr="153A979C">
        <w:trPr>
          <w:trHeight w:val="397"/>
        </w:trPr>
        <w:tc>
          <w:tcPr>
            <w:tcW w:w="975" w:type="dxa"/>
            <w:shd w:val="clear" w:color="auto" w:fill="C2D69B"/>
            <w:vAlign w:val="center"/>
          </w:tcPr>
          <w:p w14:paraId="2EF48154"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1EAF17A5" wp14:editId="3E2AE770">
                  <wp:extent cx="164465" cy="146050"/>
                  <wp:effectExtent l="0" t="0" r="6985" b="6350"/>
                  <wp:docPr id="836159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75125299" w14:textId="2606BBA9"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Water Resilience Strategy</w:t>
            </w:r>
            <w:r w:rsidR="00C97FFE">
              <w:rPr>
                <w:rStyle w:val="EndnoteReference"/>
                <w:rFonts w:ascii="Times New Roman" w:hAnsi="Times New Roman" w:cs="Times New Roman"/>
                <w:noProof/>
                <w:sz w:val="20"/>
                <w:szCs w:val="20"/>
                <w:lang w:val="en-IE"/>
              </w:rPr>
              <w:endnoteReference w:id="35"/>
            </w:r>
            <w:r w:rsidRPr="0065549F">
              <w:rPr>
                <w:rFonts w:ascii="Times New Roman" w:hAnsi="Times New Roman" w:cs="Times New Roman"/>
                <w:noProof/>
                <w:sz w:val="20"/>
                <w:szCs w:val="20"/>
                <w:lang w:val="en-IE"/>
              </w:rPr>
              <w:t xml:space="preserve"> </w:t>
            </w:r>
          </w:p>
        </w:tc>
        <w:tc>
          <w:tcPr>
            <w:tcW w:w="2268" w:type="dxa"/>
            <w:shd w:val="clear" w:color="auto" w:fill="C2D69B"/>
            <w:vAlign w:val="center"/>
          </w:tcPr>
          <w:p w14:paraId="5AF7A4AD"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4 June 2025</w:t>
            </w:r>
          </w:p>
        </w:tc>
      </w:tr>
      <w:tr w:rsidR="004B398D" w:rsidRPr="004B398D" w14:paraId="556A10F1" w14:textId="77777777" w:rsidTr="153A979C">
        <w:trPr>
          <w:trHeight w:val="397"/>
        </w:trPr>
        <w:tc>
          <w:tcPr>
            <w:tcW w:w="975" w:type="dxa"/>
            <w:shd w:val="clear" w:color="auto" w:fill="8DB3E2"/>
            <w:vAlign w:val="center"/>
          </w:tcPr>
          <w:p w14:paraId="58D6C492" w14:textId="77777777" w:rsidR="00DC7203" w:rsidRPr="00323814" w:rsidRDefault="00DC7203" w:rsidP="00DC7203">
            <w:pPr>
              <w:suppressAutoHyphens w:val="0"/>
              <w:jc w:val="center"/>
              <w:rPr>
                <w:rFonts w:ascii="Times New Roman" w:hAnsi="Times New Roman" w:cs="Times New Roman"/>
                <w:b/>
                <w:bCs/>
                <w:noProof/>
                <w:lang w:val="en-IE"/>
              </w:rPr>
            </w:pPr>
            <w:r w:rsidRPr="00323814">
              <w:rPr>
                <w:rFonts w:ascii="Times New Roman" w:hAnsi="Times New Roman" w:cs="Times New Roman"/>
                <w:b/>
                <w:bCs/>
                <w:noProof/>
                <w:lang w:val="en-IE"/>
              </w:rPr>
              <w:t>Status</w:t>
            </w:r>
          </w:p>
        </w:tc>
        <w:tc>
          <w:tcPr>
            <w:tcW w:w="6009" w:type="dxa"/>
            <w:shd w:val="clear" w:color="auto" w:fill="8DB3E2"/>
            <w:vAlign w:val="center"/>
          </w:tcPr>
          <w:p w14:paraId="423FF6D2" w14:textId="77777777" w:rsidR="00DC7203" w:rsidRPr="00323814" w:rsidRDefault="00DC7203" w:rsidP="00DC7203">
            <w:pPr>
              <w:suppressAutoHyphens w:val="0"/>
              <w:rPr>
                <w:rFonts w:ascii="Times New Roman" w:hAnsi="Times New Roman" w:cs="Times New Roman"/>
                <w:noProof/>
                <w:lang w:val="en-IE"/>
              </w:rPr>
            </w:pPr>
            <w:r w:rsidRPr="00323814">
              <w:rPr>
                <w:rFonts w:ascii="Times New Roman" w:hAnsi="Times New Roman" w:cs="Times New Roman"/>
                <w:b/>
                <w:bCs/>
                <w:noProof/>
                <w:lang w:val="en-IE"/>
              </w:rPr>
              <w:t>Horizontal enablers of competitiveness</w:t>
            </w:r>
          </w:p>
        </w:tc>
        <w:tc>
          <w:tcPr>
            <w:tcW w:w="2268" w:type="dxa"/>
            <w:shd w:val="clear" w:color="auto" w:fill="8DB3E2"/>
            <w:vAlign w:val="center"/>
          </w:tcPr>
          <w:p w14:paraId="2AECB1B4" w14:textId="77777777" w:rsidR="00DC7203" w:rsidRPr="00323814" w:rsidRDefault="00DC7203" w:rsidP="00DC7203">
            <w:pPr>
              <w:suppressAutoHyphens w:val="0"/>
              <w:jc w:val="center"/>
              <w:rPr>
                <w:rFonts w:ascii="Times New Roman" w:hAnsi="Times New Roman" w:cs="Times New Roman"/>
                <w:noProof/>
                <w:lang w:val="en-IE"/>
              </w:rPr>
            </w:pPr>
            <w:r w:rsidRPr="00323814">
              <w:rPr>
                <w:rFonts w:ascii="Times New Roman" w:hAnsi="Times New Roman" w:cs="Times New Roman"/>
                <w:b/>
                <w:bCs/>
                <w:noProof/>
                <w:lang w:val="en-IE"/>
              </w:rPr>
              <w:t>Timeline</w:t>
            </w:r>
          </w:p>
        </w:tc>
      </w:tr>
      <w:tr w:rsidR="009667B6" w:rsidRPr="00F02BE1" w14:paraId="20D13E3C" w14:textId="77777777" w:rsidTr="153A979C">
        <w:trPr>
          <w:trHeight w:val="406"/>
        </w:trPr>
        <w:tc>
          <w:tcPr>
            <w:tcW w:w="975" w:type="dxa"/>
            <w:tcBorders>
              <w:bottom w:val="nil"/>
            </w:tcBorders>
            <w:shd w:val="clear" w:color="auto" w:fill="C2D69B"/>
            <w:vAlign w:val="center"/>
          </w:tcPr>
          <w:p w14:paraId="2FB516E0" w14:textId="1759F9B2" w:rsidR="009667B6" w:rsidRPr="0065549F" w:rsidRDefault="009667B6" w:rsidP="009667B6">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71CCCD45" wp14:editId="58EBC554">
                  <wp:extent cx="164465" cy="146050"/>
                  <wp:effectExtent l="0" t="0" r="6985" b="6350"/>
                  <wp:docPr id="180794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tcBorders>
              <w:bottom w:val="nil"/>
            </w:tcBorders>
            <w:shd w:val="clear" w:color="auto" w:fill="C2D69B"/>
            <w:vAlign w:val="center"/>
          </w:tcPr>
          <w:p w14:paraId="513B6BD6" w14:textId="450C2435" w:rsidR="009667B6" w:rsidRPr="009667B6" w:rsidRDefault="00F42F3C" w:rsidP="009667B6">
            <w:pPr>
              <w:suppressAutoHyphens w:val="0"/>
              <w:rPr>
                <w:rFonts w:ascii="Times New Roman" w:hAnsi="Times New Roman" w:cs="Times New Roman"/>
                <w:noProof/>
                <w:sz w:val="20"/>
                <w:szCs w:val="20"/>
                <w:lang w:val="en-IE"/>
              </w:rPr>
            </w:pPr>
            <w:r>
              <w:rPr>
                <w:rFonts w:ascii="Times New Roman" w:hAnsi="Times New Roman" w:cs="Times New Roman"/>
                <w:noProof/>
                <w:sz w:val="20"/>
                <w:szCs w:val="20"/>
              </w:rPr>
              <w:t xml:space="preserve">(1) </w:t>
            </w:r>
            <w:r w:rsidR="009667B6" w:rsidRPr="0065549F">
              <w:rPr>
                <w:rFonts w:ascii="Times New Roman" w:hAnsi="Times New Roman" w:cs="Times New Roman"/>
                <w:noProof/>
                <w:sz w:val="20"/>
                <w:szCs w:val="20"/>
              </w:rPr>
              <w:t>Definition of small mid-caps (SMCs)</w:t>
            </w:r>
            <w:r w:rsidR="00333E46">
              <w:rPr>
                <w:rStyle w:val="EndnoteReference"/>
                <w:rFonts w:ascii="Times New Roman" w:hAnsi="Times New Roman" w:cs="Times New Roman"/>
                <w:noProof/>
                <w:sz w:val="20"/>
                <w:szCs w:val="20"/>
              </w:rPr>
              <w:endnoteReference w:id="36"/>
            </w:r>
            <w:r w:rsidR="009667B6" w:rsidRPr="0065549F">
              <w:rPr>
                <w:rFonts w:ascii="Times New Roman" w:hAnsi="Times New Roman" w:cs="Times New Roman"/>
                <w:noProof/>
                <w:sz w:val="20"/>
                <w:szCs w:val="20"/>
              </w:rPr>
              <w:t xml:space="preserve"> </w:t>
            </w:r>
            <w:r>
              <w:rPr>
                <w:rFonts w:ascii="Times New Roman" w:hAnsi="Times New Roman" w:cs="Times New Roman"/>
                <w:noProof/>
                <w:sz w:val="20"/>
                <w:szCs w:val="20"/>
              </w:rPr>
              <w:t>…</w:t>
            </w:r>
          </w:p>
        </w:tc>
        <w:tc>
          <w:tcPr>
            <w:tcW w:w="2268" w:type="dxa"/>
            <w:tcBorders>
              <w:bottom w:val="nil"/>
            </w:tcBorders>
            <w:shd w:val="clear" w:color="auto" w:fill="C2D69B"/>
            <w:vAlign w:val="center"/>
          </w:tcPr>
          <w:p w14:paraId="6FA4D020" w14:textId="3F1DE13C" w:rsidR="009667B6" w:rsidRPr="0049635A" w:rsidRDefault="009667B6" w:rsidP="009667B6">
            <w:pPr>
              <w:suppressAutoHyphens w:val="0"/>
              <w:jc w:val="center"/>
              <w:rPr>
                <w:rFonts w:ascii="Times New Roman" w:hAnsi="Times New Roman" w:cs="Times New Roman"/>
                <w:noProof/>
                <w:sz w:val="20"/>
                <w:szCs w:val="20"/>
              </w:rPr>
            </w:pPr>
            <w:r w:rsidRPr="0065549F">
              <w:rPr>
                <w:rFonts w:ascii="Times New Roman" w:hAnsi="Times New Roman" w:cs="Times New Roman"/>
                <w:noProof/>
                <w:sz w:val="20"/>
                <w:szCs w:val="20"/>
              </w:rPr>
              <w:t>21 May 2025</w:t>
            </w:r>
          </w:p>
        </w:tc>
      </w:tr>
      <w:tr w:rsidR="009667B6" w:rsidRPr="00F02BE1" w14:paraId="1A1CDF24" w14:textId="77777777" w:rsidTr="153A979C">
        <w:trPr>
          <w:trHeight w:val="406"/>
        </w:trPr>
        <w:tc>
          <w:tcPr>
            <w:tcW w:w="975" w:type="dxa"/>
            <w:tcBorders>
              <w:top w:val="nil"/>
            </w:tcBorders>
            <w:shd w:val="clear" w:color="auto" w:fill="F9F9CF"/>
            <w:vAlign w:val="center"/>
          </w:tcPr>
          <w:p w14:paraId="277163B8" w14:textId="38179997" w:rsidR="009667B6" w:rsidRPr="0065549F" w:rsidRDefault="009667B6" w:rsidP="009667B6">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7C6C1430" wp14:editId="594F6993">
                  <wp:extent cx="207010" cy="207010"/>
                  <wp:effectExtent l="0" t="0" r="2540" b="2540"/>
                  <wp:docPr id="8189636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p>
        </w:tc>
        <w:tc>
          <w:tcPr>
            <w:tcW w:w="6009" w:type="dxa"/>
            <w:tcBorders>
              <w:top w:val="nil"/>
            </w:tcBorders>
            <w:shd w:val="clear" w:color="auto" w:fill="F9F9CF"/>
            <w:vAlign w:val="center"/>
          </w:tcPr>
          <w:p w14:paraId="440B4650" w14:textId="49357F02" w:rsidR="009667B6" w:rsidRPr="009667B6" w:rsidRDefault="00F42F3C" w:rsidP="009667B6">
            <w:pPr>
              <w:suppressAutoHyphens w:val="0"/>
              <w:rPr>
                <w:rFonts w:ascii="Times New Roman" w:hAnsi="Times New Roman" w:cs="Times New Roman"/>
                <w:noProof/>
                <w:sz w:val="20"/>
                <w:szCs w:val="20"/>
                <w:lang w:val="en-IE"/>
              </w:rPr>
            </w:pPr>
            <w:r>
              <w:rPr>
                <w:rFonts w:ascii="Times New Roman" w:hAnsi="Times New Roman" w:cs="Times New Roman"/>
                <w:noProof/>
                <w:sz w:val="20"/>
                <w:szCs w:val="20"/>
                <w:lang w:val="en-IE"/>
              </w:rPr>
              <w:t xml:space="preserve">… and (2) </w:t>
            </w:r>
            <w:r w:rsidR="009667B6" w:rsidRPr="0065549F">
              <w:rPr>
                <w:rFonts w:ascii="Times New Roman" w:hAnsi="Times New Roman" w:cs="Times New Roman"/>
                <w:noProof/>
                <w:sz w:val="20"/>
                <w:szCs w:val="20"/>
                <w:lang w:val="en-IE"/>
              </w:rPr>
              <w:t>Simplification Omnibus IV on small mid-cap companies, digitalisation and common specifications</w:t>
            </w:r>
            <w:r w:rsidR="009667B6">
              <w:rPr>
                <w:rStyle w:val="EndnoteReference"/>
                <w:rFonts w:ascii="Times New Roman" w:hAnsi="Times New Roman" w:cs="Times New Roman"/>
                <w:noProof/>
                <w:sz w:val="20"/>
                <w:szCs w:val="20"/>
                <w:lang w:val="en-IE"/>
              </w:rPr>
              <w:endnoteReference w:id="37"/>
            </w:r>
          </w:p>
        </w:tc>
        <w:tc>
          <w:tcPr>
            <w:tcW w:w="2268" w:type="dxa"/>
            <w:tcBorders>
              <w:top w:val="nil"/>
            </w:tcBorders>
            <w:shd w:val="clear" w:color="auto" w:fill="F9F9CF"/>
            <w:vAlign w:val="center"/>
          </w:tcPr>
          <w:p w14:paraId="7F9534F0" w14:textId="3A6C5F1A" w:rsidR="009667B6" w:rsidRPr="0049635A" w:rsidRDefault="009667B6" w:rsidP="009667B6">
            <w:pPr>
              <w:suppressAutoHyphens w:val="0"/>
              <w:jc w:val="center"/>
              <w:rPr>
                <w:rFonts w:ascii="Times New Roman" w:hAnsi="Times New Roman" w:cs="Times New Roman"/>
                <w:noProof/>
                <w:sz w:val="20"/>
                <w:szCs w:val="20"/>
              </w:rPr>
            </w:pPr>
            <w:r w:rsidRPr="0065549F">
              <w:rPr>
                <w:rFonts w:ascii="Times New Roman" w:hAnsi="Times New Roman" w:cs="Times New Roman"/>
                <w:noProof/>
                <w:sz w:val="20"/>
                <w:szCs w:val="20"/>
              </w:rPr>
              <w:t>21 May 2025</w:t>
            </w:r>
          </w:p>
        </w:tc>
      </w:tr>
      <w:tr w:rsidR="004B398D" w:rsidRPr="004B398D" w14:paraId="7D0386B3" w14:textId="77777777" w:rsidTr="153A979C">
        <w:trPr>
          <w:trHeight w:val="397"/>
        </w:trPr>
        <w:tc>
          <w:tcPr>
            <w:tcW w:w="975" w:type="dxa"/>
            <w:shd w:val="clear" w:color="auto" w:fill="F9F9CF"/>
            <w:vAlign w:val="center"/>
          </w:tcPr>
          <w:p w14:paraId="11E3CEB7" w14:textId="02F98B7D" w:rsidR="00DC7203" w:rsidRPr="0065549F" w:rsidRDefault="000D494F"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4728972D" wp14:editId="7B3C6A91">
                  <wp:extent cx="207010" cy="207010"/>
                  <wp:effectExtent l="0" t="0" r="2540" b="2540"/>
                  <wp:docPr id="1656393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p>
        </w:tc>
        <w:tc>
          <w:tcPr>
            <w:tcW w:w="6009" w:type="dxa"/>
            <w:shd w:val="clear" w:color="auto" w:fill="F9F9CF"/>
            <w:vAlign w:val="center"/>
          </w:tcPr>
          <w:p w14:paraId="6B7DFEA5" w14:textId="55489FAE"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European </w:t>
            </w:r>
            <w:r w:rsidR="00CE73B9">
              <w:rPr>
                <w:rFonts w:ascii="Times New Roman" w:hAnsi="Times New Roman" w:cs="Times New Roman"/>
                <w:noProof/>
                <w:sz w:val="20"/>
                <w:szCs w:val="20"/>
                <w:lang w:val="en-IE"/>
              </w:rPr>
              <w:t>b</w:t>
            </w:r>
            <w:r w:rsidRPr="0065549F">
              <w:rPr>
                <w:rFonts w:ascii="Times New Roman" w:hAnsi="Times New Roman" w:cs="Times New Roman"/>
                <w:noProof/>
                <w:sz w:val="20"/>
                <w:szCs w:val="20"/>
                <w:lang w:val="en-IE"/>
              </w:rPr>
              <w:t xml:space="preserve">usiness </w:t>
            </w:r>
            <w:r w:rsidR="00CE73B9">
              <w:rPr>
                <w:rFonts w:ascii="Times New Roman" w:hAnsi="Times New Roman" w:cs="Times New Roman"/>
                <w:noProof/>
                <w:sz w:val="20"/>
                <w:szCs w:val="20"/>
                <w:lang w:val="en-IE"/>
              </w:rPr>
              <w:t>w</w:t>
            </w:r>
            <w:r w:rsidRPr="0065549F">
              <w:rPr>
                <w:rFonts w:ascii="Times New Roman" w:hAnsi="Times New Roman" w:cs="Times New Roman"/>
                <w:noProof/>
                <w:sz w:val="20"/>
                <w:szCs w:val="20"/>
                <w:lang w:val="en-IE"/>
              </w:rPr>
              <w:t>allet</w:t>
            </w:r>
            <w:r w:rsidR="00E02A7A">
              <w:rPr>
                <w:rStyle w:val="EndnoteReference"/>
                <w:rFonts w:ascii="Times New Roman" w:hAnsi="Times New Roman" w:cs="Times New Roman"/>
                <w:noProof/>
                <w:sz w:val="20"/>
                <w:szCs w:val="20"/>
                <w:lang w:val="en-IE"/>
              </w:rPr>
              <w:endnoteReference w:id="38"/>
            </w:r>
            <w:r w:rsidRPr="0065549F">
              <w:rPr>
                <w:rFonts w:ascii="Times New Roman" w:hAnsi="Times New Roman" w:cs="Times New Roman"/>
                <w:noProof/>
                <w:sz w:val="20"/>
                <w:szCs w:val="20"/>
                <w:lang w:val="en-IE"/>
              </w:rPr>
              <w:t xml:space="preserve"> </w:t>
            </w:r>
          </w:p>
        </w:tc>
        <w:tc>
          <w:tcPr>
            <w:tcW w:w="2268" w:type="dxa"/>
            <w:shd w:val="clear" w:color="auto" w:fill="F9F9CF"/>
            <w:vAlign w:val="center"/>
          </w:tcPr>
          <w:p w14:paraId="5B9EFAAC"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19 November 2025</w:t>
            </w:r>
          </w:p>
        </w:tc>
      </w:tr>
      <w:tr w:rsidR="004B398D" w:rsidRPr="004B398D" w14:paraId="3675B19C" w14:textId="77777777" w:rsidTr="153A979C">
        <w:trPr>
          <w:trHeight w:val="397"/>
        </w:trPr>
        <w:tc>
          <w:tcPr>
            <w:tcW w:w="975" w:type="dxa"/>
            <w:shd w:val="clear" w:color="auto" w:fill="C2D69B"/>
            <w:vAlign w:val="center"/>
          </w:tcPr>
          <w:p w14:paraId="0B5388A7"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4F404755" wp14:editId="6FFD61A4">
                  <wp:extent cx="164465" cy="146050"/>
                  <wp:effectExtent l="0" t="0" r="6985" b="6350"/>
                  <wp:docPr id="1072373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1EAE1974" w14:textId="5E22C7E0"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Single Market </w:t>
            </w:r>
            <w:r w:rsidR="00CE73B9">
              <w:rPr>
                <w:rFonts w:ascii="Times New Roman" w:hAnsi="Times New Roman" w:cs="Times New Roman"/>
                <w:noProof/>
                <w:sz w:val="20"/>
                <w:szCs w:val="20"/>
                <w:lang w:val="en-IE"/>
              </w:rPr>
              <w:t>s</w:t>
            </w:r>
            <w:r w:rsidRPr="0065549F">
              <w:rPr>
                <w:rFonts w:ascii="Times New Roman" w:hAnsi="Times New Roman" w:cs="Times New Roman"/>
                <w:noProof/>
                <w:sz w:val="20"/>
                <w:szCs w:val="20"/>
                <w:lang w:val="en-IE"/>
              </w:rPr>
              <w:t>trategy</w:t>
            </w:r>
            <w:r w:rsidR="006D4EC0">
              <w:rPr>
                <w:rStyle w:val="EndnoteReference"/>
                <w:rFonts w:ascii="Times New Roman" w:hAnsi="Times New Roman" w:cs="Times New Roman"/>
                <w:noProof/>
                <w:sz w:val="20"/>
                <w:szCs w:val="20"/>
                <w:lang w:val="en-IE"/>
              </w:rPr>
              <w:endnoteReference w:id="39"/>
            </w:r>
            <w:r w:rsidRPr="0065549F">
              <w:rPr>
                <w:rFonts w:ascii="Times New Roman" w:hAnsi="Times New Roman" w:cs="Times New Roman"/>
                <w:noProof/>
                <w:sz w:val="20"/>
                <w:szCs w:val="20"/>
                <w:lang w:val="en-IE"/>
              </w:rPr>
              <w:t xml:space="preserve"> </w:t>
            </w:r>
          </w:p>
        </w:tc>
        <w:tc>
          <w:tcPr>
            <w:tcW w:w="2268" w:type="dxa"/>
            <w:shd w:val="clear" w:color="auto" w:fill="C2D69B"/>
            <w:vAlign w:val="center"/>
          </w:tcPr>
          <w:p w14:paraId="1813461E"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21 May 2025</w:t>
            </w:r>
          </w:p>
        </w:tc>
      </w:tr>
      <w:tr w:rsidR="004B398D" w:rsidRPr="004B398D" w14:paraId="1A645BF2" w14:textId="77777777" w:rsidTr="153A979C">
        <w:trPr>
          <w:trHeight w:val="397"/>
        </w:trPr>
        <w:tc>
          <w:tcPr>
            <w:tcW w:w="975" w:type="dxa"/>
            <w:vAlign w:val="center"/>
          </w:tcPr>
          <w:p w14:paraId="5C2B76CD" w14:textId="77777777" w:rsidR="00DC7203" w:rsidRPr="0065549F" w:rsidRDefault="00DC7203" w:rsidP="00DC7203">
            <w:pPr>
              <w:suppressAutoHyphens w:val="0"/>
              <w:jc w:val="center"/>
              <w:rPr>
                <w:rFonts w:ascii="Times New Roman" w:hAnsi="Times New Roman" w:cs="Times New Roman"/>
                <w:noProof/>
                <w:sz w:val="20"/>
                <w:szCs w:val="20"/>
                <w:lang w:val="en-IE"/>
              </w:rPr>
            </w:pPr>
          </w:p>
        </w:tc>
        <w:tc>
          <w:tcPr>
            <w:tcW w:w="6009" w:type="dxa"/>
            <w:vAlign w:val="center"/>
          </w:tcPr>
          <w:p w14:paraId="0A797B1B" w14:textId="77777777"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Revision of the Standardisation Regulation </w:t>
            </w:r>
          </w:p>
        </w:tc>
        <w:tc>
          <w:tcPr>
            <w:tcW w:w="2268" w:type="dxa"/>
            <w:vAlign w:val="center"/>
          </w:tcPr>
          <w:p w14:paraId="71746C1C"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Q3 2026</w:t>
            </w:r>
          </w:p>
        </w:tc>
      </w:tr>
      <w:tr w:rsidR="004B398D" w:rsidRPr="004B398D" w14:paraId="35786694" w14:textId="77777777" w:rsidTr="153A979C">
        <w:trPr>
          <w:trHeight w:val="397"/>
        </w:trPr>
        <w:tc>
          <w:tcPr>
            <w:tcW w:w="975" w:type="dxa"/>
            <w:shd w:val="clear" w:color="auto" w:fill="C2D69B"/>
            <w:vAlign w:val="center"/>
          </w:tcPr>
          <w:p w14:paraId="17280A70"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6697C1A5" wp14:editId="66ECB486">
                  <wp:extent cx="164465" cy="146050"/>
                  <wp:effectExtent l="0" t="0" r="6985" b="6350"/>
                  <wp:docPr id="1953107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76253503" w14:textId="08EDC76B"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Savings and Investments Union</w:t>
            </w:r>
            <w:r w:rsidR="0046476C">
              <w:rPr>
                <w:rStyle w:val="EndnoteReference"/>
                <w:rFonts w:ascii="Times New Roman" w:hAnsi="Times New Roman" w:cs="Times New Roman"/>
                <w:noProof/>
                <w:sz w:val="20"/>
                <w:szCs w:val="20"/>
                <w:lang w:val="en-IE"/>
              </w:rPr>
              <w:endnoteReference w:id="40"/>
            </w:r>
            <w:r w:rsidRPr="0065549F">
              <w:rPr>
                <w:rFonts w:ascii="Times New Roman" w:hAnsi="Times New Roman" w:cs="Times New Roman"/>
                <w:noProof/>
                <w:sz w:val="20"/>
                <w:szCs w:val="20"/>
                <w:lang w:val="en-IE"/>
              </w:rPr>
              <w:t xml:space="preserve"> </w:t>
            </w:r>
          </w:p>
        </w:tc>
        <w:tc>
          <w:tcPr>
            <w:tcW w:w="2268" w:type="dxa"/>
            <w:shd w:val="clear" w:color="auto" w:fill="C2D69B"/>
            <w:vAlign w:val="center"/>
          </w:tcPr>
          <w:p w14:paraId="0C6FBB7D"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19 March 2025</w:t>
            </w:r>
          </w:p>
        </w:tc>
      </w:tr>
      <w:tr w:rsidR="004B398D" w:rsidRPr="004B398D" w14:paraId="2C20E0D4" w14:textId="77777777" w:rsidTr="153A979C">
        <w:trPr>
          <w:trHeight w:val="397"/>
        </w:trPr>
        <w:tc>
          <w:tcPr>
            <w:tcW w:w="975" w:type="dxa"/>
            <w:shd w:val="clear" w:color="auto" w:fill="F9F9CF"/>
            <w:vAlign w:val="center"/>
          </w:tcPr>
          <w:p w14:paraId="67041022" w14:textId="77777777" w:rsidR="00DC7203" w:rsidRPr="0065549F" w:rsidRDefault="00DC7203" w:rsidP="00DC7203">
            <w:pPr>
              <w:suppressAutoHyphens w:val="0"/>
              <w:jc w:val="center"/>
              <w:rPr>
                <w:rFonts w:ascii="Times New Roman" w:hAnsi="Times New Roman" w:cs="Times New Roman"/>
                <w:noProof/>
                <w:sz w:val="20"/>
                <w:szCs w:val="20"/>
              </w:rPr>
            </w:pPr>
            <w:r w:rsidRPr="0065549F">
              <w:rPr>
                <w:rFonts w:ascii="Times New Roman" w:hAnsi="Times New Roman" w:cs="Times New Roman"/>
                <w:noProof/>
                <w:sz w:val="20"/>
                <w:szCs w:val="20"/>
                <w:lang w:eastAsia="en-GB"/>
              </w:rPr>
              <w:drawing>
                <wp:inline distT="0" distB="0" distL="0" distR="0" wp14:anchorId="21D673DD" wp14:editId="3B27B070">
                  <wp:extent cx="207010" cy="207010"/>
                  <wp:effectExtent l="0" t="0" r="2540" b="2540"/>
                  <wp:docPr id="16038795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p>
        </w:tc>
        <w:tc>
          <w:tcPr>
            <w:tcW w:w="6009" w:type="dxa"/>
            <w:shd w:val="clear" w:color="auto" w:fill="F9F9CF"/>
            <w:vAlign w:val="center"/>
          </w:tcPr>
          <w:p w14:paraId="21EBD66C" w14:textId="15E77469"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P</w:t>
            </w:r>
            <w:r w:rsidRPr="0065549F">
              <w:rPr>
                <w:rFonts w:ascii="Times New Roman" w:hAnsi="Times New Roman" w:cs="Times New Roman"/>
                <w:noProof/>
                <w:sz w:val="20"/>
                <w:szCs w:val="20"/>
                <w:lang w:val="en-IE"/>
              </w:rPr>
              <w:t xml:space="preserve">roposal for the </w:t>
            </w:r>
            <w:r w:rsidR="00CE73B9">
              <w:rPr>
                <w:rFonts w:ascii="Times New Roman" w:hAnsi="Times New Roman" w:cs="Times New Roman"/>
                <w:noProof/>
                <w:sz w:val="20"/>
                <w:szCs w:val="20"/>
                <w:lang w:val="en-IE"/>
              </w:rPr>
              <w:t>m</w:t>
            </w:r>
            <w:r w:rsidRPr="0065549F">
              <w:rPr>
                <w:rFonts w:ascii="Times New Roman" w:hAnsi="Times New Roman" w:cs="Times New Roman"/>
                <w:noProof/>
                <w:sz w:val="20"/>
                <w:szCs w:val="20"/>
                <w:lang w:val="en-IE"/>
              </w:rPr>
              <w:t xml:space="preserve">ultiannual </w:t>
            </w:r>
            <w:r w:rsidR="00CE73B9">
              <w:rPr>
                <w:rFonts w:ascii="Times New Roman" w:hAnsi="Times New Roman" w:cs="Times New Roman"/>
                <w:noProof/>
                <w:sz w:val="20"/>
                <w:szCs w:val="20"/>
                <w:lang w:val="en-IE"/>
              </w:rPr>
              <w:t>f</w:t>
            </w:r>
            <w:r w:rsidRPr="0065549F">
              <w:rPr>
                <w:rFonts w:ascii="Times New Roman" w:hAnsi="Times New Roman" w:cs="Times New Roman"/>
                <w:noProof/>
                <w:sz w:val="20"/>
                <w:szCs w:val="20"/>
                <w:lang w:val="en-IE"/>
              </w:rPr>
              <w:t xml:space="preserve">inancial </w:t>
            </w:r>
            <w:r w:rsidR="00CE73B9">
              <w:rPr>
                <w:rFonts w:ascii="Times New Roman" w:hAnsi="Times New Roman" w:cs="Times New Roman"/>
                <w:noProof/>
                <w:sz w:val="20"/>
                <w:szCs w:val="20"/>
                <w:lang w:val="en-IE"/>
              </w:rPr>
              <w:t>f</w:t>
            </w:r>
            <w:r w:rsidRPr="0065549F">
              <w:rPr>
                <w:rFonts w:ascii="Times New Roman" w:hAnsi="Times New Roman" w:cs="Times New Roman"/>
                <w:noProof/>
                <w:sz w:val="20"/>
                <w:szCs w:val="20"/>
                <w:lang w:val="en-IE"/>
              </w:rPr>
              <w:t>ramework (MFF) 2028-2034, including the Competitiveness Fund</w:t>
            </w:r>
            <w:r w:rsidR="0046476C">
              <w:rPr>
                <w:rStyle w:val="EndnoteReference"/>
                <w:rFonts w:ascii="Times New Roman" w:hAnsi="Times New Roman" w:cs="Times New Roman"/>
                <w:noProof/>
                <w:sz w:val="20"/>
                <w:szCs w:val="20"/>
                <w:lang w:val="en-IE"/>
              </w:rPr>
              <w:endnoteReference w:id="41"/>
            </w:r>
          </w:p>
        </w:tc>
        <w:tc>
          <w:tcPr>
            <w:tcW w:w="2268" w:type="dxa"/>
            <w:shd w:val="clear" w:color="auto" w:fill="F9F9CF"/>
            <w:vAlign w:val="center"/>
          </w:tcPr>
          <w:p w14:paraId="6F8DC08D" w14:textId="77777777" w:rsidR="00DC7203" w:rsidRPr="0065549F" w:rsidRDefault="00DC7203"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16 July 2025 and 3 September 2025</w:t>
            </w:r>
          </w:p>
        </w:tc>
      </w:tr>
      <w:tr w:rsidR="004B398D" w:rsidRPr="004B398D" w:rsidDel="00537BEF" w14:paraId="4C44C8F0" w14:textId="77777777" w:rsidTr="153A979C">
        <w:trPr>
          <w:trHeight w:val="397"/>
        </w:trPr>
        <w:tc>
          <w:tcPr>
            <w:tcW w:w="975" w:type="dxa"/>
            <w:vAlign w:val="center"/>
          </w:tcPr>
          <w:p w14:paraId="045DE562" w14:textId="77777777" w:rsidR="00DC7203" w:rsidRPr="0065549F" w:rsidRDefault="00DC7203" w:rsidP="00DC7203">
            <w:pPr>
              <w:suppressAutoHyphens w:val="0"/>
              <w:jc w:val="center"/>
              <w:rPr>
                <w:rFonts w:ascii="Times New Roman" w:hAnsi="Times New Roman" w:cs="Times New Roman"/>
                <w:noProof/>
                <w:sz w:val="20"/>
                <w:szCs w:val="20"/>
              </w:rPr>
            </w:pPr>
          </w:p>
        </w:tc>
        <w:tc>
          <w:tcPr>
            <w:tcW w:w="6009" w:type="dxa"/>
            <w:vAlign w:val="center"/>
          </w:tcPr>
          <w:p w14:paraId="21359534" w14:textId="4FE8E30C" w:rsidR="00DC7203" w:rsidRPr="006E0577" w:rsidRDefault="00DC7203" w:rsidP="00DC7203">
            <w:pPr>
              <w:suppressAutoHyphens w:val="0"/>
              <w:rPr>
                <w:rFonts w:ascii="Times New Roman" w:hAnsi="Times New Roman" w:cs="Times New Roman"/>
                <w:noProof/>
                <w:sz w:val="20"/>
                <w:szCs w:val="20"/>
              </w:rPr>
            </w:pPr>
            <w:r w:rsidRPr="006E0577">
              <w:rPr>
                <w:rFonts w:ascii="Times New Roman" w:hAnsi="Times New Roman" w:cs="Times New Roman"/>
                <w:noProof/>
                <w:sz w:val="20"/>
                <w:szCs w:val="20"/>
                <w:lang w:val="en-IE"/>
              </w:rPr>
              <w:t xml:space="preserve">Competitiveness </w:t>
            </w:r>
            <w:r w:rsidR="00CE73B9" w:rsidRPr="006E0577">
              <w:rPr>
                <w:rFonts w:ascii="Times New Roman" w:hAnsi="Times New Roman" w:cs="Times New Roman"/>
                <w:noProof/>
                <w:sz w:val="20"/>
                <w:szCs w:val="20"/>
                <w:lang w:val="en-IE"/>
              </w:rPr>
              <w:t>c</w:t>
            </w:r>
            <w:r w:rsidRPr="006E0577">
              <w:rPr>
                <w:rFonts w:ascii="Times New Roman" w:hAnsi="Times New Roman" w:cs="Times New Roman"/>
                <w:noProof/>
                <w:sz w:val="20"/>
                <w:szCs w:val="20"/>
                <w:lang w:val="en-IE"/>
              </w:rPr>
              <w:t xml:space="preserve">oordination </w:t>
            </w:r>
            <w:r w:rsidR="00CE73B9" w:rsidRPr="006E0577">
              <w:rPr>
                <w:rFonts w:ascii="Times New Roman" w:hAnsi="Times New Roman" w:cs="Times New Roman"/>
                <w:noProof/>
                <w:sz w:val="20"/>
                <w:szCs w:val="20"/>
                <w:lang w:val="en-IE"/>
              </w:rPr>
              <w:t>t</w:t>
            </w:r>
            <w:r w:rsidRPr="006E0577">
              <w:rPr>
                <w:rFonts w:ascii="Times New Roman" w:hAnsi="Times New Roman" w:cs="Times New Roman"/>
                <w:noProof/>
                <w:sz w:val="20"/>
                <w:szCs w:val="20"/>
                <w:lang w:val="en-IE"/>
              </w:rPr>
              <w:t>ool</w:t>
            </w:r>
          </w:p>
        </w:tc>
        <w:tc>
          <w:tcPr>
            <w:tcW w:w="2268" w:type="dxa"/>
            <w:vAlign w:val="center"/>
          </w:tcPr>
          <w:p w14:paraId="1FA9B300" w14:textId="1579B8DF" w:rsidR="00DC7203" w:rsidRPr="0065549F" w:rsidDel="00537BEF" w:rsidRDefault="00AE482D" w:rsidP="00DC7203">
            <w:pPr>
              <w:suppressAutoHyphens w:val="0"/>
              <w:jc w:val="center"/>
              <w:rPr>
                <w:rFonts w:ascii="Times New Roman" w:hAnsi="Times New Roman" w:cs="Times New Roman"/>
                <w:noProof/>
                <w:sz w:val="20"/>
                <w:szCs w:val="20"/>
                <w:lang w:val="en-IE"/>
              </w:rPr>
            </w:pPr>
            <w:r w:rsidRPr="006E0577">
              <w:rPr>
                <w:rFonts w:ascii="Times New Roman" w:hAnsi="Times New Roman" w:cs="Times New Roman"/>
                <w:noProof/>
                <w:sz w:val="20"/>
                <w:szCs w:val="20"/>
                <w:lang w:val="en-IE"/>
              </w:rPr>
              <w:t>Q1</w:t>
            </w:r>
            <w:r w:rsidR="001E5874" w:rsidRPr="006E0577">
              <w:rPr>
                <w:rFonts w:ascii="Times New Roman" w:hAnsi="Times New Roman" w:cs="Times New Roman"/>
                <w:noProof/>
                <w:sz w:val="20"/>
                <w:szCs w:val="20"/>
                <w:lang w:val="en-IE"/>
              </w:rPr>
              <w:t xml:space="preserve"> </w:t>
            </w:r>
            <w:r w:rsidR="00DC7203" w:rsidRPr="006E0577">
              <w:rPr>
                <w:rFonts w:ascii="Times New Roman" w:hAnsi="Times New Roman" w:cs="Times New Roman"/>
                <w:noProof/>
                <w:sz w:val="20"/>
                <w:szCs w:val="20"/>
                <w:lang w:val="en-IE"/>
              </w:rPr>
              <w:t>2026</w:t>
            </w:r>
          </w:p>
        </w:tc>
      </w:tr>
      <w:tr w:rsidR="004B398D" w:rsidRPr="004B398D" w14:paraId="06FA0085" w14:textId="77777777" w:rsidTr="153A979C">
        <w:trPr>
          <w:trHeight w:val="397"/>
        </w:trPr>
        <w:tc>
          <w:tcPr>
            <w:tcW w:w="975" w:type="dxa"/>
            <w:shd w:val="clear" w:color="auto" w:fill="C2D69B"/>
            <w:vAlign w:val="center"/>
          </w:tcPr>
          <w:p w14:paraId="05DD7309" w14:textId="77777777" w:rsidR="00DC7203" w:rsidRPr="0065549F" w:rsidRDefault="00DC7203"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7CA899A4" wp14:editId="6B1B2A6D">
                  <wp:extent cx="164465" cy="146050"/>
                  <wp:effectExtent l="0" t="0" r="6985" b="6350"/>
                  <wp:docPr id="1152954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1B92DD90" w14:textId="59A6F3AD"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Union of Skills</w:t>
            </w:r>
            <w:r w:rsidR="00976A5A">
              <w:rPr>
                <w:rStyle w:val="EndnoteReference"/>
                <w:rFonts w:ascii="Times New Roman" w:hAnsi="Times New Roman" w:cs="Times New Roman"/>
                <w:noProof/>
                <w:sz w:val="20"/>
                <w:szCs w:val="20"/>
                <w:lang w:val="en-IE"/>
              </w:rPr>
              <w:endnoteReference w:id="42"/>
            </w:r>
            <w:r w:rsidRPr="0065549F">
              <w:rPr>
                <w:rFonts w:ascii="Times New Roman" w:hAnsi="Times New Roman" w:cs="Times New Roman"/>
                <w:noProof/>
                <w:sz w:val="20"/>
                <w:szCs w:val="20"/>
                <w:lang w:val="en-IE"/>
              </w:rPr>
              <w:t xml:space="preserve"> </w:t>
            </w:r>
          </w:p>
        </w:tc>
        <w:tc>
          <w:tcPr>
            <w:tcW w:w="2268" w:type="dxa"/>
            <w:shd w:val="clear" w:color="auto" w:fill="C2D69B"/>
            <w:vAlign w:val="center"/>
          </w:tcPr>
          <w:p w14:paraId="6C4AA71D" w14:textId="77777777" w:rsidR="00DC7203" w:rsidRPr="0065549F" w:rsidRDefault="00DC7203" w:rsidP="0084157E">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5 March 2025</w:t>
            </w:r>
          </w:p>
        </w:tc>
      </w:tr>
      <w:tr w:rsidR="004B398D" w:rsidRPr="004B398D" w14:paraId="5B0E3A21" w14:textId="77777777" w:rsidTr="153A979C">
        <w:trPr>
          <w:trHeight w:val="397"/>
        </w:trPr>
        <w:tc>
          <w:tcPr>
            <w:tcW w:w="975" w:type="dxa"/>
            <w:shd w:val="clear" w:color="auto" w:fill="C2D69B"/>
            <w:vAlign w:val="center"/>
          </w:tcPr>
          <w:p w14:paraId="3FF2A0E5" w14:textId="5C789FF7" w:rsidR="00DC7203" w:rsidRPr="0065549F" w:rsidRDefault="00C336ED" w:rsidP="00DC7203">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1A9DBB19" wp14:editId="301F64EE">
                  <wp:extent cx="164465" cy="146050"/>
                  <wp:effectExtent l="0" t="0" r="6985" b="6350"/>
                  <wp:docPr id="2106376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009" w:type="dxa"/>
            <w:shd w:val="clear" w:color="auto" w:fill="C2D69B"/>
            <w:vAlign w:val="center"/>
          </w:tcPr>
          <w:p w14:paraId="5A133BF8" w14:textId="2A085655" w:rsidR="00DC7203" w:rsidRPr="00C336ED" w:rsidRDefault="00DC7203" w:rsidP="00DC7203">
            <w:pPr>
              <w:suppressAutoHyphens w:val="0"/>
              <w:rPr>
                <w:rFonts w:ascii="Times New Roman" w:hAnsi="Times New Roman" w:cs="Times New Roman"/>
                <w:noProof/>
                <w:sz w:val="20"/>
                <w:szCs w:val="20"/>
                <w:lang w:val="en-IE"/>
              </w:rPr>
            </w:pPr>
            <w:r w:rsidRPr="00C336ED">
              <w:rPr>
                <w:rFonts w:ascii="Times New Roman" w:hAnsi="Times New Roman" w:cs="Times New Roman"/>
                <w:noProof/>
                <w:sz w:val="20"/>
                <w:szCs w:val="20"/>
                <w:lang w:val="en-IE"/>
              </w:rPr>
              <w:t>Quality jobs roadmap</w:t>
            </w:r>
            <w:r w:rsidR="00976A5A">
              <w:rPr>
                <w:rStyle w:val="EndnoteReference"/>
                <w:rFonts w:ascii="Times New Roman" w:hAnsi="Times New Roman" w:cs="Times New Roman"/>
                <w:noProof/>
                <w:sz w:val="20"/>
                <w:szCs w:val="20"/>
                <w:lang w:val="en-IE"/>
              </w:rPr>
              <w:endnoteReference w:id="43"/>
            </w:r>
          </w:p>
        </w:tc>
        <w:tc>
          <w:tcPr>
            <w:tcW w:w="2268" w:type="dxa"/>
            <w:shd w:val="clear" w:color="auto" w:fill="C2D69B"/>
            <w:vAlign w:val="center"/>
          </w:tcPr>
          <w:p w14:paraId="2EF07D93" w14:textId="48864347" w:rsidR="000E66FE" w:rsidRPr="00C336ED" w:rsidRDefault="00C336ED" w:rsidP="00C336ED">
            <w:pPr>
              <w:suppressAutoHyphens w:val="0"/>
              <w:jc w:val="center"/>
              <w:rPr>
                <w:rFonts w:ascii="Times New Roman" w:hAnsi="Times New Roman" w:cs="Times New Roman"/>
                <w:noProof/>
                <w:sz w:val="20"/>
                <w:szCs w:val="20"/>
                <w:lang w:val="en-IE"/>
              </w:rPr>
            </w:pPr>
            <w:r w:rsidRPr="00C336ED">
              <w:rPr>
                <w:rFonts w:ascii="Times New Roman" w:hAnsi="Times New Roman" w:cs="Times New Roman"/>
                <w:noProof/>
                <w:sz w:val="20"/>
                <w:szCs w:val="20"/>
                <w:lang w:val="en-IE"/>
              </w:rPr>
              <w:t>4</w:t>
            </w:r>
            <w:r w:rsidR="000E66FE" w:rsidRPr="00C336ED">
              <w:rPr>
                <w:rFonts w:ascii="Times New Roman" w:hAnsi="Times New Roman" w:cs="Times New Roman"/>
                <w:noProof/>
                <w:sz w:val="20"/>
                <w:szCs w:val="20"/>
                <w:lang w:val="en-IE"/>
              </w:rPr>
              <w:t xml:space="preserve"> December </w:t>
            </w:r>
            <w:r w:rsidR="00DC7203" w:rsidRPr="00C336ED">
              <w:rPr>
                <w:rFonts w:ascii="Times New Roman" w:hAnsi="Times New Roman" w:cs="Times New Roman"/>
                <w:noProof/>
                <w:sz w:val="20"/>
                <w:szCs w:val="20"/>
                <w:lang w:val="en-IE"/>
              </w:rPr>
              <w:t>2025</w:t>
            </w:r>
          </w:p>
        </w:tc>
      </w:tr>
      <w:tr w:rsidR="004B398D" w:rsidRPr="004B398D" w14:paraId="5C88FCFB" w14:textId="77777777" w:rsidTr="153A979C">
        <w:trPr>
          <w:trHeight w:val="397"/>
        </w:trPr>
        <w:tc>
          <w:tcPr>
            <w:tcW w:w="975" w:type="dxa"/>
            <w:vAlign w:val="center"/>
          </w:tcPr>
          <w:p w14:paraId="4BD8FA00" w14:textId="77777777" w:rsidR="00821867" w:rsidRPr="0065549F" w:rsidRDefault="00821867" w:rsidP="0065549F">
            <w:pPr>
              <w:suppressAutoHyphens w:val="0"/>
              <w:rPr>
                <w:rFonts w:ascii="Times New Roman" w:hAnsi="Times New Roman" w:cs="Times New Roman"/>
                <w:noProof/>
                <w:sz w:val="20"/>
                <w:szCs w:val="20"/>
                <w:lang w:val="en-IE"/>
              </w:rPr>
            </w:pPr>
          </w:p>
        </w:tc>
        <w:tc>
          <w:tcPr>
            <w:tcW w:w="6009" w:type="dxa"/>
            <w:vAlign w:val="center"/>
          </w:tcPr>
          <w:p w14:paraId="5DFBAF0F" w14:textId="24D42C86" w:rsidR="00DC7203" w:rsidRPr="0065549F" w:rsidRDefault="00DC7203" w:rsidP="00DC7203">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Skills Portability Initiative </w:t>
            </w:r>
          </w:p>
        </w:tc>
        <w:tc>
          <w:tcPr>
            <w:tcW w:w="2268" w:type="dxa"/>
            <w:vAlign w:val="center"/>
          </w:tcPr>
          <w:p w14:paraId="1B77C338" w14:textId="30192E36" w:rsidR="00821867" w:rsidRPr="0065549F" w:rsidRDefault="00DC7203" w:rsidP="00DB5241">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w:t>
            </w:r>
            <w:r w:rsidR="005A13CD" w:rsidRPr="0065549F">
              <w:rPr>
                <w:rFonts w:ascii="Times New Roman" w:hAnsi="Times New Roman" w:cs="Times New Roman"/>
                <w:noProof/>
                <w:sz w:val="20"/>
                <w:szCs w:val="20"/>
                <w:lang w:val="en-IE"/>
              </w:rPr>
              <w:t>3</w:t>
            </w:r>
            <w:r w:rsidRPr="0065549F">
              <w:rPr>
                <w:rFonts w:ascii="Times New Roman" w:hAnsi="Times New Roman" w:cs="Times New Roman"/>
                <w:noProof/>
                <w:sz w:val="20"/>
                <w:szCs w:val="20"/>
                <w:lang w:val="en-IE"/>
              </w:rPr>
              <w:t xml:space="preserve"> 2026</w:t>
            </w:r>
          </w:p>
        </w:tc>
      </w:tr>
    </w:tbl>
    <w:p w14:paraId="054FE7C4" w14:textId="77777777" w:rsidR="00884241" w:rsidRDefault="00884241">
      <w:pPr>
        <w:pStyle w:val="Source"/>
        <w:rPr>
          <w:noProof/>
          <w:color w:val="auto"/>
          <w:lang w:val="en-IE"/>
        </w:rPr>
      </w:pPr>
    </w:p>
    <w:tbl>
      <w:tblPr>
        <w:tblStyle w:val="TableGrid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F8235D" w:rsidRPr="00486446" w14:paraId="5ACD3979" w14:textId="77777777">
        <w:tc>
          <w:tcPr>
            <w:tcW w:w="4678" w:type="dxa"/>
          </w:tcPr>
          <w:p w14:paraId="1967F87C" w14:textId="28B74A7C" w:rsidR="00F8235D" w:rsidRPr="00486446" w:rsidRDefault="00F8235D">
            <w:pPr>
              <w:suppressAutoHyphens w:val="0"/>
              <w:ind w:left="464" w:hanging="464"/>
              <w:rPr>
                <w:rFonts w:ascii="Times New Roman" w:hAnsi="Times New Roman" w:cs="Times New Roman"/>
                <w:noProof/>
                <w:sz w:val="20"/>
                <w:szCs w:val="20"/>
              </w:rPr>
            </w:pPr>
            <w:r w:rsidRPr="00486446">
              <w:rPr>
                <w:rFonts w:ascii="Times New Roman" w:hAnsi="Times New Roman" w:cs="Times New Roman"/>
                <w:noProof/>
                <w:sz w:val="20"/>
                <w:szCs w:val="20"/>
                <w:lang w:eastAsia="en-GB"/>
              </w:rPr>
              <w:drawing>
                <wp:anchor distT="0" distB="0" distL="114300" distR="114300" simplePos="0" relativeHeight="251658243" behindDoc="0" locked="0" layoutInCell="1" allowOverlap="1" wp14:anchorId="0E22CC26" wp14:editId="67FE8493">
                  <wp:simplePos x="0" y="0"/>
                  <wp:positionH relativeFrom="column">
                    <wp:posOffset>0</wp:posOffset>
                  </wp:positionH>
                  <wp:positionV relativeFrom="paragraph">
                    <wp:posOffset>3258</wp:posOffset>
                  </wp:positionV>
                  <wp:extent cx="161925" cy="142875"/>
                  <wp:effectExtent l="0" t="0" r="9525" b="9525"/>
                  <wp:wrapSquare wrapText="bothSides"/>
                  <wp:docPr id="6938196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r:link="rId110"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446">
              <w:rPr>
                <w:rFonts w:ascii="Times New Roman" w:hAnsi="Times New Roman" w:cs="Times New Roman"/>
                <w:noProof/>
                <w:sz w:val="20"/>
                <w:szCs w:val="20"/>
              </w:rPr>
              <w:t xml:space="preserve"> </w:t>
            </w:r>
            <w:r>
              <w:rPr>
                <w:rFonts w:ascii="Times New Roman" w:hAnsi="Times New Roman" w:cs="Times New Roman"/>
                <w:noProof/>
                <w:sz w:val="20"/>
                <w:szCs w:val="20"/>
              </w:rPr>
              <w:t xml:space="preserve">Proposal adopted / </w:t>
            </w:r>
            <w:r w:rsidRPr="007B00AB">
              <w:rPr>
                <w:rFonts w:ascii="Times New Roman" w:hAnsi="Times New Roman" w:cs="Times New Roman"/>
                <w:noProof/>
                <w:sz w:val="20"/>
                <w:szCs w:val="20"/>
              </w:rPr>
              <w:t xml:space="preserve">For legal </w:t>
            </w:r>
            <w:r>
              <w:rPr>
                <w:rFonts w:ascii="Times New Roman" w:hAnsi="Times New Roman" w:cs="Times New Roman"/>
                <w:noProof/>
                <w:sz w:val="20"/>
                <w:szCs w:val="20"/>
              </w:rPr>
              <w:t>proposals</w:t>
            </w:r>
            <w:r w:rsidRPr="007B00AB">
              <w:rPr>
                <w:rFonts w:ascii="Times New Roman" w:hAnsi="Times New Roman" w:cs="Times New Roman"/>
                <w:noProof/>
                <w:sz w:val="20"/>
                <w:szCs w:val="20"/>
              </w:rPr>
              <w:t xml:space="preserve">, </w:t>
            </w:r>
            <w:r w:rsidRPr="007F4028">
              <w:rPr>
                <w:rFonts w:ascii="Times New Roman" w:hAnsi="Times New Roman" w:cs="Times New Roman"/>
                <w:noProof/>
                <w:sz w:val="20"/>
                <w:szCs w:val="20"/>
              </w:rPr>
              <w:t>indicates adoption by both the European Parliament and the Counci</w:t>
            </w:r>
            <w:r w:rsidR="0052713F">
              <w:rPr>
                <w:rFonts w:ascii="Times New Roman" w:hAnsi="Times New Roman" w:cs="Times New Roman"/>
                <w:noProof/>
                <w:sz w:val="20"/>
                <w:szCs w:val="20"/>
              </w:rPr>
              <w:t>l</w:t>
            </w:r>
          </w:p>
        </w:tc>
        <w:tc>
          <w:tcPr>
            <w:tcW w:w="4678" w:type="dxa"/>
          </w:tcPr>
          <w:p w14:paraId="44B47A86" w14:textId="77777777" w:rsidR="00F8235D" w:rsidRPr="00486446" w:rsidRDefault="00F8235D">
            <w:pPr>
              <w:suppressAutoHyphens w:val="0"/>
              <w:ind w:left="550" w:hanging="550"/>
              <w:rPr>
                <w:rFonts w:ascii="Times New Roman" w:hAnsi="Times New Roman" w:cs="Times New Roman"/>
                <w:noProof/>
                <w:sz w:val="20"/>
                <w:szCs w:val="20"/>
                <w:lang w:val="en-IE"/>
              </w:rPr>
            </w:pPr>
            <w:r w:rsidRPr="00486446">
              <w:rPr>
                <w:rFonts w:ascii="Times New Roman" w:hAnsi="Times New Roman" w:cs="Times New Roman"/>
                <w:noProof/>
                <w:sz w:val="20"/>
                <w:szCs w:val="20"/>
                <w:lang w:eastAsia="en-GB"/>
              </w:rPr>
              <w:drawing>
                <wp:anchor distT="0" distB="0" distL="114300" distR="114300" simplePos="0" relativeHeight="251658242" behindDoc="0" locked="0" layoutInCell="1" allowOverlap="1" wp14:anchorId="2A30F324" wp14:editId="32EC6998">
                  <wp:simplePos x="0" y="0"/>
                  <wp:positionH relativeFrom="column">
                    <wp:posOffset>-414</wp:posOffset>
                  </wp:positionH>
                  <wp:positionV relativeFrom="paragraph">
                    <wp:posOffset>3258</wp:posOffset>
                  </wp:positionV>
                  <wp:extent cx="209550" cy="209550"/>
                  <wp:effectExtent l="0" t="0" r="0" b="0"/>
                  <wp:wrapSquare wrapText="bothSides"/>
                  <wp:docPr id="1164133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r:link="rId112"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446">
              <w:rPr>
                <w:rFonts w:ascii="Times New Roman" w:hAnsi="Times New Roman" w:cs="Times New Roman"/>
                <w:noProof/>
                <w:sz w:val="20"/>
                <w:szCs w:val="20"/>
                <w:lang w:val="en-IE"/>
              </w:rPr>
              <w:t xml:space="preserve"> Legal proposal presented by the Commission and currently under adoption by the European Parliament and the Council</w:t>
            </w:r>
          </w:p>
        </w:tc>
      </w:tr>
    </w:tbl>
    <w:p w14:paraId="5F83E72E" w14:textId="77777777" w:rsidR="006812BE" w:rsidRDefault="006812BE">
      <w:pPr>
        <w:pStyle w:val="Source"/>
        <w:rPr>
          <w:noProof/>
          <w:color w:val="auto"/>
        </w:rPr>
        <w:sectPr w:rsidR="006812BE" w:rsidSect="0069005D">
          <w:headerReference w:type="even" r:id="rId113"/>
          <w:headerReference w:type="default" r:id="rId114"/>
          <w:footerReference w:type="even" r:id="rId115"/>
          <w:footerReference w:type="default" r:id="rId116"/>
          <w:headerReference w:type="first" r:id="rId117"/>
          <w:footerReference w:type="first" r:id="rId118"/>
          <w:endnotePr>
            <w:numFmt w:val="decimal"/>
          </w:endnotePr>
          <w:type w:val="continuous"/>
          <w:pgSz w:w="11906" w:h="16838"/>
          <w:pgMar w:top="1440" w:right="1440" w:bottom="1418" w:left="1440" w:header="709" w:footer="147" w:gutter="0"/>
          <w:cols w:space="720"/>
        </w:sectPr>
      </w:pPr>
    </w:p>
    <w:p w14:paraId="3D1A6E96" w14:textId="77777777" w:rsidR="00884241" w:rsidRPr="00486446" w:rsidRDefault="00884241">
      <w:pPr>
        <w:pStyle w:val="Source"/>
        <w:rPr>
          <w:noProof/>
          <w:color w:val="auto"/>
        </w:rPr>
      </w:pPr>
    </w:p>
    <w:p w14:paraId="7021C0A5" w14:textId="77777777" w:rsidR="006519F0" w:rsidRDefault="006519F0">
      <w:pPr>
        <w:pStyle w:val="Source"/>
        <w:rPr>
          <w:noProof/>
          <w:color w:val="auto"/>
          <w:lang w:val="en-IE"/>
        </w:rPr>
      </w:pPr>
    </w:p>
    <w:p w14:paraId="56BF248C" w14:textId="77777777" w:rsidR="00B15EE7" w:rsidRPr="00486446" w:rsidRDefault="00B15EE7">
      <w:pPr>
        <w:pStyle w:val="Source"/>
        <w:rPr>
          <w:b/>
          <w:noProof/>
          <w:sz w:val="32"/>
          <w:szCs w:val="32"/>
        </w:rPr>
      </w:pPr>
      <w:r>
        <w:rPr>
          <w:noProof/>
          <w:color w:val="auto"/>
          <w:lang w:val="en-IE"/>
        </w:rPr>
        <w:br w:type="page"/>
      </w:r>
    </w:p>
    <w:p w14:paraId="53C1AF87" w14:textId="406E30A5" w:rsidR="00454F38" w:rsidRPr="006C5955" w:rsidRDefault="00EC1DD9" w:rsidP="006E0577">
      <w:pPr>
        <w:pStyle w:val="Heading2"/>
        <w:numPr>
          <w:ilvl w:val="0"/>
          <w:numId w:val="33"/>
        </w:numPr>
        <w:spacing w:after="160" w:line="250" w:lineRule="auto"/>
        <w:rPr>
          <w:rFonts w:ascii="Times New Roman" w:hAnsi="Times New Roman"/>
          <w:b/>
          <w:noProof/>
          <w:color w:val="auto"/>
          <w:sz w:val="28"/>
          <w:szCs w:val="28"/>
          <w:lang w:val="en-IE"/>
        </w:rPr>
      </w:pPr>
      <w:bookmarkStart w:id="159" w:name="_Toc220103470"/>
      <w:r w:rsidRPr="002677E2">
        <w:rPr>
          <w:rFonts w:ascii="Times New Roman" w:hAnsi="Times New Roman"/>
          <w:b/>
          <w:noProof/>
          <w:color w:val="auto"/>
          <w:sz w:val="28"/>
          <w:szCs w:val="28"/>
          <w:lang w:val="en-IE"/>
        </w:rPr>
        <w:t xml:space="preserve">The Clean Industrial Deal: A joint roadmap for competitiveness and decarbonisation </w:t>
      </w:r>
      <w:r w:rsidRPr="002677E2">
        <w:rPr>
          <w:rFonts w:ascii="Times New Roman" w:hAnsi="Times New Roman"/>
          <w:bCs/>
          <w:noProof/>
          <w:color w:val="auto"/>
          <w:sz w:val="28"/>
          <w:szCs w:val="28"/>
          <w:lang w:val="en-IE"/>
        </w:rPr>
        <w:t>(</w:t>
      </w:r>
      <w:r w:rsidR="00974154">
        <w:rPr>
          <w:rFonts w:ascii="Times New Roman" w:hAnsi="Times New Roman"/>
          <w:bCs/>
          <w:noProof/>
          <w:color w:val="auto"/>
          <w:sz w:val="28"/>
          <w:szCs w:val="28"/>
          <w:lang w:val="en-IE"/>
        </w:rPr>
        <w:t xml:space="preserve">adopted on </w:t>
      </w:r>
      <w:r w:rsidRPr="002677E2">
        <w:rPr>
          <w:rFonts w:ascii="Times New Roman" w:hAnsi="Times New Roman"/>
          <w:bCs/>
          <w:noProof/>
          <w:color w:val="auto"/>
          <w:sz w:val="28"/>
          <w:szCs w:val="28"/>
          <w:lang w:val="en-IE"/>
        </w:rPr>
        <w:t>26 February 2025)</w:t>
      </w:r>
      <w:r w:rsidR="00D70365" w:rsidRPr="006E0577">
        <w:rPr>
          <w:rStyle w:val="EndnoteReference"/>
          <w:rFonts w:ascii="Times New Roman" w:hAnsi="Times New Roman"/>
          <w:bCs/>
          <w:noProof/>
          <w:color w:val="auto"/>
          <w:sz w:val="28"/>
          <w:szCs w:val="28"/>
          <w:lang w:val="en-IE"/>
        </w:rPr>
        <w:endnoteReference w:id="44"/>
      </w:r>
      <w:bookmarkEnd w:id="159"/>
    </w:p>
    <w:p w14:paraId="2D73D673" w14:textId="59796815" w:rsidR="00884241" w:rsidRPr="001F2787" w:rsidRDefault="001F2787" w:rsidP="006E0577">
      <w:pPr>
        <w:pStyle w:val="Source"/>
        <w:spacing w:line="250" w:lineRule="auto"/>
        <w:rPr>
          <w:noProof/>
          <w:color w:val="auto"/>
          <w:sz w:val="24"/>
          <w:szCs w:val="24"/>
        </w:rPr>
      </w:pPr>
      <w:r w:rsidRPr="001F2787">
        <w:rPr>
          <w:noProof/>
          <w:color w:val="auto"/>
          <w:sz w:val="24"/>
          <w:szCs w:val="24"/>
        </w:rPr>
        <w:t>The expected  timelines of the actions have been updated in view of most recent developments</w:t>
      </w:r>
      <w:r>
        <w:rPr>
          <w:noProof/>
          <w:color w:val="auto"/>
          <w:sz w:val="24"/>
          <w:szCs w:val="24"/>
        </w:rPr>
        <w:t>.</w:t>
      </w:r>
    </w:p>
    <w:tbl>
      <w:tblPr>
        <w:tblStyle w:val="TableGrid3"/>
        <w:tblW w:w="9356" w:type="dxa"/>
        <w:tblInd w:w="-5" w:type="dxa"/>
        <w:tblLook w:val="04A0" w:firstRow="1" w:lastRow="0" w:firstColumn="1" w:lastColumn="0" w:noHBand="0" w:noVBand="1"/>
      </w:tblPr>
      <w:tblGrid>
        <w:gridCol w:w="975"/>
        <w:gridCol w:w="6113"/>
        <w:gridCol w:w="2268"/>
      </w:tblGrid>
      <w:tr w:rsidR="00F86B39" w:rsidRPr="00323814" w14:paraId="2BA2F902" w14:textId="77777777" w:rsidTr="006E0577">
        <w:trPr>
          <w:trHeight w:val="397"/>
        </w:trPr>
        <w:tc>
          <w:tcPr>
            <w:tcW w:w="975" w:type="dxa"/>
            <w:shd w:val="clear" w:color="auto" w:fill="8DB3E2"/>
            <w:vAlign w:val="center"/>
          </w:tcPr>
          <w:p w14:paraId="5945A710" w14:textId="77777777" w:rsidR="00F86B39" w:rsidRPr="00323814" w:rsidRDefault="00F86B39">
            <w:pPr>
              <w:suppressAutoHyphens w:val="0"/>
              <w:jc w:val="center"/>
              <w:rPr>
                <w:rFonts w:ascii="Times New Roman" w:hAnsi="Times New Roman" w:cs="Times New Roman"/>
                <w:b/>
                <w:noProof/>
                <w:highlight w:val="yellow"/>
                <w:lang w:val="en-IE"/>
              </w:rPr>
            </w:pPr>
            <w:r w:rsidRPr="00323814">
              <w:rPr>
                <w:rFonts w:ascii="Times New Roman" w:hAnsi="Times New Roman" w:cs="Times New Roman"/>
                <w:b/>
                <w:noProof/>
                <w:lang w:val="en-IE"/>
              </w:rPr>
              <w:t>Status</w:t>
            </w:r>
          </w:p>
        </w:tc>
        <w:tc>
          <w:tcPr>
            <w:tcW w:w="6113" w:type="dxa"/>
            <w:shd w:val="clear" w:color="auto" w:fill="8DB3E2"/>
            <w:vAlign w:val="center"/>
          </w:tcPr>
          <w:p w14:paraId="6026FDD5" w14:textId="6C52756B" w:rsidR="00F86B39" w:rsidRPr="00323814" w:rsidRDefault="005B379C">
            <w:pPr>
              <w:suppressAutoHyphens w:val="0"/>
              <w:rPr>
                <w:rFonts w:ascii="Times New Roman" w:hAnsi="Times New Roman" w:cs="Times New Roman"/>
                <w:b/>
                <w:noProof/>
                <w:lang w:val="en-IE"/>
              </w:rPr>
            </w:pPr>
            <w:r w:rsidRPr="00323814">
              <w:rPr>
                <w:rFonts w:ascii="Times New Roman" w:hAnsi="Times New Roman" w:cs="Times New Roman"/>
                <w:b/>
                <w:noProof/>
                <w:lang w:val="en-IE"/>
              </w:rPr>
              <w:t>Access to affordable energy and infrastructure</w:t>
            </w:r>
          </w:p>
        </w:tc>
        <w:tc>
          <w:tcPr>
            <w:tcW w:w="2268" w:type="dxa"/>
            <w:shd w:val="clear" w:color="auto" w:fill="8DB3E2"/>
            <w:vAlign w:val="center"/>
          </w:tcPr>
          <w:p w14:paraId="52E4B93B" w14:textId="77777777" w:rsidR="00F86B39" w:rsidRPr="00323814" w:rsidRDefault="00F86B39">
            <w:pPr>
              <w:suppressAutoHyphens w:val="0"/>
              <w:jc w:val="center"/>
              <w:rPr>
                <w:rFonts w:ascii="Times New Roman" w:hAnsi="Times New Roman" w:cs="Times New Roman"/>
                <w:b/>
                <w:noProof/>
                <w:lang w:val="en-IE"/>
              </w:rPr>
            </w:pPr>
            <w:r w:rsidRPr="00323814">
              <w:rPr>
                <w:rFonts w:ascii="Times New Roman" w:hAnsi="Times New Roman" w:cs="Times New Roman"/>
                <w:b/>
                <w:noProof/>
                <w:lang w:val="en-IE"/>
              </w:rPr>
              <w:t>Timeline</w:t>
            </w:r>
          </w:p>
        </w:tc>
      </w:tr>
      <w:tr w:rsidR="00486446" w:rsidRPr="00486446" w14:paraId="6D29924A" w14:textId="77777777" w:rsidTr="006E0577">
        <w:trPr>
          <w:trHeight w:val="397"/>
        </w:trPr>
        <w:tc>
          <w:tcPr>
            <w:tcW w:w="975" w:type="dxa"/>
            <w:shd w:val="clear" w:color="auto" w:fill="C2D69B"/>
            <w:vAlign w:val="center"/>
          </w:tcPr>
          <w:p w14:paraId="332C5264" w14:textId="55B8DC3E" w:rsidR="000112B5" w:rsidRPr="0065549F" w:rsidRDefault="006D6016"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6E4B85F8" wp14:editId="43E1E638">
                  <wp:extent cx="164465" cy="146050"/>
                  <wp:effectExtent l="0" t="0" r="6985" b="6350"/>
                  <wp:docPr id="15316843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46619FB8" w14:textId="5E4D0F2B"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Action Plan on Affordable </w:t>
            </w:r>
            <w:r w:rsidRPr="0041149E">
              <w:rPr>
                <w:rFonts w:ascii="Times New Roman" w:hAnsi="Times New Roman" w:cs="Times New Roman"/>
                <w:noProof/>
                <w:sz w:val="20"/>
                <w:szCs w:val="20"/>
                <w:lang w:val="en-IE"/>
              </w:rPr>
              <w:t>Energy</w:t>
            </w:r>
            <w:r w:rsidR="001F7858">
              <w:rPr>
                <w:rStyle w:val="EndnoteReference"/>
                <w:rFonts w:ascii="Times New Roman" w:hAnsi="Times New Roman" w:cs="Times New Roman"/>
                <w:noProof/>
                <w:sz w:val="20"/>
                <w:szCs w:val="20"/>
                <w:lang w:val="en-IE"/>
              </w:rPr>
              <w:endnoteReference w:id="45"/>
            </w:r>
          </w:p>
        </w:tc>
        <w:tc>
          <w:tcPr>
            <w:tcW w:w="2268" w:type="dxa"/>
            <w:shd w:val="clear" w:color="auto" w:fill="C2D69B"/>
            <w:vAlign w:val="center"/>
          </w:tcPr>
          <w:p w14:paraId="2A392412" w14:textId="77777777"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26 February 2025</w:t>
            </w:r>
          </w:p>
        </w:tc>
      </w:tr>
      <w:tr w:rsidR="00486446" w:rsidRPr="00486446" w14:paraId="51E8CF2B" w14:textId="77777777" w:rsidTr="006E0577">
        <w:trPr>
          <w:trHeight w:val="397"/>
        </w:trPr>
        <w:tc>
          <w:tcPr>
            <w:tcW w:w="975" w:type="dxa"/>
            <w:shd w:val="clear" w:color="auto" w:fill="C2D69B"/>
            <w:vAlign w:val="center"/>
          </w:tcPr>
          <w:p w14:paraId="6EDE1339" w14:textId="1E34F212" w:rsidR="000112B5" w:rsidRPr="0065549F" w:rsidRDefault="006D6016"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01D5801E" wp14:editId="71DBF438">
                  <wp:extent cx="164465" cy="146050"/>
                  <wp:effectExtent l="0" t="0" r="6985" b="6350"/>
                  <wp:docPr id="5462584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589452BD" w14:textId="4D4BCDAC"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EIB pilot offering financial guarantees for PPA offtakers, with a focus on SMEs and energy-intensive industry</w:t>
            </w:r>
            <w:bookmarkStart w:id="160" w:name="_Ref219298927"/>
            <w:r w:rsidR="00430C62">
              <w:rPr>
                <w:rStyle w:val="EndnoteReference"/>
                <w:rFonts w:ascii="Times New Roman" w:hAnsi="Times New Roman" w:cs="Times New Roman"/>
                <w:noProof/>
                <w:sz w:val="20"/>
                <w:szCs w:val="20"/>
                <w:lang w:val="en-IE"/>
              </w:rPr>
              <w:endnoteReference w:id="46"/>
            </w:r>
            <w:bookmarkEnd w:id="160"/>
          </w:p>
        </w:tc>
        <w:tc>
          <w:tcPr>
            <w:tcW w:w="2268" w:type="dxa"/>
            <w:shd w:val="clear" w:color="auto" w:fill="C2D69B"/>
            <w:vAlign w:val="center"/>
          </w:tcPr>
          <w:p w14:paraId="4D36FF31" w14:textId="277A9526"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20 June 2025</w:t>
            </w:r>
          </w:p>
        </w:tc>
      </w:tr>
      <w:tr w:rsidR="00486446" w:rsidRPr="00486446" w14:paraId="0F9A7ABB" w14:textId="77777777" w:rsidTr="006E0577">
        <w:trPr>
          <w:trHeight w:val="397"/>
        </w:trPr>
        <w:tc>
          <w:tcPr>
            <w:tcW w:w="975" w:type="dxa"/>
            <w:shd w:val="clear" w:color="auto" w:fill="C2D69B"/>
            <w:vAlign w:val="center"/>
          </w:tcPr>
          <w:p w14:paraId="6B6092B0" w14:textId="4FC5A173" w:rsidR="000112B5" w:rsidRPr="0065549F" w:rsidRDefault="00E270A7" w:rsidP="0065549F">
            <w:pPr>
              <w:suppressAutoHyphens w:val="0"/>
              <w:jc w:val="center"/>
              <w:rPr>
                <w:rFonts w:ascii="Times New Roman" w:hAnsi="Times New Roman" w:cs="Times New Roman"/>
                <w:noProof/>
                <w:sz w:val="20"/>
                <w:szCs w:val="20"/>
                <w:highlight w:val="yellow"/>
                <w:lang w:val="en-IE"/>
              </w:rPr>
            </w:pPr>
            <w:r>
              <w:rPr>
                <w:rFonts w:ascii="Times New Roman" w:hAnsi="Times New Roman" w:cs="Times New Roman"/>
                <w:noProof/>
                <w:kern w:val="3"/>
                <w:sz w:val="20"/>
                <w:szCs w:val="20"/>
                <w:lang w:val="en-GB"/>
                <w14:ligatures w14:val="none"/>
              </w:rPr>
              <w:pict w14:anchorId="640DF95B">
                <v:shape id="_x0000_i1027" type="#_x0000_t75" style="width:11.4pt;height:10.2pt;visibility:visible">
                  <v:imagedata r:id="rId119" o:title=""/>
                </v:shape>
              </w:pict>
            </w:r>
          </w:p>
        </w:tc>
        <w:tc>
          <w:tcPr>
            <w:tcW w:w="6113" w:type="dxa"/>
            <w:shd w:val="clear" w:color="auto" w:fill="C2D69B"/>
            <w:vAlign w:val="center"/>
          </w:tcPr>
          <w:p w14:paraId="72E8639E" w14:textId="154663F4" w:rsidR="000112B5" w:rsidRPr="0065549F" w:rsidRDefault="000112B5" w:rsidP="000112B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lang w:val="en-IE"/>
              </w:rPr>
              <w:t>Legislative proposal on the extension of the Gas Storage Regulation</w:t>
            </w:r>
            <w:r w:rsidR="0041149E">
              <w:rPr>
                <w:rStyle w:val="EndnoteReference"/>
                <w:rFonts w:ascii="Times New Roman" w:hAnsi="Times New Roman" w:cs="Times New Roman"/>
                <w:noProof/>
                <w:sz w:val="20"/>
                <w:szCs w:val="20"/>
                <w:lang w:val="en-IE"/>
              </w:rPr>
              <w:endnoteReference w:id="47"/>
            </w:r>
          </w:p>
        </w:tc>
        <w:tc>
          <w:tcPr>
            <w:tcW w:w="2268" w:type="dxa"/>
            <w:shd w:val="clear" w:color="auto" w:fill="C2D69B"/>
            <w:vAlign w:val="center"/>
          </w:tcPr>
          <w:p w14:paraId="5842A400" w14:textId="77777777" w:rsidR="000112B5" w:rsidRPr="0065549F" w:rsidRDefault="000112B5" w:rsidP="000112B5">
            <w:pPr>
              <w:suppressAutoHyphens w:val="0"/>
              <w:jc w:val="center"/>
              <w:rPr>
                <w:rFonts w:ascii="Times New Roman" w:hAnsi="Times New Roman" w:cs="Times New Roman"/>
                <w:noProof/>
                <w:sz w:val="20"/>
                <w:szCs w:val="20"/>
              </w:rPr>
            </w:pPr>
            <w:r w:rsidRPr="0065549F">
              <w:rPr>
                <w:rFonts w:ascii="Times New Roman" w:hAnsi="Times New Roman" w:cs="Times New Roman"/>
                <w:noProof/>
                <w:sz w:val="20"/>
                <w:szCs w:val="20"/>
                <w:lang w:val="en-IE"/>
              </w:rPr>
              <w:t>5 March 2025</w:t>
            </w:r>
          </w:p>
        </w:tc>
      </w:tr>
      <w:tr w:rsidR="00486446" w:rsidRPr="00486446" w14:paraId="420A2FB1" w14:textId="77777777" w:rsidTr="006E0577">
        <w:trPr>
          <w:trHeight w:val="397"/>
        </w:trPr>
        <w:tc>
          <w:tcPr>
            <w:tcW w:w="975" w:type="dxa"/>
            <w:shd w:val="clear" w:color="auto" w:fill="C2D69B"/>
            <w:vAlign w:val="center"/>
          </w:tcPr>
          <w:p w14:paraId="34630C89" w14:textId="035554AE" w:rsidR="000112B5" w:rsidRPr="0065549F" w:rsidRDefault="006D6016"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5BDC5A0B" wp14:editId="16F3000B">
                  <wp:extent cx="164465" cy="146050"/>
                  <wp:effectExtent l="0" t="0" r="6985" b="6350"/>
                  <wp:docPr id="3356320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56E4AAE0" w14:textId="06019A0E"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Clean Industrial Deal State </w:t>
            </w:r>
            <w:r w:rsidR="003800C2">
              <w:rPr>
                <w:rFonts w:ascii="Times New Roman" w:hAnsi="Times New Roman" w:cs="Times New Roman"/>
                <w:noProof/>
                <w:sz w:val="20"/>
                <w:szCs w:val="20"/>
                <w:lang w:val="en-IE"/>
              </w:rPr>
              <w:t>a</w:t>
            </w:r>
            <w:r w:rsidR="00E55743" w:rsidRPr="0065549F">
              <w:rPr>
                <w:rFonts w:ascii="Times New Roman" w:hAnsi="Times New Roman" w:cs="Times New Roman"/>
                <w:noProof/>
                <w:sz w:val="20"/>
                <w:szCs w:val="20"/>
                <w:lang w:val="en-IE"/>
              </w:rPr>
              <w:t xml:space="preserve">id </w:t>
            </w:r>
            <w:r w:rsidRPr="0065549F">
              <w:rPr>
                <w:rFonts w:ascii="Times New Roman" w:hAnsi="Times New Roman" w:cs="Times New Roman"/>
                <w:noProof/>
                <w:sz w:val="20"/>
                <w:szCs w:val="20"/>
                <w:lang w:val="en-IE"/>
              </w:rPr>
              <w:t>framework</w:t>
            </w:r>
            <w:r w:rsidR="00E55743">
              <w:rPr>
                <w:rFonts w:ascii="Times New Roman" w:hAnsi="Times New Roman" w:cs="Times New Roman"/>
                <w:noProof/>
                <w:sz w:val="20"/>
                <w:szCs w:val="20"/>
                <w:lang w:val="en-IE"/>
              </w:rPr>
              <w:t xml:space="preserve"> </w:t>
            </w:r>
            <w:r w:rsidR="003800C2">
              <w:rPr>
                <w:rFonts w:ascii="Times New Roman" w:hAnsi="Times New Roman" w:cs="Times New Roman"/>
                <w:noProof/>
                <w:sz w:val="20"/>
                <w:szCs w:val="20"/>
                <w:lang w:val="en-IE"/>
              </w:rPr>
              <w:t>(CISAF)</w:t>
            </w:r>
            <w:r w:rsidR="005B7D05">
              <w:rPr>
                <w:rStyle w:val="EndnoteReference"/>
                <w:rFonts w:ascii="Times New Roman" w:hAnsi="Times New Roman" w:cs="Times New Roman"/>
                <w:noProof/>
                <w:sz w:val="20"/>
                <w:szCs w:val="20"/>
                <w:lang w:val="en-IE"/>
              </w:rPr>
              <w:endnoteReference w:id="48"/>
            </w:r>
            <w:r w:rsidR="00015545" w:rsidRPr="0065549F">
              <w:rPr>
                <w:rFonts w:ascii="Times New Roman" w:hAnsi="Times New Roman" w:cs="Times New Roman"/>
                <w:noProof/>
                <w:sz w:val="20"/>
                <w:szCs w:val="20"/>
                <w:lang w:val="en-IE"/>
              </w:rPr>
              <w:t xml:space="preserve"> </w:t>
            </w:r>
          </w:p>
        </w:tc>
        <w:tc>
          <w:tcPr>
            <w:tcW w:w="2268" w:type="dxa"/>
            <w:shd w:val="clear" w:color="auto" w:fill="C2D69B"/>
            <w:vAlign w:val="center"/>
          </w:tcPr>
          <w:p w14:paraId="1D7C3BAD" w14:textId="77777777"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25 June 2025</w:t>
            </w:r>
          </w:p>
        </w:tc>
      </w:tr>
      <w:tr w:rsidR="00486446" w:rsidRPr="00486446" w14:paraId="2200A5DE" w14:textId="77777777" w:rsidTr="006E0577">
        <w:trPr>
          <w:trHeight w:val="397"/>
        </w:trPr>
        <w:tc>
          <w:tcPr>
            <w:tcW w:w="975" w:type="dxa"/>
            <w:shd w:val="clear" w:color="auto" w:fill="C2D69B"/>
            <w:vAlign w:val="center"/>
          </w:tcPr>
          <w:p w14:paraId="1BD47CF5" w14:textId="4463D6C5" w:rsidR="000112B5" w:rsidRPr="0065549F" w:rsidRDefault="006D6016"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2BD683D5" wp14:editId="5237DE9C">
                  <wp:extent cx="164465" cy="146050"/>
                  <wp:effectExtent l="0" t="0" r="6985" b="6350"/>
                  <wp:docPr id="648217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41CA8CCF" w14:textId="292293F6" w:rsidR="000112B5" w:rsidRPr="0065549F" w:rsidRDefault="000112B5" w:rsidP="000112B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lang w:val="en-IE"/>
              </w:rPr>
              <w:t xml:space="preserve">Recommendation on network charges </w:t>
            </w:r>
            <w:r w:rsidR="002C5A76">
              <w:rPr>
                <w:rStyle w:val="EndnoteReference"/>
                <w:rFonts w:ascii="Times New Roman" w:hAnsi="Times New Roman" w:cs="Times New Roman"/>
                <w:noProof/>
                <w:sz w:val="20"/>
                <w:szCs w:val="20"/>
                <w:lang w:val="en-IE"/>
              </w:rPr>
              <w:endnoteReference w:id="49"/>
            </w:r>
          </w:p>
        </w:tc>
        <w:tc>
          <w:tcPr>
            <w:tcW w:w="2268" w:type="dxa"/>
            <w:shd w:val="clear" w:color="auto" w:fill="C2D69B"/>
            <w:vAlign w:val="center"/>
          </w:tcPr>
          <w:p w14:paraId="1288B7D2" w14:textId="77777777" w:rsidR="000112B5" w:rsidRPr="0065549F" w:rsidRDefault="000112B5" w:rsidP="000112B5">
            <w:pPr>
              <w:suppressAutoHyphens w:val="0"/>
              <w:jc w:val="center"/>
              <w:rPr>
                <w:rFonts w:ascii="Times New Roman" w:hAnsi="Times New Roman" w:cs="Times New Roman"/>
                <w:noProof/>
                <w:sz w:val="20"/>
                <w:szCs w:val="20"/>
              </w:rPr>
            </w:pPr>
            <w:r w:rsidRPr="0065549F">
              <w:rPr>
                <w:rFonts w:ascii="Times New Roman" w:hAnsi="Times New Roman" w:cs="Times New Roman"/>
                <w:noProof/>
                <w:sz w:val="20"/>
                <w:szCs w:val="20"/>
                <w:lang w:val="en-IE"/>
              </w:rPr>
              <w:t>2 July 2025</w:t>
            </w:r>
          </w:p>
        </w:tc>
      </w:tr>
      <w:tr w:rsidR="00486446" w:rsidRPr="00486446" w14:paraId="0ADB25A9" w14:textId="77777777" w:rsidTr="006E0577">
        <w:trPr>
          <w:trHeight w:val="397"/>
        </w:trPr>
        <w:tc>
          <w:tcPr>
            <w:tcW w:w="975" w:type="dxa"/>
            <w:vAlign w:val="center"/>
          </w:tcPr>
          <w:p w14:paraId="0DE8006E" w14:textId="77777777" w:rsidR="000112B5" w:rsidRPr="006E0577" w:rsidRDefault="000112B5" w:rsidP="0065549F">
            <w:pPr>
              <w:suppressAutoHyphens w:val="0"/>
              <w:jc w:val="center"/>
              <w:rPr>
                <w:rFonts w:ascii="Times New Roman" w:hAnsi="Times New Roman" w:cs="Times New Roman"/>
                <w:noProof/>
                <w:sz w:val="20"/>
                <w:szCs w:val="20"/>
                <w:lang w:val="en-IE"/>
              </w:rPr>
            </w:pPr>
          </w:p>
        </w:tc>
        <w:tc>
          <w:tcPr>
            <w:tcW w:w="6113" w:type="dxa"/>
            <w:vAlign w:val="center"/>
          </w:tcPr>
          <w:p w14:paraId="18653A14" w14:textId="77777777"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Industrial Accelerator Act: </w:t>
            </w:r>
          </w:p>
          <w:p w14:paraId="7E71DAFE" w14:textId="3DD5801D" w:rsidR="000112B5" w:rsidRPr="0065549F" w:rsidRDefault="0000259F" w:rsidP="000112B5">
            <w:pPr>
              <w:numPr>
                <w:ilvl w:val="0"/>
                <w:numId w:val="30"/>
              </w:numPr>
              <w:suppressAutoHyphens w:val="0"/>
              <w:ind w:left="737"/>
              <w:contextualSpacing/>
              <w:rPr>
                <w:rFonts w:ascii="Times New Roman" w:hAnsi="Times New Roman" w:cs="Times New Roman"/>
                <w:noProof/>
                <w:sz w:val="20"/>
                <w:szCs w:val="20"/>
              </w:rPr>
            </w:pPr>
            <w:r w:rsidRPr="006E0577">
              <w:rPr>
                <w:rFonts w:ascii="Times New Roman" w:hAnsi="Times New Roman" w:cs="Times New Roman"/>
                <w:noProof/>
                <w:sz w:val="20"/>
                <w:szCs w:val="20"/>
                <w:lang w:val="en-IE"/>
              </w:rPr>
              <w:t>s</w:t>
            </w:r>
            <w:r w:rsidR="000112B5" w:rsidRPr="006E0577">
              <w:rPr>
                <w:rFonts w:ascii="Times New Roman" w:hAnsi="Times New Roman" w:cs="Times New Roman"/>
                <w:noProof/>
                <w:sz w:val="20"/>
                <w:szCs w:val="20"/>
                <w:lang w:val="en-IE"/>
              </w:rPr>
              <w:t>peed-up permitting for industrial access to energy and industrial decarbonisation</w:t>
            </w:r>
            <w:r w:rsidR="000112B5" w:rsidRPr="0065549F">
              <w:rPr>
                <w:rFonts w:ascii="Times New Roman" w:hAnsi="Times New Roman" w:cs="Times New Roman"/>
                <w:noProof/>
                <w:sz w:val="20"/>
                <w:szCs w:val="20"/>
                <w:lang w:val="en-IE"/>
              </w:rPr>
              <w:t xml:space="preserve"> </w:t>
            </w:r>
          </w:p>
        </w:tc>
        <w:tc>
          <w:tcPr>
            <w:tcW w:w="2268" w:type="dxa"/>
            <w:vAlign w:val="center"/>
          </w:tcPr>
          <w:p w14:paraId="70EB3848" w14:textId="43FBA9CB" w:rsidR="000112B5" w:rsidRPr="006E0577" w:rsidRDefault="00E227F2" w:rsidP="000112B5">
            <w:pPr>
              <w:suppressAutoHyphens w:val="0"/>
              <w:jc w:val="center"/>
              <w:rPr>
                <w:rFonts w:ascii="Times New Roman" w:hAnsi="Times New Roman" w:cs="Times New Roman"/>
                <w:noProof/>
                <w:sz w:val="20"/>
                <w:szCs w:val="20"/>
              </w:rPr>
            </w:pPr>
            <w:r w:rsidRPr="006E0577">
              <w:rPr>
                <w:rFonts w:ascii="Times New Roman" w:hAnsi="Times New Roman" w:cs="Times New Roman"/>
                <w:noProof/>
                <w:sz w:val="20"/>
                <w:szCs w:val="20"/>
                <w:lang w:val="en-IE"/>
              </w:rPr>
              <w:t>Q1</w:t>
            </w:r>
            <w:r w:rsidR="00F265A9" w:rsidRPr="006E0577">
              <w:rPr>
                <w:rFonts w:ascii="Times New Roman" w:hAnsi="Times New Roman" w:cs="Times New Roman"/>
                <w:noProof/>
                <w:sz w:val="20"/>
                <w:szCs w:val="20"/>
                <w:lang w:val="en-IE"/>
              </w:rPr>
              <w:t xml:space="preserve"> 2026</w:t>
            </w:r>
          </w:p>
        </w:tc>
      </w:tr>
      <w:tr w:rsidR="00486446" w:rsidRPr="00486446" w14:paraId="687FB43E" w14:textId="77777777" w:rsidTr="006E0577">
        <w:trPr>
          <w:trHeight w:val="397"/>
        </w:trPr>
        <w:tc>
          <w:tcPr>
            <w:tcW w:w="975" w:type="dxa"/>
            <w:vAlign w:val="center"/>
          </w:tcPr>
          <w:p w14:paraId="14406F7B" w14:textId="77777777" w:rsidR="000112B5" w:rsidRPr="0065549F" w:rsidRDefault="000112B5" w:rsidP="0065549F">
            <w:pPr>
              <w:suppressAutoHyphens w:val="0"/>
              <w:jc w:val="center"/>
              <w:rPr>
                <w:rFonts w:ascii="Times New Roman" w:hAnsi="Times New Roman" w:cs="Times New Roman"/>
                <w:noProof/>
                <w:sz w:val="20"/>
                <w:szCs w:val="20"/>
                <w:highlight w:val="yellow"/>
                <w:lang w:val="en-IE"/>
              </w:rPr>
            </w:pPr>
          </w:p>
        </w:tc>
        <w:tc>
          <w:tcPr>
            <w:tcW w:w="6113" w:type="dxa"/>
            <w:vAlign w:val="center"/>
          </w:tcPr>
          <w:p w14:paraId="0701862C" w14:textId="77777777" w:rsidR="000112B5" w:rsidRPr="0065549F" w:rsidRDefault="000112B5" w:rsidP="000112B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lang w:val="en-IE"/>
              </w:rPr>
              <w:t xml:space="preserve">Recommendation on energy taxation </w:t>
            </w:r>
          </w:p>
        </w:tc>
        <w:tc>
          <w:tcPr>
            <w:tcW w:w="2268" w:type="dxa"/>
            <w:vAlign w:val="center"/>
          </w:tcPr>
          <w:p w14:paraId="6084FA35" w14:textId="2918E7DC" w:rsidR="000112B5" w:rsidRPr="007144C0" w:rsidRDefault="00FE4B3F" w:rsidP="000112B5">
            <w:pPr>
              <w:suppressAutoHyphens w:val="0"/>
              <w:jc w:val="center"/>
              <w:rPr>
                <w:rFonts w:ascii="Times New Roman" w:hAnsi="Times New Roman" w:cs="Times New Roman"/>
                <w:noProof/>
                <w:sz w:val="20"/>
                <w:szCs w:val="20"/>
                <w:highlight w:val="yellow"/>
              </w:rPr>
            </w:pPr>
            <w:r w:rsidRPr="00BD04DD">
              <w:rPr>
                <w:rFonts w:ascii="Times New Roman" w:hAnsi="Times New Roman" w:cs="Times New Roman"/>
                <w:noProof/>
                <w:sz w:val="20"/>
                <w:szCs w:val="20"/>
                <w:lang w:val="en-IE"/>
              </w:rPr>
              <w:t>Q1 202</w:t>
            </w:r>
            <w:r w:rsidR="00593618">
              <w:rPr>
                <w:rFonts w:ascii="Times New Roman" w:hAnsi="Times New Roman" w:cs="Times New Roman"/>
                <w:noProof/>
                <w:sz w:val="20"/>
                <w:szCs w:val="20"/>
                <w:lang w:val="en-IE"/>
              </w:rPr>
              <w:t>6</w:t>
            </w:r>
          </w:p>
        </w:tc>
      </w:tr>
      <w:tr w:rsidR="00486446" w:rsidRPr="00486446" w14:paraId="37DC2C50" w14:textId="77777777" w:rsidTr="006E0577">
        <w:trPr>
          <w:trHeight w:val="397"/>
        </w:trPr>
        <w:tc>
          <w:tcPr>
            <w:tcW w:w="975" w:type="dxa"/>
            <w:shd w:val="clear" w:color="auto" w:fill="C2D69B"/>
            <w:vAlign w:val="center"/>
          </w:tcPr>
          <w:p w14:paraId="0632AB6F" w14:textId="1F35CB79" w:rsidR="000112B5" w:rsidRPr="0065549F" w:rsidRDefault="00D26F78" w:rsidP="0065549F">
            <w:pPr>
              <w:suppressAutoHyphens w:val="0"/>
              <w:jc w:val="center"/>
              <w:rPr>
                <w:rFonts w:ascii="Times New Roman" w:hAnsi="Times New Roman" w:cs="Times New Roman"/>
                <w:noProof/>
                <w:sz w:val="20"/>
                <w:szCs w:val="20"/>
                <w:highlight w:val="yellow"/>
                <w:lang w:val="en-IE"/>
              </w:rPr>
            </w:pPr>
            <w:r w:rsidRPr="0065549F">
              <w:rPr>
                <w:rFonts w:ascii="Times New Roman" w:hAnsi="Times New Roman" w:cs="Times New Roman"/>
                <w:noProof/>
                <w:sz w:val="20"/>
                <w:szCs w:val="20"/>
                <w:lang w:eastAsia="en-GB"/>
              </w:rPr>
              <w:drawing>
                <wp:inline distT="0" distB="0" distL="0" distR="0" wp14:anchorId="6DCBA8B3" wp14:editId="3913C504">
                  <wp:extent cx="164465" cy="146050"/>
                  <wp:effectExtent l="0" t="0" r="6985" b="6350"/>
                  <wp:docPr id="19877215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60E76CEE" w14:textId="5F58AD99"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Guidance on CfD design, including on combining CfDs and PPAs</w:t>
            </w:r>
            <w:r w:rsidR="001C2E85">
              <w:rPr>
                <w:rStyle w:val="EndnoteReference"/>
                <w:rFonts w:ascii="Times New Roman" w:hAnsi="Times New Roman" w:cs="Times New Roman"/>
                <w:noProof/>
                <w:sz w:val="20"/>
                <w:szCs w:val="20"/>
                <w:lang w:val="en-IE"/>
              </w:rPr>
              <w:endnoteReference w:id="50"/>
            </w:r>
          </w:p>
        </w:tc>
        <w:tc>
          <w:tcPr>
            <w:tcW w:w="2268" w:type="dxa"/>
            <w:shd w:val="clear" w:color="auto" w:fill="C2D69B"/>
            <w:vAlign w:val="center"/>
          </w:tcPr>
          <w:p w14:paraId="294ADBBA" w14:textId="5121C177" w:rsidR="000112B5" w:rsidRPr="007144C0" w:rsidRDefault="00162C73" w:rsidP="000112B5">
            <w:pPr>
              <w:suppressAutoHyphens w:val="0"/>
              <w:jc w:val="center"/>
              <w:rPr>
                <w:rFonts w:ascii="Times New Roman" w:hAnsi="Times New Roman" w:cs="Times New Roman"/>
                <w:noProof/>
                <w:sz w:val="20"/>
                <w:szCs w:val="20"/>
                <w:highlight w:val="yellow"/>
                <w:lang w:val="en-IE"/>
              </w:rPr>
            </w:pPr>
            <w:r w:rsidRPr="00D26F78">
              <w:rPr>
                <w:rFonts w:ascii="Times New Roman" w:hAnsi="Times New Roman" w:cs="Times New Roman"/>
                <w:noProof/>
                <w:sz w:val="20"/>
                <w:szCs w:val="20"/>
                <w:lang w:val="en-IE"/>
              </w:rPr>
              <w:t>10 Decemeber 2025</w:t>
            </w:r>
          </w:p>
        </w:tc>
      </w:tr>
      <w:tr w:rsidR="00486446" w:rsidRPr="00486446" w14:paraId="4052300C" w14:textId="77777777" w:rsidTr="006E0577">
        <w:trPr>
          <w:trHeight w:val="397"/>
        </w:trPr>
        <w:tc>
          <w:tcPr>
            <w:tcW w:w="975" w:type="dxa"/>
            <w:vAlign w:val="center"/>
          </w:tcPr>
          <w:p w14:paraId="149CC651" w14:textId="77777777" w:rsidR="000112B5" w:rsidRPr="0065549F" w:rsidRDefault="000112B5" w:rsidP="0065549F">
            <w:pPr>
              <w:suppressAutoHyphens w:val="0"/>
              <w:jc w:val="center"/>
              <w:rPr>
                <w:rFonts w:ascii="Times New Roman" w:hAnsi="Times New Roman" w:cs="Times New Roman"/>
                <w:noProof/>
                <w:sz w:val="20"/>
                <w:szCs w:val="20"/>
                <w:highlight w:val="yellow"/>
                <w:lang w:val="en-IE"/>
              </w:rPr>
            </w:pPr>
          </w:p>
        </w:tc>
        <w:tc>
          <w:tcPr>
            <w:tcW w:w="6113" w:type="dxa"/>
            <w:vAlign w:val="center"/>
          </w:tcPr>
          <w:p w14:paraId="5D70CF51" w14:textId="70D7A53E"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Guidance on promoting remuneration of flexibility in retail contracts</w:t>
            </w:r>
          </w:p>
        </w:tc>
        <w:tc>
          <w:tcPr>
            <w:tcW w:w="2268" w:type="dxa"/>
            <w:vAlign w:val="center"/>
          </w:tcPr>
          <w:p w14:paraId="4BCE319D" w14:textId="465528E0" w:rsidR="000112B5" w:rsidRPr="00EC17DB" w:rsidRDefault="000112B5" w:rsidP="000112B5">
            <w:pPr>
              <w:suppressAutoHyphens w:val="0"/>
              <w:jc w:val="center"/>
              <w:rPr>
                <w:rFonts w:ascii="Times New Roman" w:hAnsi="Times New Roman" w:cs="Times New Roman"/>
                <w:noProof/>
                <w:sz w:val="20"/>
                <w:szCs w:val="20"/>
                <w:lang w:val="en-IE"/>
              </w:rPr>
            </w:pPr>
            <w:r w:rsidRPr="00EC17DB">
              <w:rPr>
                <w:rFonts w:ascii="Times New Roman" w:hAnsi="Times New Roman" w:cs="Times New Roman"/>
                <w:noProof/>
                <w:sz w:val="20"/>
                <w:szCs w:val="20"/>
                <w:lang w:val="en-IE"/>
              </w:rPr>
              <w:t>Q</w:t>
            </w:r>
            <w:r w:rsidR="003D2ED3" w:rsidRPr="00EC17DB">
              <w:rPr>
                <w:rFonts w:ascii="Times New Roman" w:hAnsi="Times New Roman" w:cs="Times New Roman"/>
                <w:noProof/>
                <w:sz w:val="20"/>
                <w:szCs w:val="20"/>
                <w:lang w:val="en-IE"/>
              </w:rPr>
              <w:t>1</w:t>
            </w:r>
            <w:r w:rsidRPr="00EC17DB">
              <w:rPr>
                <w:rFonts w:ascii="Times New Roman" w:hAnsi="Times New Roman" w:cs="Times New Roman"/>
                <w:noProof/>
                <w:sz w:val="20"/>
                <w:szCs w:val="20"/>
                <w:lang w:val="en-IE"/>
              </w:rPr>
              <w:t xml:space="preserve"> 202</w:t>
            </w:r>
            <w:r w:rsidR="0016692D">
              <w:rPr>
                <w:rFonts w:ascii="Times New Roman" w:hAnsi="Times New Roman" w:cs="Times New Roman"/>
                <w:noProof/>
                <w:sz w:val="20"/>
                <w:szCs w:val="20"/>
                <w:lang w:val="en-IE"/>
              </w:rPr>
              <w:t>6</w:t>
            </w:r>
          </w:p>
        </w:tc>
      </w:tr>
      <w:tr w:rsidR="00486446" w:rsidRPr="00486446" w14:paraId="20194847" w14:textId="77777777" w:rsidTr="006E0577">
        <w:trPr>
          <w:trHeight w:val="397"/>
        </w:trPr>
        <w:tc>
          <w:tcPr>
            <w:tcW w:w="975" w:type="dxa"/>
            <w:shd w:val="clear" w:color="auto" w:fill="F9F9CF"/>
            <w:vAlign w:val="center"/>
          </w:tcPr>
          <w:p w14:paraId="2C0A184C" w14:textId="73FF32F8" w:rsidR="000112B5" w:rsidRPr="00D26F78" w:rsidRDefault="00AD725C" w:rsidP="0065549F">
            <w:pPr>
              <w:suppressAutoHyphens w:val="0"/>
              <w:jc w:val="center"/>
              <w:rPr>
                <w:rFonts w:ascii="Times New Roman" w:hAnsi="Times New Roman" w:cs="Times New Roman"/>
                <w:noProof/>
                <w:sz w:val="20"/>
                <w:szCs w:val="20"/>
                <w:lang w:val="en-IE"/>
              </w:rPr>
            </w:pPr>
            <w:r w:rsidRPr="00D26F78">
              <w:rPr>
                <w:rFonts w:ascii="Times New Roman" w:hAnsi="Times New Roman" w:cs="Times New Roman"/>
                <w:noProof/>
                <w:sz w:val="20"/>
                <w:szCs w:val="20"/>
                <w:lang w:eastAsia="en-GB"/>
              </w:rPr>
              <w:drawing>
                <wp:inline distT="0" distB="0" distL="0" distR="0" wp14:anchorId="79CECF6A" wp14:editId="6A73B54D">
                  <wp:extent cx="207010" cy="207010"/>
                  <wp:effectExtent l="0" t="0" r="2540" b="2540"/>
                  <wp:docPr id="878107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p>
        </w:tc>
        <w:tc>
          <w:tcPr>
            <w:tcW w:w="6113" w:type="dxa"/>
            <w:shd w:val="clear" w:color="auto" w:fill="F9F9CF"/>
            <w:vAlign w:val="center"/>
          </w:tcPr>
          <w:p w14:paraId="1A52F095" w14:textId="24207ADB" w:rsidR="000112B5" w:rsidRPr="00AD725C" w:rsidRDefault="000112B5" w:rsidP="000112B5">
            <w:pPr>
              <w:suppressAutoHyphens w:val="0"/>
              <w:rPr>
                <w:rFonts w:ascii="Times New Roman" w:hAnsi="Times New Roman" w:cs="Times New Roman"/>
                <w:noProof/>
                <w:sz w:val="20"/>
                <w:szCs w:val="20"/>
                <w:lang w:val="en-IE"/>
              </w:rPr>
            </w:pPr>
            <w:r w:rsidRPr="00AD725C">
              <w:rPr>
                <w:rFonts w:ascii="Times New Roman" w:hAnsi="Times New Roman" w:cs="Times New Roman"/>
                <w:noProof/>
                <w:sz w:val="20"/>
                <w:szCs w:val="20"/>
                <w:lang w:val="en-IE"/>
              </w:rPr>
              <w:t>European Grids Package</w:t>
            </w:r>
            <w:r w:rsidR="00E64E87">
              <w:rPr>
                <w:rStyle w:val="EndnoteReference"/>
                <w:rFonts w:ascii="Times New Roman" w:hAnsi="Times New Roman" w:cs="Times New Roman"/>
                <w:noProof/>
                <w:sz w:val="20"/>
                <w:szCs w:val="20"/>
                <w:lang w:val="en-IE"/>
              </w:rPr>
              <w:endnoteReference w:id="51"/>
            </w:r>
          </w:p>
        </w:tc>
        <w:tc>
          <w:tcPr>
            <w:tcW w:w="2268" w:type="dxa"/>
            <w:shd w:val="clear" w:color="auto" w:fill="F9F9CF"/>
            <w:vAlign w:val="center"/>
          </w:tcPr>
          <w:p w14:paraId="7AE436DA" w14:textId="24459570" w:rsidR="000112B5" w:rsidRPr="00334333" w:rsidRDefault="00AD725C" w:rsidP="000112B5">
            <w:pPr>
              <w:suppressAutoHyphens w:val="0"/>
              <w:jc w:val="center"/>
              <w:rPr>
                <w:rFonts w:ascii="Times New Roman" w:hAnsi="Times New Roman" w:cs="Times New Roman"/>
                <w:noProof/>
                <w:sz w:val="20"/>
                <w:szCs w:val="20"/>
                <w:lang w:val="en-IE"/>
              </w:rPr>
            </w:pPr>
            <w:r w:rsidRPr="00334333">
              <w:rPr>
                <w:rFonts w:ascii="Times New Roman" w:hAnsi="Times New Roman" w:cs="Times New Roman"/>
                <w:noProof/>
                <w:sz w:val="20"/>
                <w:szCs w:val="20"/>
                <w:lang w:val="en-IE"/>
              </w:rPr>
              <w:t>10</w:t>
            </w:r>
            <w:r w:rsidR="00E713A0">
              <w:rPr>
                <w:rFonts w:ascii="Times New Roman" w:hAnsi="Times New Roman" w:cs="Times New Roman"/>
                <w:noProof/>
                <w:sz w:val="20"/>
                <w:szCs w:val="20"/>
                <w:lang w:val="en-IE"/>
              </w:rPr>
              <w:t xml:space="preserve"> </w:t>
            </w:r>
            <w:r w:rsidRPr="00334333">
              <w:rPr>
                <w:rFonts w:ascii="Times New Roman" w:hAnsi="Times New Roman" w:cs="Times New Roman"/>
                <w:noProof/>
                <w:sz w:val="20"/>
                <w:szCs w:val="20"/>
                <w:lang w:val="en-IE"/>
              </w:rPr>
              <w:t xml:space="preserve">December </w:t>
            </w:r>
            <w:r w:rsidR="000112B5" w:rsidRPr="00334333">
              <w:rPr>
                <w:rFonts w:ascii="Times New Roman" w:hAnsi="Times New Roman" w:cs="Times New Roman"/>
                <w:noProof/>
                <w:sz w:val="20"/>
                <w:szCs w:val="20"/>
                <w:lang w:val="en-IE"/>
              </w:rPr>
              <w:t>2025</w:t>
            </w:r>
          </w:p>
        </w:tc>
      </w:tr>
      <w:tr w:rsidR="00486446" w:rsidRPr="00323814" w14:paraId="0DD4A684" w14:textId="77777777" w:rsidTr="006E0577">
        <w:trPr>
          <w:trHeight w:val="397"/>
        </w:trPr>
        <w:tc>
          <w:tcPr>
            <w:tcW w:w="975" w:type="dxa"/>
            <w:shd w:val="clear" w:color="auto" w:fill="8DB3E2"/>
            <w:vAlign w:val="center"/>
          </w:tcPr>
          <w:p w14:paraId="04F681AC" w14:textId="77777777" w:rsidR="000112B5" w:rsidRPr="00323814" w:rsidRDefault="000112B5" w:rsidP="00E552B6">
            <w:pPr>
              <w:suppressAutoHyphens w:val="0"/>
              <w:jc w:val="center"/>
              <w:rPr>
                <w:rFonts w:ascii="Times New Roman" w:hAnsi="Times New Roman" w:cs="Times New Roman"/>
                <w:b/>
                <w:noProof/>
                <w:highlight w:val="yellow"/>
                <w:lang w:val="en-IE"/>
              </w:rPr>
            </w:pPr>
            <w:r w:rsidRPr="00323814">
              <w:rPr>
                <w:rFonts w:ascii="Times New Roman" w:hAnsi="Times New Roman" w:cs="Times New Roman"/>
                <w:b/>
                <w:noProof/>
                <w:lang w:val="en-IE"/>
              </w:rPr>
              <w:t>Status</w:t>
            </w:r>
          </w:p>
        </w:tc>
        <w:tc>
          <w:tcPr>
            <w:tcW w:w="6113" w:type="dxa"/>
            <w:shd w:val="clear" w:color="auto" w:fill="8DB3E2"/>
            <w:vAlign w:val="center"/>
          </w:tcPr>
          <w:p w14:paraId="7FD94799" w14:textId="77777777" w:rsidR="000112B5" w:rsidRPr="00323814" w:rsidRDefault="000112B5" w:rsidP="00D11D71">
            <w:pPr>
              <w:suppressAutoHyphens w:val="0"/>
              <w:rPr>
                <w:rFonts w:ascii="Times New Roman" w:hAnsi="Times New Roman" w:cs="Times New Roman"/>
                <w:b/>
                <w:noProof/>
                <w:lang w:val="en-IE"/>
              </w:rPr>
            </w:pPr>
            <w:r w:rsidRPr="00323814">
              <w:rPr>
                <w:rFonts w:ascii="Times New Roman" w:hAnsi="Times New Roman" w:cs="Times New Roman"/>
                <w:b/>
                <w:noProof/>
                <w:lang w:val="en-IE"/>
              </w:rPr>
              <w:t>Lead markets: boosting clean supply and demand</w:t>
            </w:r>
          </w:p>
        </w:tc>
        <w:tc>
          <w:tcPr>
            <w:tcW w:w="2268" w:type="dxa"/>
            <w:shd w:val="clear" w:color="auto" w:fill="8DB3E2"/>
            <w:vAlign w:val="center"/>
          </w:tcPr>
          <w:p w14:paraId="4D9CA78D" w14:textId="77777777" w:rsidR="000112B5" w:rsidRPr="00323814" w:rsidRDefault="000112B5" w:rsidP="000112B5">
            <w:pPr>
              <w:suppressAutoHyphens w:val="0"/>
              <w:jc w:val="center"/>
              <w:rPr>
                <w:rFonts w:ascii="Times New Roman" w:hAnsi="Times New Roman" w:cs="Times New Roman"/>
                <w:b/>
                <w:noProof/>
                <w:lang w:val="en-IE"/>
              </w:rPr>
            </w:pPr>
            <w:r w:rsidRPr="00323814">
              <w:rPr>
                <w:rFonts w:ascii="Times New Roman" w:hAnsi="Times New Roman" w:cs="Times New Roman"/>
                <w:b/>
                <w:noProof/>
                <w:lang w:val="en-IE"/>
              </w:rPr>
              <w:t>Timeline</w:t>
            </w:r>
          </w:p>
        </w:tc>
      </w:tr>
      <w:tr w:rsidR="00486446" w:rsidRPr="00486446" w14:paraId="6B855E1F" w14:textId="77777777" w:rsidTr="006E0577">
        <w:trPr>
          <w:trHeight w:val="397"/>
        </w:trPr>
        <w:tc>
          <w:tcPr>
            <w:tcW w:w="975" w:type="dxa"/>
            <w:shd w:val="clear" w:color="auto" w:fill="C2D69B"/>
            <w:vAlign w:val="center"/>
          </w:tcPr>
          <w:p w14:paraId="3204C4B6" w14:textId="420CD80E" w:rsidR="000112B5" w:rsidRPr="0065549F" w:rsidRDefault="006D6016"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38D5CDC5" wp14:editId="3DBE2136">
                  <wp:extent cx="164465" cy="146050"/>
                  <wp:effectExtent l="0" t="0" r="6985" b="6350"/>
                  <wp:docPr id="108442217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7BFB3AC7" w14:textId="4C0DFC81" w:rsidR="000112B5" w:rsidRPr="0065549F" w:rsidRDefault="000112B5" w:rsidP="000112B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lang w:val="en-IE"/>
              </w:rPr>
              <w:t>Delegated act on low carbon hydrogen, providing regulatory certainty to producers of low carbon hydrogen</w:t>
            </w:r>
            <w:r w:rsidR="0087428F">
              <w:rPr>
                <w:rStyle w:val="EndnoteReference"/>
                <w:rFonts w:ascii="Times New Roman" w:hAnsi="Times New Roman" w:cs="Times New Roman"/>
                <w:noProof/>
                <w:sz w:val="20"/>
                <w:szCs w:val="20"/>
                <w:lang w:val="en-IE"/>
              </w:rPr>
              <w:endnoteReference w:id="52"/>
            </w:r>
          </w:p>
        </w:tc>
        <w:tc>
          <w:tcPr>
            <w:tcW w:w="2268" w:type="dxa"/>
            <w:shd w:val="clear" w:color="auto" w:fill="C2D69B"/>
            <w:vAlign w:val="center"/>
          </w:tcPr>
          <w:p w14:paraId="700ADB20" w14:textId="0BC07E5F" w:rsidR="000112B5" w:rsidRPr="0065549F" w:rsidRDefault="00511C8A" w:rsidP="000112B5">
            <w:pPr>
              <w:suppressAutoHyphens w:val="0"/>
              <w:jc w:val="center"/>
              <w:rPr>
                <w:rFonts w:ascii="Times New Roman" w:hAnsi="Times New Roman" w:cs="Times New Roman"/>
                <w:noProof/>
                <w:sz w:val="20"/>
                <w:szCs w:val="20"/>
              </w:rPr>
            </w:pPr>
            <w:r w:rsidRPr="0065549F">
              <w:rPr>
                <w:rFonts w:ascii="Times New Roman" w:hAnsi="Times New Roman" w:cs="Times New Roman"/>
                <w:noProof/>
                <w:sz w:val="20"/>
                <w:szCs w:val="20"/>
                <w:lang w:val="en-IE"/>
              </w:rPr>
              <w:t>8 July</w:t>
            </w:r>
            <w:r w:rsidR="000112B5" w:rsidRPr="0065549F">
              <w:rPr>
                <w:rFonts w:ascii="Times New Roman" w:hAnsi="Times New Roman" w:cs="Times New Roman"/>
                <w:noProof/>
                <w:sz w:val="20"/>
                <w:szCs w:val="20"/>
                <w:lang w:val="en-IE"/>
              </w:rPr>
              <w:t xml:space="preserve"> 2025</w:t>
            </w:r>
          </w:p>
        </w:tc>
      </w:tr>
      <w:tr w:rsidR="00486446" w:rsidRPr="00486446" w14:paraId="1FB357F7" w14:textId="77777777" w:rsidTr="006E0577">
        <w:trPr>
          <w:trHeight w:val="397"/>
        </w:trPr>
        <w:tc>
          <w:tcPr>
            <w:tcW w:w="975" w:type="dxa"/>
            <w:vAlign w:val="center"/>
          </w:tcPr>
          <w:p w14:paraId="7678C312" w14:textId="77777777" w:rsidR="000112B5" w:rsidRPr="006E0577" w:rsidRDefault="000112B5" w:rsidP="0065549F">
            <w:pPr>
              <w:suppressAutoHyphens w:val="0"/>
              <w:jc w:val="center"/>
              <w:rPr>
                <w:rFonts w:ascii="Times New Roman" w:hAnsi="Times New Roman" w:cs="Times New Roman"/>
                <w:noProof/>
                <w:sz w:val="20"/>
                <w:szCs w:val="20"/>
                <w:lang w:val="en-IE"/>
              </w:rPr>
            </w:pPr>
          </w:p>
        </w:tc>
        <w:tc>
          <w:tcPr>
            <w:tcW w:w="6113" w:type="dxa"/>
            <w:vAlign w:val="center"/>
          </w:tcPr>
          <w:p w14:paraId="11E07477" w14:textId="77777777"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Industrial Accelerator Act:</w:t>
            </w:r>
          </w:p>
          <w:p w14:paraId="6AE0B47F" w14:textId="4F9CC69E" w:rsidR="000112B5" w:rsidRPr="006E0577" w:rsidRDefault="000D185C" w:rsidP="000112B5">
            <w:pPr>
              <w:numPr>
                <w:ilvl w:val="0"/>
                <w:numId w:val="30"/>
              </w:numPr>
              <w:suppressAutoHyphens w:val="0"/>
              <w:ind w:left="737"/>
              <w:contextualSpacing/>
              <w:rPr>
                <w:rFonts w:ascii="Times New Roman" w:hAnsi="Times New Roman" w:cs="Times New Roman"/>
                <w:noProof/>
                <w:sz w:val="20"/>
                <w:szCs w:val="20"/>
                <w:lang w:val="en-IE"/>
              </w:rPr>
            </w:pPr>
            <w:r w:rsidRPr="006E0577">
              <w:rPr>
                <w:rFonts w:ascii="Times New Roman" w:hAnsi="Times New Roman" w:cs="Times New Roman"/>
                <w:noProof/>
                <w:sz w:val="20"/>
                <w:szCs w:val="20"/>
                <w:lang w:val="en-IE"/>
              </w:rPr>
              <w:t xml:space="preserve">create </w:t>
            </w:r>
            <w:r w:rsidR="000112B5" w:rsidRPr="006E0577">
              <w:rPr>
                <w:rFonts w:ascii="Times New Roman" w:hAnsi="Times New Roman" w:cs="Times New Roman"/>
                <w:noProof/>
                <w:sz w:val="20"/>
                <w:szCs w:val="20"/>
                <w:lang w:val="en-IE"/>
              </w:rPr>
              <w:t>a low-carbon product label</w:t>
            </w:r>
          </w:p>
          <w:p w14:paraId="49795FFA" w14:textId="5BC1CCD1" w:rsidR="000112B5" w:rsidRPr="0065549F" w:rsidRDefault="00547B96" w:rsidP="00D11D71">
            <w:pPr>
              <w:numPr>
                <w:ilvl w:val="0"/>
                <w:numId w:val="30"/>
              </w:numPr>
              <w:suppressAutoHyphens w:val="0"/>
              <w:ind w:left="737"/>
              <w:contextualSpacing/>
              <w:rPr>
                <w:rFonts w:ascii="Times New Roman" w:hAnsi="Times New Roman" w:cs="Times New Roman"/>
                <w:noProof/>
                <w:sz w:val="20"/>
                <w:szCs w:val="20"/>
                <w:lang w:val="en-IE"/>
              </w:rPr>
            </w:pPr>
            <w:r w:rsidRPr="006E0577">
              <w:rPr>
                <w:rFonts w:ascii="Times New Roman" w:hAnsi="Times New Roman" w:cs="Times New Roman"/>
                <w:noProof/>
                <w:sz w:val="20"/>
                <w:szCs w:val="20"/>
                <w:lang w:val="en-IE"/>
              </w:rPr>
              <w:t>a</w:t>
            </w:r>
            <w:r w:rsidR="000112B5" w:rsidRPr="006E0577">
              <w:rPr>
                <w:rFonts w:ascii="Times New Roman" w:hAnsi="Times New Roman" w:cs="Times New Roman"/>
                <w:noProof/>
                <w:sz w:val="20"/>
                <w:szCs w:val="20"/>
                <w:lang w:val="en-IE"/>
              </w:rPr>
              <w:t xml:space="preserve">pply sustainability, </w:t>
            </w:r>
            <w:bookmarkStart w:id="161" w:name="_Int_G05qAL2w"/>
            <w:r w:rsidR="000112B5" w:rsidRPr="006E0577">
              <w:rPr>
                <w:rFonts w:ascii="Times New Roman" w:hAnsi="Times New Roman" w:cs="Times New Roman"/>
                <w:noProof/>
                <w:sz w:val="20"/>
                <w:szCs w:val="20"/>
                <w:lang w:val="en-IE"/>
              </w:rPr>
              <w:t>resilience</w:t>
            </w:r>
            <w:bookmarkEnd w:id="161"/>
            <w:r w:rsidR="000112B5" w:rsidRPr="006E0577">
              <w:rPr>
                <w:rFonts w:ascii="Times New Roman" w:hAnsi="Times New Roman" w:cs="Times New Roman"/>
                <w:noProof/>
                <w:sz w:val="20"/>
                <w:szCs w:val="20"/>
                <w:lang w:val="en-IE"/>
              </w:rPr>
              <w:t xml:space="preserve"> and minimum EU content requirement </w:t>
            </w:r>
            <w:r w:rsidR="00ED6D39" w:rsidRPr="006E0577">
              <w:rPr>
                <w:rFonts w:ascii="Times New Roman" w:hAnsi="Times New Roman" w:cs="Times New Roman"/>
                <w:noProof/>
                <w:sz w:val="20"/>
                <w:szCs w:val="20"/>
                <w:lang w:val="en-IE"/>
              </w:rPr>
              <w:t xml:space="preserve">to </w:t>
            </w:r>
            <w:r w:rsidR="000112B5" w:rsidRPr="006E0577">
              <w:rPr>
                <w:rFonts w:ascii="Times New Roman" w:hAnsi="Times New Roman" w:cs="Times New Roman"/>
                <w:noProof/>
                <w:sz w:val="20"/>
                <w:szCs w:val="20"/>
                <w:lang w:val="en-IE"/>
              </w:rPr>
              <w:t>public and private</w:t>
            </w:r>
            <w:r w:rsidR="00ED6D39" w:rsidRPr="006E0577">
              <w:rPr>
                <w:rFonts w:ascii="Times New Roman" w:hAnsi="Times New Roman" w:cs="Times New Roman"/>
                <w:noProof/>
                <w:sz w:val="20"/>
                <w:szCs w:val="20"/>
                <w:lang w:val="en-IE"/>
              </w:rPr>
              <w:t>-sector</w:t>
            </w:r>
            <w:r w:rsidR="000112B5" w:rsidRPr="006E0577">
              <w:rPr>
                <w:rFonts w:ascii="Times New Roman" w:hAnsi="Times New Roman" w:cs="Times New Roman"/>
                <w:noProof/>
                <w:sz w:val="20"/>
                <w:szCs w:val="20"/>
                <w:lang w:val="en-IE"/>
              </w:rPr>
              <w:t xml:space="preserve"> procurement in strategic </w:t>
            </w:r>
            <w:r w:rsidR="00F617E6" w:rsidRPr="006E0577">
              <w:rPr>
                <w:rFonts w:ascii="Times New Roman" w:hAnsi="Times New Roman" w:cs="Times New Roman"/>
                <w:noProof/>
                <w:sz w:val="20"/>
                <w:szCs w:val="20"/>
                <w:lang w:val="en-IE"/>
              </w:rPr>
              <w:t>areas</w:t>
            </w:r>
            <w:r w:rsidR="000112B5" w:rsidRPr="006E0577">
              <w:rPr>
                <w:rFonts w:ascii="Times New Roman" w:hAnsi="Times New Roman" w:cs="Times New Roman"/>
                <w:noProof/>
                <w:sz w:val="20"/>
                <w:szCs w:val="20"/>
                <w:lang w:val="en-IE"/>
              </w:rPr>
              <w:t xml:space="preserve"> to ensure lead markets for low-carbon products</w:t>
            </w:r>
          </w:p>
        </w:tc>
        <w:tc>
          <w:tcPr>
            <w:tcW w:w="2268" w:type="dxa"/>
            <w:vAlign w:val="center"/>
          </w:tcPr>
          <w:p w14:paraId="5063CCC4" w14:textId="28ADA558" w:rsidR="000112B5" w:rsidRPr="006E0577" w:rsidRDefault="00E227F2" w:rsidP="000112B5">
            <w:pPr>
              <w:suppressAutoHyphens w:val="0"/>
              <w:jc w:val="center"/>
              <w:rPr>
                <w:rFonts w:ascii="Times New Roman" w:hAnsi="Times New Roman" w:cs="Times New Roman"/>
                <w:noProof/>
                <w:sz w:val="20"/>
                <w:szCs w:val="20"/>
                <w:lang w:val="en-IE"/>
              </w:rPr>
            </w:pPr>
            <w:r w:rsidRPr="006E0577">
              <w:rPr>
                <w:rFonts w:ascii="Times New Roman" w:hAnsi="Times New Roman" w:cs="Times New Roman"/>
                <w:noProof/>
                <w:sz w:val="20"/>
                <w:szCs w:val="20"/>
                <w:lang w:val="en-IE"/>
              </w:rPr>
              <w:t>Q1</w:t>
            </w:r>
            <w:r w:rsidR="0080729B" w:rsidRPr="006E0577">
              <w:rPr>
                <w:rFonts w:ascii="Times New Roman" w:hAnsi="Times New Roman" w:cs="Times New Roman"/>
                <w:noProof/>
                <w:sz w:val="20"/>
                <w:szCs w:val="20"/>
                <w:lang w:val="en-IE"/>
              </w:rPr>
              <w:t xml:space="preserve"> </w:t>
            </w:r>
            <w:r w:rsidR="003E008B" w:rsidRPr="006E0577">
              <w:rPr>
                <w:rFonts w:ascii="Times New Roman" w:hAnsi="Times New Roman" w:cs="Times New Roman"/>
                <w:noProof/>
                <w:sz w:val="20"/>
                <w:szCs w:val="20"/>
                <w:lang w:val="en-IE"/>
              </w:rPr>
              <w:t>2026</w:t>
            </w:r>
          </w:p>
        </w:tc>
      </w:tr>
      <w:tr w:rsidR="00486446" w:rsidRPr="00486446" w14:paraId="5A54F911" w14:textId="77777777" w:rsidTr="006E0577">
        <w:trPr>
          <w:trHeight w:val="397"/>
        </w:trPr>
        <w:tc>
          <w:tcPr>
            <w:tcW w:w="975" w:type="dxa"/>
            <w:shd w:val="clear" w:color="auto" w:fill="F9F9CF"/>
            <w:vAlign w:val="center"/>
          </w:tcPr>
          <w:p w14:paraId="3E4273A0" w14:textId="0934CA8A" w:rsidR="000112B5" w:rsidRPr="0065549F" w:rsidRDefault="00E713A0" w:rsidP="0065549F">
            <w:pPr>
              <w:suppressAutoHyphens w:val="0"/>
              <w:jc w:val="center"/>
              <w:rPr>
                <w:rFonts w:ascii="Times New Roman" w:hAnsi="Times New Roman" w:cs="Times New Roman"/>
                <w:noProof/>
                <w:sz w:val="20"/>
                <w:szCs w:val="20"/>
                <w:highlight w:val="yellow"/>
                <w:lang w:val="en-IE"/>
              </w:rPr>
            </w:pPr>
            <w:r w:rsidRPr="008C584A">
              <w:rPr>
                <w:rFonts w:ascii="Times New Roman" w:hAnsi="Times New Roman" w:cs="Times New Roman"/>
                <w:noProof/>
                <w:sz w:val="20"/>
                <w:szCs w:val="20"/>
                <w:lang w:eastAsia="en-GB"/>
              </w:rPr>
              <w:drawing>
                <wp:inline distT="0" distB="0" distL="0" distR="0" wp14:anchorId="494AC123" wp14:editId="53E02D9C">
                  <wp:extent cx="209524" cy="209524"/>
                  <wp:effectExtent l="0" t="0" r="0" b="0"/>
                  <wp:docPr id="7282061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34615" name="Picture 955634615"/>
                          <pic:cNvPicPr/>
                        </pic:nvPicPr>
                        <pic:blipFill>
                          <a:blip r:embed="rId120">
                            <a:extLst>
                              <a:ext uri="{28A0092B-C50C-407E-A947-70E740481C1C}">
                                <a14:useLocalDpi xmlns:a14="http://schemas.microsoft.com/office/drawing/2010/main"/>
                              </a:ext>
                            </a:extLst>
                          </a:blip>
                          <a:stretch>
                            <a:fillRect/>
                          </a:stretch>
                        </pic:blipFill>
                        <pic:spPr>
                          <a:xfrm>
                            <a:off x="0" y="0"/>
                            <a:ext cx="209524" cy="209524"/>
                          </a:xfrm>
                          <a:prstGeom prst="rect">
                            <a:avLst/>
                          </a:prstGeom>
                        </pic:spPr>
                      </pic:pic>
                    </a:graphicData>
                  </a:graphic>
                </wp:inline>
              </w:drawing>
            </w:r>
          </w:p>
        </w:tc>
        <w:tc>
          <w:tcPr>
            <w:tcW w:w="6113" w:type="dxa"/>
            <w:shd w:val="clear" w:color="auto" w:fill="F9F9CF"/>
            <w:vAlign w:val="center"/>
          </w:tcPr>
          <w:p w14:paraId="165A9340" w14:textId="381C4DDE"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Communication and legi</w:t>
            </w:r>
            <w:r w:rsidRPr="0065549F">
              <w:rPr>
                <w:rFonts w:ascii="Times New Roman" w:hAnsi="Times New Roman" w:cs="Times New Roman"/>
                <w:noProof/>
                <w:sz w:val="20"/>
                <w:szCs w:val="20"/>
              </w:rPr>
              <w:t>slative</w:t>
            </w:r>
            <w:r w:rsidRPr="0065549F">
              <w:rPr>
                <w:rFonts w:ascii="Times New Roman" w:hAnsi="Times New Roman" w:cs="Times New Roman"/>
                <w:noProof/>
                <w:sz w:val="20"/>
                <w:szCs w:val="20"/>
                <w:lang w:val="en-IE"/>
              </w:rPr>
              <w:t xml:space="preserve"> proposal on g</w:t>
            </w:r>
            <w:r w:rsidRPr="0065549F">
              <w:rPr>
                <w:rFonts w:ascii="Times New Roman" w:hAnsi="Times New Roman" w:cs="Times New Roman"/>
                <w:noProof/>
                <w:sz w:val="20"/>
                <w:szCs w:val="20"/>
              </w:rPr>
              <w:t>reening</w:t>
            </w:r>
            <w:r w:rsidRPr="0065549F">
              <w:rPr>
                <w:rFonts w:ascii="Times New Roman" w:hAnsi="Times New Roman" w:cs="Times New Roman"/>
                <w:noProof/>
                <w:sz w:val="20"/>
                <w:szCs w:val="20"/>
                <w:lang w:val="en-IE"/>
              </w:rPr>
              <w:t xml:space="preserve"> corporate fleets</w:t>
            </w:r>
            <w:r w:rsidR="003D56B9">
              <w:rPr>
                <w:rStyle w:val="EndnoteReference"/>
                <w:rFonts w:ascii="Times New Roman" w:hAnsi="Times New Roman" w:cs="Times New Roman"/>
                <w:noProof/>
                <w:sz w:val="20"/>
                <w:szCs w:val="20"/>
                <w:lang w:val="en-IE"/>
              </w:rPr>
              <w:endnoteReference w:id="53"/>
            </w:r>
          </w:p>
        </w:tc>
        <w:tc>
          <w:tcPr>
            <w:tcW w:w="2268" w:type="dxa"/>
            <w:shd w:val="clear" w:color="auto" w:fill="F9F9CF"/>
            <w:vAlign w:val="center"/>
          </w:tcPr>
          <w:p w14:paraId="2BCFB4B9" w14:textId="3E6ED5CF" w:rsidR="000112B5" w:rsidRPr="007144C0" w:rsidRDefault="0019545A" w:rsidP="000112B5">
            <w:pPr>
              <w:suppressAutoHyphens w:val="0"/>
              <w:jc w:val="center"/>
              <w:rPr>
                <w:rFonts w:ascii="Times New Roman" w:hAnsi="Times New Roman" w:cs="Times New Roman"/>
                <w:noProof/>
                <w:sz w:val="20"/>
                <w:szCs w:val="20"/>
                <w:highlight w:val="yellow"/>
                <w:lang w:val="en-IE"/>
              </w:rPr>
            </w:pPr>
            <w:r w:rsidRPr="00334333">
              <w:rPr>
                <w:rFonts w:ascii="Times New Roman" w:hAnsi="Times New Roman" w:cs="Times New Roman"/>
                <w:noProof/>
                <w:sz w:val="20"/>
                <w:szCs w:val="20"/>
                <w:lang w:val="en-IE"/>
              </w:rPr>
              <w:t>16 December 2025</w:t>
            </w:r>
          </w:p>
        </w:tc>
      </w:tr>
      <w:tr w:rsidR="00486446" w:rsidRPr="00486446" w14:paraId="498E8A75" w14:textId="77777777" w:rsidTr="006E0577">
        <w:trPr>
          <w:trHeight w:val="397"/>
        </w:trPr>
        <w:tc>
          <w:tcPr>
            <w:tcW w:w="975" w:type="dxa"/>
            <w:vAlign w:val="center"/>
          </w:tcPr>
          <w:p w14:paraId="08E3F58B" w14:textId="77777777" w:rsidR="000112B5" w:rsidRPr="0065549F" w:rsidRDefault="000112B5" w:rsidP="0065549F">
            <w:pPr>
              <w:suppressAutoHyphens w:val="0"/>
              <w:jc w:val="center"/>
              <w:rPr>
                <w:rFonts w:ascii="Times New Roman" w:hAnsi="Times New Roman" w:cs="Times New Roman"/>
                <w:noProof/>
                <w:sz w:val="20"/>
                <w:szCs w:val="20"/>
                <w:highlight w:val="yellow"/>
                <w:lang w:val="en-IE"/>
              </w:rPr>
            </w:pPr>
          </w:p>
        </w:tc>
        <w:tc>
          <w:tcPr>
            <w:tcW w:w="6113" w:type="dxa"/>
            <w:vAlign w:val="center"/>
          </w:tcPr>
          <w:p w14:paraId="2C4F8C58" w14:textId="77777777"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Revision of Public Procurement Directives to mainstream the use of non-price criteria </w:t>
            </w:r>
          </w:p>
        </w:tc>
        <w:tc>
          <w:tcPr>
            <w:tcW w:w="2268" w:type="dxa"/>
            <w:vAlign w:val="center"/>
          </w:tcPr>
          <w:p w14:paraId="02C7E450" w14:textId="77777777"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Q2 2026</w:t>
            </w:r>
          </w:p>
        </w:tc>
      </w:tr>
      <w:tr w:rsidR="00486446" w:rsidRPr="00323814" w14:paraId="15585BE5" w14:textId="77777777" w:rsidTr="006E0577">
        <w:trPr>
          <w:trHeight w:val="397"/>
        </w:trPr>
        <w:tc>
          <w:tcPr>
            <w:tcW w:w="975" w:type="dxa"/>
            <w:tcBorders>
              <w:bottom w:val="single" w:sz="4" w:space="0" w:color="auto"/>
            </w:tcBorders>
            <w:shd w:val="clear" w:color="auto" w:fill="8DB3E2"/>
            <w:vAlign w:val="center"/>
          </w:tcPr>
          <w:p w14:paraId="7C628996" w14:textId="77777777" w:rsidR="000112B5" w:rsidRPr="00323814" w:rsidRDefault="000112B5" w:rsidP="00E552B6">
            <w:pPr>
              <w:suppressAutoHyphens w:val="0"/>
              <w:jc w:val="center"/>
              <w:rPr>
                <w:rFonts w:ascii="Times New Roman" w:hAnsi="Times New Roman" w:cs="Times New Roman"/>
                <w:b/>
                <w:noProof/>
                <w:highlight w:val="yellow"/>
                <w:lang w:val="en-IE"/>
              </w:rPr>
            </w:pPr>
            <w:r w:rsidRPr="00323814">
              <w:rPr>
                <w:rFonts w:ascii="Times New Roman" w:hAnsi="Times New Roman" w:cs="Times New Roman"/>
                <w:b/>
                <w:noProof/>
                <w:lang w:val="en-IE"/>
              </w:rPr>
              <w:t>Status</w:t>
            </w:r>
          </w:p>
        </w:tc>
        <w:tc>
          <w:tcPr>
            <w:tcW w:w="6113" w:type="dxa"/>
            <w:tcBorders>
              <w:bottom w:val="single" w:sz="4" w:space="0" w:color="auto"/>
            </w:tcBorders>
            <w:shd w:val="clear" w:color="auto" w:fill="8DB3E2"/>
            <w:vAlign w:val="center"/>
          </w:tcPr>
          <w:p w14:paraId="6B454397" w14:textId="77777777" w:rsidR="000112B5" w:rsidRPr="00323814" w:rsidRDefault="000112B5" w:rsidP="00D11D71">
            <w:pPr>
              <w:suppressAutoHyphens w:val="0"/>
              <w:rPr>
                <w:rFonts w:ascii="Times New Roman" w:hAnsi="Times New Roman" w:cs="Times New Roman"/>
                <w:b/>
                <w:noProof/>
                <w:lang w:val="en-IE"/>
              </w:rPr>
            </w:pPr>
            <w:r w:rsidRPr="00323814">
              <w:rPr>
                <w:rFonts w:ascii="Times New Roman" w:hAnsi="Times New Roman" w:cs="Times New Roman"/>
                <w:b/>
                <w:noProof/>
                <w:lang w:val="en-IE"/>
              </w:rPr>
              <w:t>Public and private investment</w:t>
            </w:r>
          </w:p>
        </w:tc>
        <w:tc>
          <w:tcPr>
            <w:tcW w:w="2268" w:type="dxa"/>
            <w:tcBorders>
              <w:bottom w:val="single" w:sz="4" w:space="0" w:color="auto"/>
            </w:tcBorders>
            <w:shd w:val="clear" w:color="auto" w:fill="8DB3E2"/>
            <w:vAlign w:val="center"/>
          </w:tcPr>
          <w:p w14:paraId="5B3EDAAF" w14:textId="77777777" w:rsidR="000112B5" w:rsidRPr="00323814" w:rsidRDefault="000112B5" w:rsidP="000112B5">
            <w:pPr>
              <w:suppressAutoHyphens w:val="0"/>
              <w:jc w:val="center"/>
              <w:rPr>
                <w:rFonts w:ascii="Times New Roman" w:hAnsi="Times New Roman" w:cs="Times New Roman"/>
                <w:b/>
                <w:noProof/>
                <w:lang w:val="en-IE"/>
              </w:rPr>
            </w:pPr>
            <w:r w:rsidRPr="00323814">
              <w:rPr>
                <w:rFonts w:ascii="Times New Roman" w:hAnsi="Times New Roman" w:cs="Times New Roman"/>
                <w:b/>
                <w:noProof/>
                <w:lang w:val="en-IE"/>
              </w:rPr>
              <w:t>Timeline</w:t>
            </w:r>
          </w:p>
        </w:tc>
      </w:tr>
      <w:tr w:rsidR="00486446" w:rsidRPr="00486446" w14:paraId="2811E2CF" w14:textId="77777777" w:rsidTr="006E0577">
        <w:trPr>
          <w:trHeight w:val="397"/>
        </w:trPr>
        <w:tc>
          <w:tcPr>
            <w:tcW w:w="975" w:type="dxa"/>
            <w:shd w:val="clear" w:color="auto" w:fill="C2D69B"/>
            <w:vAlign w:val="center"/>
          </w:tcPr>
          <w:p w14:paraId="79CA1E61" w14:textId="206B46AF" w:rsidR="000112B5" w:rsidRPr="0065549F" w:rsidRDefault="00C5266E" w:rsidP="0065549F">
            <w:pPr>
              <w:suppressAutoHyphens w:val="0"/>
              <w:jc w:val="center"/>
              <w:rPr>
                <w:rFonts w:ascii="Times New Roman" w:hAnsi="Times New Roman" w:cs="Times New Roman"/>
                <w:noProof/>
                <w:sz w:val="20"/>
                <w:szCs w:val="20"/>
                <w:highlight w:val="yellow"/>
              </w:rPr>
            </w:pPr>
            <w:r w:rsidRPr="0065549F">
              <w:rPr>
                <w:rFonts w:ascii="Times New Roman" w:hAnsi="Times New Roman" w:cs="Times New Roman"/>
                <w:noProof/>
                <w:sz w:val="20"/>
                <w:szCs w:val="20"/>
                <w:lang w:eastAsia="en-GB"/>
              </w:rPr>
              <w:drawing>
                <wp:inline distT="0" distB="0" distL="0" distR="0" wp14:anchorId="250AA196" wp14:editId="23E5BCE1">
                  <wp:extent cx="164465" cy="146050"/>
                  <wp:effectExtent l="0" t="0" r="6985" b="6350"/>
                  <wp:docPr id="5748477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59FC664C" w14:textId="115EF470" w:rsidR="000112B5" w:rsidRPr="0065549F" w:rsidRDefault="000112B5" w:rsidP="00783E1C">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Increase InvestEU’s risk bearing capacity</w:t>
            </w:r>
            <w:r w:rsidR="00DE22E5" w:rsidRPr="0065549F">
              <w:rPr>
                <w:rFonts w:ascii="Times New Roman" w:hAnsi="Times New Roman" w:cs="Times New Roman"/>
                <w:noProof/>
                <w:sz w:val="20"/>
                <w:szCs w:val="20"/>
                <w:lang w:val="en-IE"/>
              </w:rPr>
              <w:t xml:space="preserve"> </w:t>
            </w:r>
            <w:r w:rsidR="00146574" w:rsidRPr="0065549F">
              <w:rPr>
                <w:rFonts w:ascii="Times New Roman" w:hAnsi="Times New Roman" w:cs="Times New Roman"/>
                <w:noProof/>
                <w:sz w:val="20"/>
                <w:szCs w:val="20"/>
                <w:lang w:val="en-IE"/>
              </w:rPr>
              <w:t>a</w:t>
            </w:r>
            <w:r w:rsidR="007E1E9B" w:rsidRPr="0065549F">
              <w:rPr>
                <w:rFonts w:ascii="Times New Roman" w:hAnsi="Times New Roman" w:cs="Times New Roman"/>
                <w:noProof/>
                <w:sz w:val="20"/>
                <w:szCs w:val="20"/>
                <w:lang w:val="en-IE"/>
              </w:rPr>
              <w:t>s part of</w:t>
            </w:r>
            <w:r w:rsidR="0092292D" w:rsidRPr="0065549F">
              <w:rPr>
                <w:rFonts w:ascii="Times New Roman" w:hAnsi="Times New Roman" w:cs="Times New Roman"/>
                <w:noProof/>
                <w:sz w:val="20"/>
                <w:szCs w:val="20"/>
                <w:lang w:val="en-IE"/>
              </w:rPr>
              <w:t xml:space="preserve"> the </w:t>
            </w:r>
            <w:r w:rsidR="007E1E9B" w:rsidRPr="0065549F">
              <w:rPr>
                <w:rFonts w:ascii="Times New Roman" w:hAnsi="Times New Roman" w:cs="Times New Roman"/>
                <w:noProof/>
                <w:sz w:val="20"/>
                <w:szCs w:val="20"/>
                <w:lang w:val="en-IE"/>
              </w:rPr>
              <w:t xml:space="preserve">simplification </w:t>
            </w:r>
            <w:r w:rsidR="00DE22E5" w:rsidRPr="0065549F">
              <w:rPr>
                <w:rFonts w:ascii="Times New Roman" w:hAnsi="Times New Roman" w:cs="Times New Roman"/>
                <w:noProof/>
                <w:sz w:val="20"/>
                <w:szCs w:val="20"/>
                <w:lang w:val="en-IE"/>
              </w:rPr>
              <w:t>Omnibus II on investment</w:t>
            </w:r>
            <w:r w:rsidR="002413C8">
              <w:rPr>
                <w:rStyle w:val="EndnoteReference"/>
                <w:rFonts w:ascii="Times New Roman" w:hAnsi="Times New Roman" w:cs="Times New Roman"/>
                <w:noProof/>
                <w:sz w:val="20"/>
                <w:szCs w:val="20"/>
                <w:lang w:val="en-IE"/>
              </w:rPr>
              <w:endnoteReference w:id="54"/>
            </w:r>
            <w:r w:rsidR="00C5266E">
              <w:rPr>
                <w:rFonts w:ascii="Times New Roman" w:hAnsi="Times New Roman" w:cs="Times New Roman"/>
                <w:noProof/>
                <w:sz w:val="20"/>
                <w:szCs w:val="20"/>
                <w:lang w:val="en-IE"/>
              </w:rPr>
              <w:t xml:space="preserve"> </w:t>
            </w:r>
          </w:p>
        </w:tc>
        <w:tc>
          <w:tcPr>
            <w:tcW w:w="2268" w:type="dxa"/>
            <w:shd w:val="clear" w:color="auto" w:fill="C2D69B"/>
            <w:vAlign w:val="center"/>
          </w:tcPr>
          <w:p w14:paraId="42ED6393" w14:textId="10B35E1D" w:rsidR="000112B5" w:rsidRPr="0065549F" w:rsidRDefault="000112B5" w:rsidP="00D11D71">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26 February 2025</w:t>
            </w:r>
          </w:p>
        </w:tc>
      </w:tr>
      <w:tr w:rsidR="00486446" w:rsidRPr="00486446" w14:paraId="223D6A58" w14:textId="77777777" w:rsidTr="006E0577">
        <w:trPr>
          <w:trHeight w:val="397"/>
        </w:trPr>
        <w:tc>
          <w:tcPr>
            <w:tcW w:w="975" w:type="dxa"/>
            <w:shd w:val="clear" w:color="auto" w:fill="C2D69B"/>
            <w:vAlign w:val="center"/>
          </w:tcPr>
          <w:p w14:paraId="5136E1F6" w14:textId="48CD7E93" w:rsidR="000112B5" w:rsidRPr="0065549F" w:rsidRDefault="006D6016"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27AC78FE" wp14:editId="152BB50D">
                  <wp:extent cx="164465" cy="146050"/>
                  <wp:effectExtent l="0" t="0" r="6985" b="6350"/>
                  <wp:docPr id="2378830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41876E23" w14:textId="7FAB15C3"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IPCEI Design Support Hub</w:t>
            </w:r>
            <w:r w:rsidR="00992876">
              <w:rPr>
                <w:rStyle w:val="EndnoteReference"/>
                <w:rFonts w:ascii="Times New Roman" w:hAnsi="Times New Roman" w:cs="Times New Roman"/>
                <w:noProof/>
                <w:sz w:val="20"/>
                <w:szCs w:val="20"/>
                <w:lang w:val="en-IE"/>
              </w:rPr>
              <w:endnoteReference w:id="55"/>
            </w:r>
          </w:p>
        </w:tc>
        <w:tc>
          <w:tcPr>
            <w:tcW w:w="2268" w:type="dxa"/>
            <w:shd w:val="clear" w:color="auto" w:fill="C2D69B"/>
            <w:vAlign w:val="center"/>
          </w:tcPr>
          <w:p w14:paraId="03991168" w14:textId="77777777" w:rsidR="000112B5" w:rsidRPr="0065549F" w:rsidRDefault="000112B5" w:rsidP="00D11D71">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9 April 2025</w:t>
            </w:r>
          </w:p>
        </w:tc>
      </w:tr>
      <w:tr w:rsidR="00486446" w:rsidRPr="00486446" w14:paraId="4A70A4E9" w14:textId="77777777" w:rsidTr="006E0577">
        <w:trPr>
          <w:trHeight w:val="397"/>
        </w:trPr>
        <w:tc>
          <w:tcPr>
            <w:tcW w:w="975" w:type="dxa"/>
            <w:shd w:val="clear" w:color="auto" w:fill="C2D69B"/>
            <w:vAlign w:val="center"/>
          </w:tcPr>
          <w:p w14:paraId="29258837" w14:textId="4096D11E" w:rsidR="000112B5" w:rsidRPr="0065549F" w:rsidRDefault="006D6016"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493601BD" wp14:editId="486AB461">
                  <wp:extent cx="164465" cy="146050"/>
                  <wp:effectExtent l="0" t="0" r="6985" b="6350"/>
                  <wp:docPr id="8737254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1FE75C15" w14:textId="20F6E4FA"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Clean Industrial Deal State aid framework</w:t>
            </w:r>
            <w:r w:rsidR="00E97AB8">
              <w:rPr>
                <w:rStyle w:val="EndnoteReference"/>
                <w:rFonts w:ascii="Times New Roman" w:hAnsi="Times New Roman" w:cs="Times New Roman"/>
                <w:noProof/>
                <w:sz w:val="20"/>
                <w:szCs w:val="20"/>
                <w:lang w:val="en-IE"/>
              </w:rPr>
              <w:endnoteReference w:id="56"/>
            </w:r>
          </w:p>
        </w:tc>
        <w:tc>
          <w:tcPr>
            <w:tcW w:w="2268" w:type="dxa"/>
            <w:shd w:val="clear" w:color="auto" w:fill="C2D69B"/>
            <w:vAlign w:val="center"/>
          </w:tcPr>
          <w:p w14:paraId="09C44AA7" w14:textId="77777777"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25 June 2025</w:t>
            </w:r>
          </w:p>
        </w:tc>
      </w:tr>
      <w:tr w:rsidR="00486446" w:rsidRPr="00486446" w14:paraId="4BB91A14" w14:textId="77777777" w:rsidTr="006E0577">
        <w:trPr>
          <w:trHeight w:val="397"/>
        </w:trPr>
        <w:tc>
          <w:tcPr>
            <w:tcW w:w="975" w:type="dxa"/>
            <w:shd w:val="clear" w:color="auto" w:fill="C2D69B"/>
            <w:vAlign w:val="center"/>
          </w:tcPr>
          <w:p w14:paraId="5E7359FB" w14:textId="1A8B5466" w:rsidR="000112B5" w:rsidRPr="0065549F" w:rsidRDefault="006D6016"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5971DD21" wp14:editId="165D762D">
                  <wp:extent cx="164465" cy="146050"/>
                  <wp:effectExtent l="0" t="0" r="6985" b="6350"/>
                  <wp:docPr id="8737567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0A4FDC23" w14:textId="02D4154D"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Recommendation to Member States to adopt tax incentives to support the Clean Industrial Deal</w:t>
            </w:r>
            <w:r w:rsidR="005D580C">
              <w:rPr>
                <w:rStyle w:val="EndnoteReference"/>
                <w:rFonts w:ascii="Times New Roman" w:hAnsi="Times New Roman" w:cs="Times New Roman"/>
                <w:noProof/>
                <w:sz w:val="20"/>
                <w:szCs w:val="20"/>
                <w:lang w:val="en-IE"/>
              </w:rPr>
              <w:endnoteReference w:id="57"/>
            </w:r>
          </w:p>
        </w:tc>
        <w:tc>
          <w:tcPr>
            <w:tcW w:w="2268" w:type="dxa"/>
            <w:shd w:val="clear" w:color="auto" w:fill="C2D69B"/>
            <w:vAlign w:val="center"/>
          </w:tcPr>
          <w:p w14:paraId="34BCD80C" w14:textId="77777777"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 July 2025</w:t>
            </w:r>
          </w:p>
        </w:tc>
      </w:tr>
      <w:tr w:rsidR="00486446" w:rsidRPr="00486446" w14:paraId="28EE360B" w14:textId="77777777" w:rsidTr="006E0577">
        <w:trPr>
          <w:trHeight w:val="397"/>
        </w:trPr>
        <w:tc>
          <w:tcPr>
            <w:tcW w:w="975" w:type="dxa"/>
            <w:shd w:val="clear" w:color="auto" w:fill="C2D69B"/>
            <w:vAlign w:val="center"/>
          </w:tcPr>
          <w:p w14:paraId="172A4351" w14:textId="76E5C638" w:rsidR="000112B5" w:rsidRPr="00EC17DB" w:rsidRDefault="005600C4" w:rsidP="00B54DC8">
            <w:pPr>
              <w:suppressAutoHyphens w:val="0"/>
              <w:jc w:val="center"/>
              <w:rPr>
                <w:rFonts w:ascii="Times New Roman" w:hAnsi="Times New Roman" w:cs="Times New Roman"/>
                <w:noProof/>
                <w:sz w:val="20"/>
                <w:szCs w:val="20"/>
                <w:lang w:val="en-IE"/>
              </w:rPr>
            </w:pPr>
            <w:r w:rsidRPr="0065549F">
              <w:rPr>
                <w:rFonts w:ascii="Times New Roman" w:hAnsi="Times New Roman"/>
                <w:noProof/>
                <w:lang w:eastAsia="en-GB"/>
              </w:rPr>
              <w:drawing>
                <wp:inline distT="0" distB="0" distL="0" distR="0" wp14:anchorId="259A1B92" wp14:editId="24208828">
                  <wp:extent cx="164465" cy="146050"/>
                  <wp:effectExtent l="0" t="0" r="6985" b="6350"/>
                  <wp:docPr id="8068894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4B6529EE" w14:textId="64B602EC"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Flagship call </w:t>
            </w:r>
            <w:r w:rsidR="005E0C00">
              <w:rPr>
                <w:rFonts w:ascii="Times New Roman" w:hAnsi="Times New Roman" w:cs="Times New Roman"/>
                <w:noProof/>
                <w:sz w:val="20"/>
                <w:szCs w:val="20"/>
                <w:lang w:val="en-IE"/>
              </w:rPr>
              <w:t>for proposals</w:t>
            </w:r>
            <w:r w:rsidRPr="0065549F">
              <w:rPr>
                <w:rFonts w:ascii="Times New Roman" w:hAnsi="Times New Roman" w:cs="Times New Roman"/>
                <w:noProof/>
                <w:sz w:val="20"/>
                <w:szCs w:val="20"/>
                <w:lang w:val="en-IE"/>
              </w:rPr>
              <w:t xml:space="preserve"> under </w:t>
            </w:r>
            <w:r w:rsidR="005E0C00">
              <w:rPr>
                <w:rFonts w:ascii="Times New Roman" w:hAnsi="Times New Roman" w:cs="Times New Roman"/>
                <w:noProof/>
                <w:sz w:val="20"/>
                <w:szCs w:val="20"/>
                <w:lang w:val="en-IE"/>
              </w:rPr>
              <w:t xml:space="preserve">the </w:t>
            </w:r>
            <w:r w:rsidRPr="0065549F">
              <w:rPr>
                <w:rFonts w:ascii="Times New Roman" w:hAnsi="Times New Roman" w:cs="Times New Roman"/>
                <w:noProof/>
                <w:sz w:val="20"/>
                <w:szCs w:val="20"/>
                <w:lang w:val="en-IE"/>
              </w:rPr>
              <w:t>Horizon Europe</w:t>
            </w:r>
            <w:r w:rsidR="005E0C00">
              <w:rPr>
                <w:rFonts w:ascii="Times New Roman" w:hAnsi="Times New Roman" w:cs="Times New Roman"/>
                <w:noProof/>
                <w:sz w:val="20"/>
                <w:szCs w:val="20"/>
                <w:lang w:val="en-IE"/>
              </w:rPr>
              <w:t xml:space="preserve"> programme</w:t>
            </w:r>
            <w:r w:rsidR="00A52B43">
              <w:rPr>
                <w:rStyle w:val="EndnoteReference"/>
                <w:rFonts w:ascii="Times New Roman" w:hAnsi="Times New Roman" w:cs="Times New Roman"/>
                <w:noProof/>
                <w:sz w:val="20"/>
                <w:szCs w:val="20"/>
                <w:lang w:val="en-IE"/>
              </w:rPr>
              <w:endnoteReference w:id="58"/>
            </w:r>
          </w:p>
        </w:tc>
        <w:tc>
          <w:tcPr>
            <w:tcW w:w="2268" w:type="dxa"/>
            <w:shd w:val="clear" w:color="auto" w:fill="C2D69B"/>
            <w:vAlign w:val="center"/>
          </w:tcPr>
          <w:p w14:paraId="03066F73" w14:textId="72E5CA22" w:rsidR="000112B5" w:rsidRPr="0065549F" w:rsidRDefault="0007282F" w:rsidP="000112B5">
            <w:pPr>
              <w:suppressAutoHyphens w:val="0"/>
              <w:jc w:val="center"/>
              <w:rPr>
                <w:rFonts w:ascii="Times New Roman" w:hAnsi="Times New Roman" w:cs="Times New Roman"/>
                <w:noProof/>
                <w:sz w:val="20"/>
                <w:szCs w:val="20"/>
                <w:highlight w:val="yellow"/>
                <w:lang w:val="en-IE"/>
              </w:rPr>
            </w:pPr>
            <w:r w:rsidRPr="00EC17DB">
              <w:rPr>
                <w:rFonts w:ascii="Times New Roman" w:hAnsi="Times New Roman" w:cs="Times New Roman"/>
                <w:noProof/>
                <w:sz w:val="20"/>
                <w:szCs w:val="20"/>
                <w:lang w:val="en-IE"/>
              </w:rPr>
              <w:t xml:space="preserve">11 </w:t>
            </w:r>
            <w:r w:rsidR="000112B5" w:rsidRPr="00EC17DB">
              <w:rPr>
                <w:rFonts w:ascii="Times New Roman" w:hAnsi="Times New Roman" w:cs="Times New Roman"/>
                <w:noProof/>
                <w:sz w:val="20"/>
                <w:szCs w:val="20"/>
                <w:lang w:val="en-IE"/>
              </w:rPr>
              <w:t>December 2025</w:t>
            </w:r>
          </w:p>
        </w:tc>
      </w:tr>
      <w:tr w:rsidR="00486446" w:rsidRPr="00486446" w14:paraId="6E28680D" w14:textId="77777777" w:rsidTr="006E0577">
        <w:trPr>
          <w:trHeight w:val="397"/>
        </w:trPr>
        <w:tc>
          <w:tcPr>
            <w:tcW w:w="975" w:type="dxa"/>
            <w:shd w:val="clear" w:color="auto" w:fill="C2D69B"/>
            <w:vAlign w:val="center"/>
          </w:tcPr>
          <w:p w14:paraId="559BFE5E" w14:textId="718D2F7E" w:rsidR="000112B5" w:rsidRPr="0065549F" w:rsidRDefault="00F100BA" w:rsidP="0065549F">
            <w:pPr>
              <w:suppressAutoHyphens w:val="0"/>
              <w:jc w:val="center"/>
              <w:rPr>
                <w:rFonts w:ascii="Times New Roman" w:hAnsi="Times New Roman" w:cs="Times New Roman"/>
                <w:noProof/>
                <w:sz w:val="20"/>
                <w:szCs w:val="20"/>
                <w:highlight w:val="yellow"/>
                <w:lang w:val="en-IE"/>
              </w:rPr>
            </w:pPr>
            <w:r w:rsidRPr="0065549F">
              <w:rPr>
                <w:rFonts w:ascii="Times New Roman" w:eastAsia="Times New Roman" w:hAnsi="Times New Roman" w:cs="Times New Roman"/>
                <w:noProof/>
                <w:sz w:val="20"/>
                <w:szCs w:val="20"/>
                <w:lang w:eastAsia="en-GB"/>
              </w:rPr>
              <w:drawing>
                <wp:inline distT="0" distB="0" distL="0" distR="0" wp14:anchorId="5063DF9F" wp14:editId="2286B181">
                  <wp:extent cx="164465" cy="146050"/>
                  <wp:effectExtent l="0" t="0" r="6985" b="6350"/>
                  <wp:docPr id="16146056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5C7A39BC" w14:textId="453029CD"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Pilot auction under the Innovation Fund</w:t>
            </w:r>
            <w:r w:rsidR="008B60B7">
              <w:rPr>
                <w:rFonts w:ascii="Times New Roman" w:hAnsi="Times New Roman" w:cs="Times New Roman"/>
                <w:noProof/>
                <w:sz w:val="20"/>
                <w:szCs w:val="20"/>
                <w:lang w:val="en-IE"/>
              </w:rPr>
              <w:t xml:space="preserve"> for </w:t>
            </w:r>
            <w:r w:rsidR="00927451">
              <w:rPr>
                <w:rFonts w:ascii="Times New Roman" w:hAnsi="Times New Roman" w:cs="Times New Roman"/>
                <w:noProof/>
                <w:sz w:val="20"/>
                <w:szCs w:val="20"/>
                <w:lang w:val="en-IE"/>
              </w:rPr>
              <w:t>i</w:t>
            </w:r>
            <w:r w:rsidR="008B60B7">
              <w:rPr>
                <w:rFonts w:ascii="Times New Roman" w:hAnsi="Times New Roman" w:cs="Times New Roman"/>
                <w:noProof/>
                <w:sz w:val="20"/>
                <w:szCs w:val="20"/>
                <w:lang w:val="en-IE"/>
              </w:rPr>
              <w:t xml:space="preserve">ndustrial </w:t>
            </w:r>
            <w:r w:rsidR="00927451">
              <w:rPr>
                <w:rFonts w:ascii="Times New Roman" w:hAnsi="Times New Roman" w:cs="Times New Roman"/>
                <w:noProof/>
                <w:sz w:val="20"/>
                <w:szCs w:val="20"/>
                <w:lang w:val="en-IE"/>
              </w:rPr>
              <w:t>d</w:t>
            </w:r>
            <w:r w:rsidR="008B60B7">
              <w:rPr>
                <w:rFonts w:ascii="Times New Roman" w:hAnsi="Times New Roman" w:cs="Times New Roman"/>
                <w:noProof/>
                <w:sz w:val="20"/>
                <w:szCs w:val="20"/>
                <w:lang w:val="en-IE"/>
              </w:rPr>
              <w:t>ecarbonisation</w:t>
            </w:r>
            <w:r w:rsidR="00591F57">
              <w:rPr>
                <w:rStyle w:val="EndnoteReference"/>
                <w:rFonts w:ascii="Times New Roman" w:hAnsi="Times New Roman" w:cs="Times New Roman"/>
                <w:noProof/>
                <w:sz w:val="20"/>
                <w:szCs w:val="20"/>
                <w:lang w:val="en-IE"/>
              </w:rPr>
              <w:endnoteReference w:id="59"/>
            </w:r>
          </w:p>
        </w:tc>
        <w:tc>
          <w:tcPr>
            <w:tcW w:w="2268" w:type="dxa"/>
            <w:shd w:val="clear" w:color="auto" w:fill="C2D69B"/>
            <w:vAlign w:val="center"/>
          </w:tcPr>
          <w:p w14:paraId="5805B61D" w14:textId="45BCA3EE"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10 October 2025</w:t>
            </w:r>
          </w:p>
        </w:tc>
      </w:tr>
      <w:tr w:rsidR="00486446" w:rsidRPr="00486446" w14:paraId="59C814B8" w14:textId="77777777" w:rsidTr="006E0577">
        <w:trPr>
          <w:trHeight w:val="397"/>
        </w:trPr>
        <w:tc>
          <w:tcPr>
            <w:tcW w:w="975" w:type="dxa"/>
            <w:vAlign w:val="center"/>
          </w:tcPr>
          <w:p w14:paraId="1F2C9BAF" w14:textId="77777777" w:rsidR="000112B5" w:rsidRPr="0065549F" w:rsidRDefault="000112B5" w:rsidP="0065549F">
            <w:pPr>
              <w:suppressAutoHyphens w:val="0"/>
              <w:jc w:val="center"/>
              <w:rPr>
                <w:rFonts w:ascii="Times New Roman" w:hAnsi="Times New Roman" w:cs="Times New Roman"/>
                <w:noProof/>
                <w:sz w:val="20"/>
                <w:szCs w:val="20"/>
                <w:highlight w:val="yellow"/>
              </w:rPr>
            </w:pPr>
          </w:p>
        </w:tc>
        <w:tc>
          <w:tcPr>
            <w:tcW w:w="6113" w:type="dxa"/>
            <w:vAlign w:val="center"/>
          </w:tcPr>
          <w:p w14:paraId="0D5D3DDA" w14:textId="77777777"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Industrial Decarbonisation Bank</w:t>
            </w:r>
          </w:p>
        </w:tc>
        <w:tc>
          <w:tcPr>
            <w:tcW w:w="2268" w:type="dxa"/>
            <w:vAlign w:val="center"/>
          </w:tcPr>
          <w:p w14:paraId="0EAB3976" w14:textId="51FA75C8"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Q2 2026</w:t>
            </w:r>
          </w:p>
        </w:tc>
      </w:tr>
      <w:tr w:rsidR="00486446" w:rsidRPr="00486446" w14:paraId="5D1C135E" w14:textId="77777777" w:rsidTr="006E0577">
        <w:trPr>
          <w:trHeight w:val="397"/>
        </w:trPr>
        <w:tc>
          <w:tcPr>
            <w:tcW w:w="975" w:type="dxa"/>
            <w:shd w:val="clear" w:color="auto" w:fill="C2D69B"/>
            <w:vAlign w:val="center"/>
          </w:tcPr>
          <w:p w14:paraId="6BCFC12A" w14:textId="69411E31" w:rsidR="000112B5" w:rsidRPr="0065549F" w:rsidRDefault="006D6016" w:rsidP="0065549F">
            <w:pPr>
              <w:suppressAutoHyphens w:val="0"/>
              <w:jc w:val="center"/>
              <w:rPr>
                <w:rFonts w:ascii="Times New Roman" w:eastAsia="Times New Roman" w:hAnsi="Times New Roman" w:cs="Times New Roman"/>
                <w:noProof/>
                <w:sz w:val="20"/>
                <w:szCs w:val="20"/>
              </w:rPr>
            </w:pPr>
            <w:r w:rsidRPr="0065549F">
              <w:rPr>
                <w:rFonts w:ascii="Times New Roman" w:eastAsia="Times New Roman" w:hAnsi="Times New Roman" w:cs="Times New Roman"/>
                <w:noProof/>
                <w:sz w:val="20"/>
                <w:szCs w:val="20"/>
                <w:lang w:eastAsia="en-GB"/>
              </w:rPr>
              <w:drawing>
                <wp:inline distT="0" distB="0" distL="0" distR="0" wp14:anchorId="14FE0CE5" wp14:editId="6326F991">
                  <wp:extent cx="164465" cy="146050"/>
                  <wp:effectExtent l="0" t="0" r="6985" b="6350"/>
                  <wp:docPr id="4088797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1C325ECC" w14:textId="66AF1390" w:rsidR="000112B5" w:rsidRPr="0065549F" w:rsidRDefault="000112B5" w:rsidP="000112B5">
            <w:pPr>
              <w:suppressAutoHyphens w:val="0"/>
              <w:rPr>
                <w:rFonts w:ascii="Times New Roman" w:hAnsi="Times New Roman" w:cs="Times New Roman"/>
                <w:noProof/>
                <w:sz w:val="20"/>
                <w:szCs w:val="20"/>
              </w:rPr>
            </w:pPr>
            <w:r w:rsidRPr="0065549F">
              <w:rPr>
                <w:rFonts w:ascii="Times New Roman" w:eastAsia="Times New Roman" w:hAnsi="Times New Roman" w:cs="Times New Roman"/>
                <w:noProof/>
                <w:sz w:val="20"/>
                <w:szCs w:val="20"/>
              </w:rPr>
              <w:t>TechEU investment programme</w:t>
            </w:r>
            <w:r w:rsidRPr="0065549F">
              <w:rPr>
                <w:rFonts w:ascii="Times New Roman" w:eastAsia="Times New Roman" w:hAnsi="Times New Roman" w:cs="Times New Roman"/>
                <w:noProof/>
                <w:sz w:val="20"/>
                <w:szCs w:val="20"/>
                <w:lang w:val="en-IE"/>
              </w:rPr>
              <w:t xml:space="preserve"> on scale-ups with the EIB Group and private sector</w:t>
            </w:r>
            <w:r w:rsidR="0052713F">
              <w:rPr>
                <w:rStyle w:val="EndnoteReference"/>
                <w:rFonts w:ascii="Times New Roman" w:eastAsia="Times New Roman" w:hAnsi="Times New Roman" w:cs="Times New Roman"/>
                <w:noProof/>
                <w:sz w:val="20"/>
                <w:szCs w:val="20"/>
                <w:lang w:val="en-IE"/>
              </w:rPr>
              <w:endnoteReference w:id="60"/>
            </w:r>
          </w:p>
        </w:tc>
        <w:tc>
          <w:tcPr>
            <w:tcW w:w="2268" w:type="dxa"/>
            <w:shd w:val="clear" w:color="auto" w:fill="C2D69B"/>
            <w:vAlign w:val="center"/>
          </w:tcPr>
          <w:p w14:paraId="536B795F" w14:textId="77777777" w:rsidR="000112B5" w:rsidRPr="0065549F" w:rsidRDefault="000112B5" w:rsidP="000112B5">
            <w:pPr>
              <w:suppressAutoHyphens w:val="0"/>
              <w:jc w:val="center"/>
              <w:rPr>
                <w:rFonts w:ascii="Times New Roman" w:hAnsi="Times New Roman" w:cs="Times New Roman"/>
                <w:noProof/>
                <w:sz w:val="20"/>
                <w:szCs w:val="20"/>
              </w:rPr>
            </w:pPr>
            <w:r w:rsidRPr="0065549F">
              <w:rPr>
                <w:rFonts w:ascii="Times New Roman" w:hAnsi="Times New Roman" w:cs="Times New Roman"/>
                <w:noProof/>
                <w:sz w:val="20"/>
                <w:szCs w:val="20"/>
              </w:rPr>
              <w:t>20 June 2026</w:t>
            </w:r>
          </w:p>
        </w:tc>
      </w:tr>
      <w:tr w:rsidR="00486446" w:rsidRPr="00323814" w14:paraId="3A44CDBC" w14:textId="77777777" w:rsidTr="006E0577">
        <w:trPr>
          <w:trHeight w:val="397"/>
        </w:trPr>
        <w:tc>
          <w:tcPr>
            <w:tcW w:w="975" w:type="dxa"/>
            <w:shd w:val="clear" w:color="auto" w:fill="8DB3E2"/>
            <w:vAlign w:val="center"/>
          </w:tcPr>
          <w:p w14:paraId="191FDF88" w14:textId="77777777" w:rsidR="000112B5" w:rsidRPr="00323814" w:rsidRDefault="000112B5" w:rsidP="00E552B6">
            <w:pPr>
              <w:suppressAutoHyphens w:val="0"/>
              <w:jc w:val="center"/>
              <w:rPr>
                <w:rFonts w:ascii="Times New Roman" w:hAnsi="Times New Roman" w:cs="Times New Roman"/>
                <w:b/>
                <w:noProof/>
                <w:highlight w:val="yellow"/>
                <w:lang w:val="en-IE"/>
              </w:rPr>
            </w:pPr>
            <w:r w:rsidRPr="00323814">
              <w:rPr>
                <w:rFonts w:ascii="Times New Roman" w:hAnsi="Times New Roman" w:cs="Times New Roman"/>
                <w:b/>
                <w:noProof/>
                <w:lang w:val="en-IE"/>
              </w:rPr>
              <w:t>Status</w:t>
            </w:r>
          </w:p>
        </w:tc>
        <w:tc>
          <w:tcPr>
            <w:tcW w:w="6113" w:type="dxa"/>
            <w:shd w:val="clear" w:color="auto" w:fill="8DB3E2"/>
            <w:vAlign w:val="center"/>
          </w:tcPr>
          <w:p w14:paraId="76CF2AD6" w14:textId="77777777" w:rsidR="000112B5" w:rsidRPr="00323814" w:rsidRDefault="000112B5" w:rsidP="00D11D71">
            <w:pPr>
              <w:suppressAutoHyphens w:val="0"/>
              <w:rPr>
                <w:rFonts w:ascii="Times New Roman" w:hAnsi="Times New Roman" w:cs="Times New Roman"/>
                <w:b/>
                <w:noProof/>
                <w:lang w:val="en-IE"/>
              </w:rPr>
            </w:pPr>
            <w:r w:rsidRPr="00323814">
              <w:rPr>
                <w:rFonts w:ascii="Times New Roman" w:hAnsi="Times New Roman" w:cs="Times New Roman"/>
                <w:b/>
                <w:noProof/>
                <w:lang w:val="en-IE"/>
              </w:rPr>
              <w:t>Powering the circular economy: a secure access to materials and resources</w:t>
            </w:r>
          </w:p>
        </w:tc>
        <w:tc>
          <w:tcPr>
            <w:tcW w:w="2268" w:type="dxa"/>
            <w:shd w:val="clear" w:color="auto" w:fill="8DB3E2"/>
            <w:vAlign w:val="center"/>
          </w:tcPr>
          <w:p w14:paraId="04AB4A0F" w14:textId="77777777" w:rsidR="000112B5" w:rsidRPr="00323814" w:rsidRDefault="000112B5" w:rsidP="000112B5">
            <w:pPr>
              <w:suppressAutoHyphens w:val="0"/>
              <w:jc w:val="center"/>
              <w:rPr>
                <w:rFonts w:ascii="Times New Roman" w:hAnsi="Times New Roman" w:cs="Times New Roman"/>
                <w:b/>
                <w:noProof/>
                <w:lang w:val="en-IE"/>
              </w:rPr>
            </w:pPr>
            <w:r w:rsidRPr="00323814">
              <w:rPr>
                <w:rFonts w:ascii="Times New Roman" w:hAnsi="Times New Roman" w:cs="Times New Roman"/>
                <w:b/>
                <w:noProof/>
                <w:lang w:val="en-IE"/>
              </w:rPr>
              <w:t>Timeline</w:t>
            </w:r>
          </w:p>
        </w:tc>
      </w:tr>
      <w:tr w:rsidR="00486446" w:rsidRPr="00486446" w14:paraId="34039BA2" w14:textId="77777777" w:rsidTr="006E0577">
        <w:trPr>
          <w:trHeight w:val="397"/>
        </w:trPr>
        <w:tc>
          <w:tcPr>
            <w:tcW w:w="975" w:type="dxa"/>
            <w:shd w:val="clear" w:color="auto" w:fill="C2D69B"/>
            <w:vAlign w:val="center"/>
          </w:tcPr>
          <w:p w14:paraId="7C95662E" w14:textId="5FF41068" w:rsidR="000112B5" w:rsidRPr="0065549F" w:rsidRDefault="0079648A"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537FAD94" wp14:editId="15E727F1">
                  <wp:extent cx="164465" cy="146050"/>
                  <wp:effectExtent l="0" t="0" r="6985" b="6350"/>
                  <wp:docPr id="10697818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0A7DFE75" w14:textId="4A66D77F"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First list of Strategic Projects under the Critical Raw Materials Act</w:t>
            </w:r>
            <w:r w:rsidR="009413FA">
              <w:rPr>
                <w:rStyle w:val="EndnoteReference"/>
                <w:rFonts w:ascii="Times New Roman" w:hAnsi="Times New Roman" w:cs="Times New Roman"/>
                <w:noProof/>
                <w:sz w:val="20"/>
                <w:szCs w:val="20"/>
                <w:lang w:val="en-IE"/>
              </w:rPr>
              <w:endnoteReference w:id="61"/>
            </w:r>
            <w:r w:rsidRPr="0065549F">
              <w:rPr>
                <w:rFonts w:ascii="Times New Roman" w:hAnsi="Times New Roman" w:cs="Times New Roman"/>
                <w:noProof/>
                <w:sz w:val="20"/>
                <w:szCs w:val="20"/>
                <w:lang w:val="en-IE"/>
              </w:rPr>
              <w:t xml:space="preserve"> </w:t>
            </w:r>
          </w:p>
        </w:tc>
        <w:tc>
          <w:tcPr>
            <w:tcW w:w="2268" w:type="dxa"/>
            <w:shd w:val="clear" w:color="auto" w:fill="C2D69B"/>
            <w:vAlign w:val="center"/>
          </w:tcPr>
          <w:p w14:paraId="1E9778D7" w14:textId="19969735"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25 March 2025 &amp; 4 June 2025</w:t>
            </w:r>
          </w:p>
        </w:tc>
      </w:tr>
      <w:tr w:rsidR="00486446" w:rsidRPr="00486446" w14:paraId="05F1BBCB" w14:textId="77777777" w:rsidTr="006E0577">
        <w:trPr>
          <w:trHeight w:val="397"/>
        </w:trPr>
        <w:tc>
          <w:tcPr>
            <w:tcW w:w="975" w:type="dxa"/>
            <w:shd w:val="clear" w:color="auto" w:fill="C2D69B"/>
            <w:vAlign w:val="center"/>
          </w:tcPr>
          <w:p w14:paraId="0976734A" w14:textId="68E44CB0" w:rsidR="000112B5" w:rsidRPr="0065549F" w:rsidRDefault="0079648A"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3A798843" wp14:editId="76139912">
                  <wp:extent cx="164465" cy="146050"/>
                  <wp:effectExtent l="0" t="0" r="6985" b="6350"/>
                  <wp:docPr id="1480772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2031A4C4" w14:textId="11FAAF05" w:rsidR="000112B5" w:rsidRPr="0065549F" w:rsidRDefault="000112B5" w:rsidP="000112B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lang w:val="en-IE"/>
              </w:rPr>
              <w:t>Ecodesign f</w:t>
            </w:r>
            <w:r w:rsidRPr="0065549F">
              <w:rPr>
                <w:rFonts w:ascii="Times New Roman" w:hAnsi="Times New Roman" w:cs="Times New Roman"/>
                <w:noProof/>
                <w:sz w:val="20"/>
                <w:szCs w:val="20"/>
              </w:rPr>
              <w:t>or</w:t>
            </w:r>
            <w:r w:rsidR="00A10D68" w:rsidRPr="0065549F">
              <w:rPr>
                <w:rFonts w:ascii="Times New Roman" w:hAnsi="Times New Roman" w:cs="Times New Roman"/>
                <w:noProof/>
                <w:sz w:val="20"/>
                <w:szCs w:val="20"/>
              </w:rPr>
              <w:t xml:space="preserve"> </w:t>
            </w:r>
            <w:r w:rsidRPr="0065549F">
              <w:rPr>
                <w:rFonts w:ascii="Times New Roman" w:hAnsi="Times New Roman" w:cs="Times New Roman"/>
                <w:noProof/>
                <w:sz w:val="20"/>
                <w:szCs w:val="20"/>
              </w:rPr>
              <w:t>Sustainable</w:t>
            </w:r>
            <w:r w:rsidR="00A10D68" w:rsidRPr="0065549F">
              <w:rPr>
                <w:rFonts w:ascii="Times New Roman" w:hAnsi="Times New Roman" w:cs="Times New Roman"/>
                <w:noProof/>
                <w:sz w:val="20"/>
                <w:szCs w:val="20"/>
              </w:rPr>
              <w:t xml:space="preserve"> </w:t>
            </w:r>
            <w:r w:rsidRPr="0065549F">
              <w:rPr>
                <w:rFonts w:ascii="Times New Roman" w:hAnsi="Times New Roman" w:cs="Times New Roman"/>
                <w:noProof/>
                <w:sz w:val="20"/>
                <w:szCs w:val="20"/>
              </w:rPr>
              <w:t>Products</w:t>
            </w:r>
            <w:r w:rsidR="00A10D68" w:rsidRPr="0065549F">
              <w:rPr>
                <w:rFonts w:ascii="Times New Roman" w:hAnsi="Times New Roman" w:cs="Times New Roman"/>
                <w:noProof/>
                <w:sz w:val="20"/>
                <w:szCs w:val="20"/>
              </w:rPr>
              <w:t xml:space="preserve"> </w:t>
            </w:r>
            <w:r w:rsidRPr="0065549F">
              <w:rPr>
                <w:rFonts w:ascii="Times New Roman" w:hAnsi="Times New Roman" w:cs="Times New Roman"/>
                <w:noProof/>
                <w:sz w:val="20"/>
                <w:szCs w:val="20"/>
              </w:rPr>
              <w:t>and</w:t>
            </w:r>
            <w:r w:rsidR="00A10D68" w:rsidRPr="0065549F">
              <w:rPr>
                <w:rFonts w:ascii="Times New Roman" w:hAnsi="Times New Roman" w:cs="Times New Roman"/>
                <w:noProof/>
                <w:sz w:val="20"/>
                <w:szCs w:val="20"/>
              </w:rPr>
              <w:t xml:space="preserve"> </w:t>
            </w:r>
            <w:r w:rsidRPr="0065549F">
              <w:rPr>
                <w:rFonts w:ascii="Times New Roman" w:hAnsi="Times New Roman" w:cs="Times New Roman"/>
                <w:noProof/>
                <w:sz w:val="20"/>
                <w:szCs w:val="20"/>
              </w:rPr>
              <w:t>Energy</w:t>
            </w:r>
            <w:r w:rsidR="00A10D68" w:rsidRPr="0065549F">
              <w:rPr>
                <w:rFonts w:ascii="Times New Roman" w:hAnsi="Times New Roman" w:cs="Times New Roman"/>
                <w:noProof/>
                <w:sz w:val="20"/>
                <w:szCs w:val="20"/>
              </w:rPr>
              <w:t xml:space="preserve"> </w:t>
            </w:r>
            <w:r w:rsidRPr="0065549F">
              <w:rPr>
                <w:rFonts w:ascii="Times New Roman" w:hAnsi="Times New Roman" w:cs="Times New Roman"/>
                <w:noProof/>
                <w:sz w:val="20"/>
                <w:szCs w:val="20"/>
              </w:rPr>
              <w:t>Labelling</w:t>
            </w:r>
            <w:r w:rsidR="00A10D68" w:rsidRPr="0065549F">
              <w:rPr>
                <w:rFonts w:ascii="Times New Roman" w:hAnsi="Times New Roman" w:cs="Times New Roman"/>
                <w:noProof/>
                <w:sz w:val="20"/>
                <w:szCs w:val="20"/>
              </w:rPr>
              <w:t xml:space="preserve"> </w:t>
            </w:r>
            <w:r w:rsidRPr="0065549F">
              <w:rPr>
                <w:rFonts w:ascii="Times New Roman" w:hAnsi="Times New Roman" w:cs="Times New Roman"/>
                <w:noProof/>
                <w:sz w:val="20"/>
                <w:szCs w:val="20"/>
              </w:rPr>
              <w:t>Working</w:t>
            </w:r>
            <w:r w:rsidR="00A10D68" w:rsidRPr="0065549F">
              <w:rPr>
                <w:rFonts w:ascii="Times New Roman" w:hAnsi="Times New Roman" w:cs="Times New Roman"/>
                <w:noProof/>
                <w:sz w:val="20"/>
                <w:szCs w:val="20"/>
              </w:rPr>
              <w:t xml:space="preserve"> </w:t>
            </w:r>
            <w:r w:rsidRPr="0065549F">
              <w:rPr>
                <w:rFonts w:ascii="Times New Roman" w:hAnsi="Times New Roman" w:cs="Times New Roman"/>
                <w:noProof/>
                <w:sz w:val="20"/>
                <w:szCs w:val="20"/>
              </w:rPr>
              <w:t>Plan</w:t>
            </w:r>
            <w:r w:rsidR="00A10D68" w:rsidRPr="0065549F">
              <w:rPr>
                <w:rFonts w:ascii="Times New Roman" w:hAnsi="Times New Roman" w:cs="Times New Roman"/>
                <w:noProof/>
                <w:sz w:val="20"/>
                <w:szCs w:val="20"/>
              </w:rPr>
              <w:t xml:space="preserve"> </w:t>
            </w:r>
            <w:r w:rsidRPr="0065549F">
              <w:rPr>
                <w:rFonts w:ascii="Times New Roman" w:hAnsi="Times New Roman" w:cs="Times New Roman"/>
                <w:noProof/>
                <w:sz w:val="20"/>
                <w:szCs w:val="20"/>
              </w:rPr>
              <w:t>2025–2030</w:t>
            </w:r>
            <w:r w:rsidR="00F615A6">
              <w:rPr>
                <w:rStyle w:val="EndnoteReference"/>
                <w:rFonts w:ascii="Times New Roman" w:hAnsi="Times New Roman" w:cs="Times New Roman"/>
                <w:noProof/>
                <w:sz w:val="20"/>
                <w:szCs w:val="20"/>
              </w:rPr>
              <w:endnoteReference w:id="62"/>
            </w:r>
          </w:p>
        </w:tc>
        <w:tc>
          <w:tcPr>
            <w:tcW w:w="2268" w:type="dxa"/>
            <w:shd w:val="clear" w:color="auto" w:fill="C2D69B"/>
            <w:vAlign w:val="center"/>
          </w:tcPr>
          <w:p w14:paraId="2B8AC69A" w14:textId="4A97F881" w:rsidR="000112B5" w:rsidRPr="0065549F" w:rsidRDefault="000112B5" w:rsidP="000112B5">
            <w:pPr>
              <w:suppressAutoHyphens w:val="0"/>
              <w:jc w:val="center"/>
              <w:rPr>
                <w:rFonts w:ascii="Times New Roman" w:hAnsi="Times New Roman" w:cs="Times New Roman"/>
                <w:noProof/>
                <w:sz w:val="20"/>
                <w:szCs w:val="20"/>
              </w:rPr>
            </w:pPr>
            <w:r w:rsidRPr="0065549F">
              <w:rPr>
                <w:rFonts w:ascii="Times New Roman" w:hAnsi="Times New Roman" w:cs="Times New Roman"/>
                <w:noProof/>
                <w:sz w:val="20"/>
                <w:szCs w:val="20"/>
                <w:lang w:val="en-IE"/>
              </w:rPr>
              <w:t>16 April 2025</w:t>
            </w:r>
          </w:p>
        </w:tc>
      </w:tr>
      <w:tr w:rsidR="00486446" w:rsidRPr="00486446" w14:paraId="718F623B" w14:textId="77777777" w:rsidTr="006E0577">
        <w:trPr>
          <w:trHeight w:val="397"/>
        </w:trPr>
        <w:tc>
          <w:tcPr>
            <w:tcW w:w="975" w:type="dxa"/>
            <w:vAlign w:val="center"/>
          </w:tcPr>
          <w:p w14:paraId="25BE16EA" w14:textId="77777777" w:rsidR="000112B5" w:rsidRPr="0065549F" w:rsidRDefault="000112B5" w:rsidP="0065549F">
            <w:pPr>
              <w:suppressAutoHyphens w:val="0"/>
              <w:jc w:val="center"/>
              <w:rPr>
                <w:rFonts w:ascii="Times New Roman" w:hAnsi="Times New Roman" w:cs="Times New Roman"/>
                <w:noProof/>
                <w:sz w:val="20"/>
                <w:szCs w:val="20"/>
                <w:highlight w:val="yellow"/>
                <w:lang w:val="en-IE"/>
              </w:rPr>
            </w:pPr>
          </w:p>
        </w:tc>
        <w:tc>
          <w:tcPr>
            <w:tcW w:w="6113" w:type="dxa"/>
            <w:vAlign w:val="center"/>
          </w:tcPr>
          <w:p w14:paraId="0881E361" w14:textId="77777777"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EU Critical Raw Materials Centre for joint purchases and management of strategic stockpiles </w:t>
            </w:r>
          </w:p>
        </w:tc>
        <w:tc>
          <w:tcPr>
            <w:tcW w:w="2268" w:type="dxa"/>
            <w:vAlign w:val="center"/>
          </w:tcPr>
          <w:p w14:paraId="79FCC7F1" w14:textId="77777777"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Q2 2026</w:t>
            </w:r>
          </w:p>
        </w:tc>
      </w:tr>
      <w:tr w:rsidR="00486446" w:rsidRPr="00486446" w14:paraId="47CBB40D" w14:textId="77777777" w:rsidTr="006E0577">
        <w:trPr>
          <w:trHeight w:val="397"/>
        </w:trPr>
        <w:tc>
          <w:tcPr>
            <w:tcW w:w="975" w:type="dxa"/>
            <w:vAlign w:val="center"/>
          </w:tcPr>
          <w:p w14:paraId="24B8710A" w14:textId="77777777" w:rsidR="000112B5" w:rsidRPr="0065549F" w:rsidRDefault="000112B5" w:rsidP="0065549F">
            <w:pPr>
              <w:suppressAutoHyphens w:val="0"/>
              <w:jc w:val="center"/>
              <w:rPr>
                <w:rFonts w:ascii="Times New Roman" w:hAnsi="Times New Roman" w:cs="Times New Roman"/>
                <w:noProof/>
                <w:sz w:val="20"/>
                <w:szCs w:val="20"/>
                <w:highlight w:val="yellow"/>
                <w:lang w:val="en-IE"/>
              </w:rPr>
            </w:pPr>
          </w:p>
        </w:tc>
        <w:tc>
          <w:tcPr>
            <w:tcW w:w="6113" w:type="dxa"/>
            <w:vAlign w:val="center"/>
          </w:tcPr>
          <w:p w14:paraId="52D54CFF" w14:textId="77777777"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Circular Economy Act </w:t>
            </w:r>
          </w:p>
        </w:tc>
        <w:tc>
          <w:tcPr>
            <w:tcW w:w="2268" w:type="dxa"/>
            <w:vAlign w:val="center"/>
          </w:tcPr>
          <w:p w14:paraId="5BF7AD99" w14:textId="77777777"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Q3 2026</w:t>
            </w:r>
          </w:p>
        </w:tc>
      </w:tr>
      <w:tr w:rsidR="00486446" w:rsidRPr="00486446" w14:paraId="573D056B" w14:textId="77777777" w:rsidTr="006E0577">
        <w:trPr>
          <w:trHeight w:val="397"/>
        </w:trPr>
        <w:tc>
          <w:tcPr>
            <w:tcW w:w="975" w:type="dxa"/>
            <w:vAlign w:val="center"/>
          </w:tcPr>
          <w:p w14:paraId="6CC73F05" w14:textId="77777777" w:rsidR="000112B5" w:rsidRPr="0065549F" w:rsidRDefault="000112B5" w:rsidP="0065549F">
            <w:pPr>
              <w:suppressAutoHyphens w:val="0"/>
              <w:jc w:val="center"/>
              <w:rPr>
                <w:rFonts w:ascii="Times New Roman" w:eastAsia="Times New Roman" w:hAnsi="Times New Roman" w:cs="Times New Roman"/>
                <w:noProof/>
                <w:sz w:val="20"/>
                <w:szCs w:val="20"/>
                <w:highlight w:val="yellow"/>
                <w:lang w:val="en-IE"/>
              </w:rPr>
            </w:pPr>
          </w:p>
        </w:tc>
        <w:tc>
          <w:tcPr>
            <w:tcW w:w="6113" w:type="dxa"/>
            <w:vAlign w:val="center"/>
          </w:tcPr>
          <w:p w14:paraId="32C99D07" w14:textId="77777777"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eastAsia="Times New Roman" w:hAnsi="Times New Roman" w:cs="Times New Roman"/>
                <w:noProof/>
                <w:sz w:val="20"/>
                <w:szCs w:val="20"/>
                <w:lang w:val="en-IE"/>
              </w:rPr>
              <w:t>Green VAT initiative</w:t>
            </w:r>
          </w:p>
        </w:tc>
        <w:tc>
          <w:tcPr>
            <w:tcW w:w="2268" w:type="dxa"/>
            <w:vAlign w:val="center"/>
          </w:tcPr>
          <w:p w14:paraId="7B99D2E8" w14:textId="77777777"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Q4 2026</w:t>
            </w:r>
          </w:p>
        </w:tc>
      </w:tr>
      <w:tr w:rsidR="00486446" w:rsidRPr="00486446" w14:paraId="7C13DAB0" w14:textId="77777777" w:rsidTr="006E0577">
        <w:trPr>
          <w:trHeight w:val="397"/>
        </w:trPr>
        <w:tc>
          <w:tcPr>
            <w:tcW w:w="975" w:type="dxa"/>
            <w:vAlign w:val="center"/>
          </w:tcPr>
          <w:p w14:paraId="5B05AC84" w14:textId="77777777" w:rsidR="000112B5" w:rsidRPr="0065549F" w:rsidRDefault="000112B5" w:rsidP="0065549F">
            <w:pPr>
              <w:suppressAutoHyphens w:val="0"/>
              <w:jc w:val="center"/>
              <w:rPr>
                <w:rFonts w:ascii="Times New Roman" w:hAnsi="Times New Roman" w:cs="Times New Roman"/>
                <w:noProof/>
                <w:sz w:val="20"/>
                <w:szCs w:val="20"/>
                <w:highlight w:val="yellow"/>
                <w:lang w:val="en-IE"/>
              </w:rPr>
            </w:pPr>
          </w:p>
        </w:tc>
        <w:tc>
          <w:tcPr>
            <w:tcW w:w="6113" w:type="dxa"/>
            <w:vAlign w:val="center"/>
          </w:tcPr>
          <w:p w14:paraId="03B82B35" w14:textId="77777777"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Trans-Regional Circularity Hubs</w:t>
            </w:r>
          </w:p>
        </w:tc>
        <w:tc>
          <w:tcPr>
            <w:tcW w:w="2268" w:type="dxa"/>
            <w:vAlign w:val="center"/>
          </w:tcPr>
          <w:p w14:paraId="4B5E4F45" w14:textId="77777777"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Q4 2026</w:t>
            </w:r>
          </w:p>
        </w:tc>
      </w:tr>
      <w:tr w:rsidR="00486446" w:rsidRPr="00323814" w14:paraId="5D42A69B" w14:textId="77777777" w:rsidTr="006E0577">
        <w:trPr>
          <w:trHeight w:val="397"/>
        </w:trPr>
        <w:tc>
          <w:tcPr>
            <w:tcW w:w="975" w:type="dxa"/>
            <w:shd w:val="clear" w:color="auto" w:fill="8DB3E2"/>
            <w:vAlign w:val="center"/>
          </w:tcPr>
          <w:p w14:paraId="20B97CDD" w14:textId="77777777" w:rsidR="000112B5" w:rsidRPr="00323814" w:rsidRDefault="000112B5" w:rsidP="00E552B6">
            <w:pPr>
              <w:suppressAutoHyphens w:val="0"/>
              <w:jc w:val="center"/>
              <w:rPr>
                <w:rFonts w:ascii="Times New Roman" w:hAnsi="Times New Roman" w:cs="Times New Roman"/>
                <w:b/>
                <w:bCs/>
                <w:noProof/>
                <w:highlight w:val="yellow"/>
                <w:lang w:val="en-IE"/>
              </w:rPr>
            </w:pPr>
            <w:r w:rsidRPr="00323814">
              <w:rPr>
                <w:rFonts w:ascii="Times New Roman" w:hAnsi="Times New Roman" w:cs="Times New Roman"/>
                <w:b/>
                <w:noProof/>
                <w:lang w:val="en-IE"/>
              </w:rPr>
              <w:t>Status</w:t>
            </w:r>
          </w:p>
        </w:tc>
        <w:tc>
          <w:tcPr>
            <w:tcW w:w="6113" w:type="dxa"/>
            <w:shd w:val="clear" w:color="auto" w:fill="8DB3E2"/>
            <w:vAlign w:val="center"/>
          </w:tcPr>
          <w:p w14:paraId="06F7E58F" w14:textId="77777777" w:rsidR="000112B5" w:rsidRPr="00323814" w:rsidRDefault="000112B5" w:rsidP="00D11D71">
            <w:pPr>
              <w:suppressAutoHyphens w:val="0"/>
              <w:rPr>
                <w:rFonts w:ascii="Times New Roman" w:hAnsi="Times New Roman" w:cs="Times New Roman"/>
                <w:b/>
                <w:bCs/>
                <w:noProof/>
                <w:lang w:val="en-IE"/>
              </w:rPr>
            </w:pPr>
            <w:r w:rsidRPr="00323814">
              <w:rPr>
                <w:rFonts w:ascii="Times New Roman" w:hAnsi="Times New Roman" w:cs="Times New Roman"/>
                <w:b/>
                <w:bCs/>
                <w:noProof/>
                <w:lang w:val="en-IE"/>
              </w:rPr>
              <w:t>Global markets and international partnerships</w:t>
            </w:r>
          </w:p>
        </w:tc>
        <w:tc>
          <w:tcPr>
            <w:tcW w:w="2268" w:type="dxa"/>
            <w:shd w:val="clear" w:color="auto" w:fill="8DB3E2"/>
            <w:vAlign w:val="center"/>
          </w:tcPr>
          <w:p w14:paraId="6F2E460F" w14:textId="77777777" w:rsidR="000112B5" w:rsidRPr="00323814" w:rsidRDefault="000112B5" w:rsidP="000112B5">
            <w:pPr>
              <w:suppressAutoHyphens w:val="0"/>
              <w:jc w:val="center"/>
              <w:rPr>
                <w:rFonts w:ascii="Times New Roman" w:hAnsi="Times New Roman" w:cs="Times New Roman"/>
                <w:b/>
                <w:bCs/>
                <w:noProof/>
                <w:lang w:val="en-IE"/>
              </w:rPr>
            </w:pPr>
            <w:r w:rsidRPr="00323814">
              <w:rPr>
                <w:rFonts w:ascii="Times New Roman" w:hAnsi="Times New Roman" w:cs="Times New Roman"/>
                <w:b/>
                <w:bCs/>
                <w:noProof/>
                <w:lang w:val="en-IE"/>
              </w:rPr>
              <w:t>Timeline</w:t>
            </w:r>
          </w:p>
        </w:tc>
      </w:tr>
      <w:tr w:rsidR="00486446" w:rsidRPr="00486446" w14:paraId="5C3F808E" w14:textId="77777777" w:rsidTr="006E0577">
        <w:trPr>
          <w:trHeight w:val="397"/>
        </w:trPr>
        <w:tc>
          <w:tcPr>
            <w:tcW w:w="975" w:type="dxa"/>
            <w:shd w:val="clear" w:color="auto" w:fill="C2D69B"/>
            <w:vAlign w:val="center"/>
          </w:tcPr>
          <w:p w14:paraId="60FE7D92" w14:textId="121A5658" w:rsidR="000112B5" w:rsidRPr="0065549F" w:rsidRDefault="0079648A"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29A664B0" wp14:editId="6FB51CAF">
                  <wp:extent cx="164465" cy="146050"/>
                  <wp:effectExtent l="0" t="0" r="6985" b="6350"/>
                  <wp:docPr id="17485547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1E242E25" w14:textId="154479CA" w:rsidR="000112B5" w:rsidRPr="0065549F" w:rsidRDefault="000112B5" w:rsidP="000112B5">
            <w:pPr>
              <w:suppressAutoHyphens w:val="0"/>
              <w:jc w:val="both"/>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Launch negotiations for the first Clean Trade and Investment Partnership </w:t>
            </w:r>
            <w:r w:rsidR="009C62D6">
              <w:rPr>
                <w:rStyle w:val="EndnoteReference"/>
                <w:rFonts w:ascii="Times New Roman" w:hAnsi="Times New Roman" w:cs="Times New Roman"/>
                <w:noProof/>
                <w:sz w:val="20"/>
                <w:szCs w:val="20"/>
                <w:lang w:val="en-IE"/>
              </w:rPr>
              <w:endnoteReference w:id="63"/>
            </w:r>
          </w:p>
        </w:tc>
        <w:tc>
          <w:tcPr>
            <w:tcW w:w="2268" w:type="dxa"/>
            <w:shd w:val="clear" w:color="auto" w:fill="C2D69B"/>
            <w:vAlign w:val="center"/>
          </w:tcPr>
          <w:p w14:paraId="6D0B0EB1" w14:textId="77777777"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13 March 2025</w:t>
            </w:r>
          </w:p>
        </w:tc>
      </w:tr>
      <w:tr w:rsidR="00486446" w:rsidRPr="00486446" w:rsidDel="00627002" w14:paraId="4F19CEC9" w14:textId="77777777" w:rsidTr="006E0577">
        <w:trPr>
          <w:trHeight w:val="397"/>
        </w:trPr>
        <w:tc>
          <w:tcPr>
            <w:tcW w:w="975" w:type="dxa"/>
            <w:shd w:val="clear" w:color="auto" w:fill="C2D69B"/>
            <w:vAlign w:val="center"/>
          </w:tcPr>
          <w:p w14:paraId="0B33A2ED" w14:textId="5529A8BD" w:rsidR="000112B5" w:rsidRPr="0065549F" w:rsidRDefault="006468ED" w:rsidP="0065549F">
            <w:pPr>
              <w:suppressAutoHyphens w:val="0"/>
              <w:jc w:val="center"/>
              <w:rPr>
                <w:rFonts w:ascii="Times New Roman" w:eastAsia="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460D6EAB" wp14:editId="0C5B77E8">
                  <wp:extent cx="164465" cy="146050"/>
                  <wp:effectExtent l="0" t="0" r="6985" b="6350"/>
                  <wp:docPr id="16622174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56FE21AF" w14:textId="3A3B4E80" w:rsidR="000112B5" w:rsidRPr="0065549F" w:rsidRDefault="000112B5" w:rsidP="000112B5">
            <w:pPr>
              <w:suppressAutoHyphens w:val="0"/>
              <w:jc w:val="both"/>
              <w:rPr>
                <w:rFonts w:ascii="Times New Roman" w:eastAsia="Times New Roman" w:hAnsi="Times New Roman" w:cs="Times New Roman"/>
                <w:noProof/>
                <w:sz w:val="20"/>
                <w:szCs w:val="20"/>
                <w:lang w:val="en-IE"/>
              </w:rPr>
            </w:pPr>
            <w:r w:rsidRPr="0065549F">
              <w:rPr>
                <w:rFonts w:ascii="Times New Roman" w:eastAsia="Times New Roman" w:hAnsi="Times New Roman" w:cs="Times New Roman"/>
                <w:noProof/>
                <w:sz w:val="20"/>
                <w:szCs w:val="20"/>
                <w:lang w:val="en-IE"/>
              </w:rPr>
              <w:t>Simplification of the Carbon Border Adjustment Mechanism (CBAM)</w:t>
            </w:r>
            <w:r w:rsidR="00905073" w:rsidRPr="0065549F">
              <w:rPr>
                <w:rFonts w:ascii="Times New Roman" w:eastAsia="Times New Roman" w:hAnsi="Times New Roman" w:cs="Times New Roman"/>
                <w:noProof/>
                <w:sz w:val="20"/>
                <w:szCs w:val="20"/>
                <w:lang w:val="en-IE"/>
              </w:rPr>
              <w:t xml:space="preserve"> as part of the simplification Omnibus </w:t>
            </w:r>
            <w:r w:rsidR="00647084" w:rsidRPr="0065549F">
              <w:rPr>
                <w:rFonts w:ascii="Times New Roman" w:eastAsia="Times New Roman" w:hAnsi="Times New Roman" w:cs="Times New Roman"/>
                <w:noProof/>
                <w:sz w:val="20"/>
                <w:szCs w:val="20"/>
                <w:lang w:val="en-IE"/>
              </w:rPr>
              <w:t xml:space="preserve">I </w:t>
            </w:r>
            <w:r w:rsidR="00905073" w:rsidRPr="0065549F">
              <w:rPr>
                <w:rFonts w:ascii="Times New Roman" w:eastAsia="Times New Roman" w:hAnsi="Times New Roman" w:cs="Times New Roman"/>
                <w:noProof/>
                <w:sz w:val="20"/>
                <w:szCs w:val="20"/>
                <w:lang w:val="en-IE"/>
              </w:rPr>
              <w:t>on sustainability</w:t>
            </w:r>
            <w:r w:rsidR="00242E54">
              <w:rPr>
                <w:rStyle w:val="EndnoteReference"/>
                <w:rFonts w:ascii="Times New Roman" w:eastAsia="Times New Roman" w:hAnsi="Times New Roman" w:cs="Times New Roman"/>
                <w:noProof/>
                <w:sz w:val="20"/>
                <w:szCs w:val="20"/>
                <w:lang w:val="en-IE"/>
              </w:rPr>
              <w:endnoteReference w:id="64"/>
            </w:r>
          </w:p>
        </w:tc>
        <w:tc>
          <w:tcPr>
            <w:tcW w:w="2268" w:type="dxa"/>
            <w:shd w:val="clear" w:color="auto" w:fill="C2D69B"/>
            <w:vAlign w:val="center"/>
          </w:tcPr>
          <w:p w14:paraId="6E5F0A44" w14:textId="6732162C" w:rsidR="000112B5" w:rsidRPr="0065549F" w:rsidDel="00627002"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26 February 2025</w:t>
            </w:r>
          </w:p>
        </w:tc>
      </w:tr>
      <w:tr w:rsidR="00976892" w:rsidRPr="00486446" w14:paraId="1813F7C4" w14:textId="77777777" w:rsidTr="006E0577">
        <w:trPr>
          <w:trHeight w:val="397"/>
        </w:trPr>
        <w:tc>
          <w:tcPr>
            <w:tcW w:w="975" w:type="dxa"/>
            <w:shd w:val="clear" w:color="auto" w:fill="C2D69B"/>
            <w:vAlign w:val="center"/>
          </w:tcPr>
          <w:p w14:paraId="3CEBF837" w14:textId="77777777" w:rsidR="00976892" w:rsidRPr="00D45FC5" w:rsidRDefault="00976892">
            <w:pPr>
              <w:suppressAutoHyphens w:val="0"/>
              <w:jc w:val="center"/>
              <w:rPr>
                <w:rFonts w:ascii="Times New Roman" w:eastAsia="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5114D89E" wp14:editId="27C70B01">
                  <wp:extent cx="164465" cy="146050"/>
                  <wp:effectExtent l="0" t="0" r="6985" b="6350"/>
                  <wp:docPr id="346011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439E1D50" w14:textId="77777777" w:rsidR="00976892" w:rsidRPr="00D45FC5" w:rsidRDefault="00976892">
            <w:pPr>
              <w:suppressAutoHyphens w:val="0"/>
              <w:jc w:val="both"/>
              <w:rPr>
                <w:rFonts w:ascii="Times New Roman" w:eastAsia="Times New Roman" w:hAnsi="Times New Roman" w:cs="Times New Roman"/>
                <w:noProof/>
                <w:sz w:val="20"/>
                <w:szCs w:val="20"/>
                <w:lang w:val="en-IE"/>
              </w:rPr>
            </w:pPr>
            <w:r w:rsidRPr="00D45FC5">
              <w:rPr>
                <w:rFonts w:ascii="Times New Roman" w:eastAsia="Times New Roman" w:hAnsi="Times New Roman" w:cs="Times New Roman"/>
                <w:noProof/>
                <w:sz w:val="20"/>
                <w:szCs w:val="20"/>
                <w:lang w:val="en-IE"/>
              </w:rPr>
              <w:t xml:space="preserve">Comprehensive CBAM review assessing the feasibility of extending </w:t>
            </w:r>
            <w:r w:rsidRPr="00D45FC5">
              <w:rPr>
                <w:rFonts w:ascii="Times New Roman" w:hAnsi="Times New Roman" w:cs="Times New Roman"/>
                <w:noProof/>
                <w:sz w:val="20"/>
                <w:szCs w:val="20"/>
                <w:lang w:val="en-IE"/>
              </w:rPr>
              <w:t>the CBAM scope to other EU ETS sectors at risk of carbon leakage,</w:t>
            </w:r>
            <w:r w:rsidRPr="00D45FC5">
              <w:rPr>
                <w:rFonts w:ascii="Times New Roman" w:eastAsia="Times New Roman" w:hAnsi="Times New Roman" w:cs="Times New Roman"/>
                <w:noProof/>
                <w:sz w:val="20"/>
                <w:szCs w:val="20"/>
                <w:lang w:val="en-IE"/>
              </w:rPr>
              <w:t xml:space="preserve"> to downstream sectors and to indirect emissions and support to exporters, closing loopholes</w:t>
            </w:r>
            <w:r w:rsidRPr="001D786D">
              <w:rPr>
                <w:rStyle w:val="EndnoteReference"/>
                <w:rFonts w:ascii="Times New Roman" w:eastAsia="Times New Roman" w:hAnsi="Times New Roman" w:cs="Times New Roman"/>
                <w:noProof/>
                <w:sz w:val="20"/>
                <w:szCs w:val="20"/>
                <w:lang w:val="en-IE"/>
              </w:rPr>
              <w:endnoteReference w:id="65"/>
            </w:r>
          </w:p>
        </w:tc>
        <w:tc>
          <w:tcPr>
            <w:tcW w:w="2268" w:type="dxa"/>
            <w:shd w:val="clear" w:color="auto" w:fill="C2D69B"/>
            <w:vAlign w:val="center"/>
          </w:tcPr>
          <w:p w14:paraId="23D75CE8" w14:textId="19E01685" w:rsidR="00976892" w:rsidRPr="008857A8" w:rsidRDefault="00976892">
            <w:pPr>
              <w:suppressAutoHyphens w:val="0"/>
              <w:jc w:val="center"/>
              <w:rPr>
                <w:rFonts w:ascii="Times New Roman" w:hAnsi="Times New Roman" w:cs="Times New Roman"/>
                <w:noProof/>
                <w:sz w:val="20"/>
                <w:szCs w:val="20"/>
                <w:lang w:val="en-IE"/>
              </w:rPr>
            </w:pPr>
            <w:r w:rsidRPr="00D45FC5">
              <w:rPr>
                <w:rFonts w:ascii="Times New Roman" w:hAnsi="Times New Roman" w:cs="Times New Roman"/>
                <w:noProof/>
                <w:sz w:val="20"/>
                <w:szCs w:val="20"/>
                <w:lang w:val="en-IE"/>
              </w:rPr>
              <w:t>17 December 2025</w:t>
            </w:r>
            <w:r>
              <w:rPr>
                <w:rFonts w:ascii="Times New Roman" w:hAnsi="Times New Roman" w:cs="Times New Roman"/>
                <w:noProof/>
                <w:sz w:val="20"/>
                <w:szCs w:val="20"/>
                <w:lang w:val="en-IE"/>
              </w:rPr>
              <w:t xml:space="preserve"> </w:t>
            </w:r>
          </w:p>
        </w:tc>
      </w:tr>
      <w:tr w:rsidR="00486446" w:rsidRPr="00486446" w14:paraId="54B321CF" w14:textId="77777777" w:rsidTr="006E0577">
        <w:trPr>
          <w:trHeight w:val="397"/>
        </w:trPr>
        <w:tc>
          <w:tcPr>
            <w:tcW w:w="975" w:type="dxa"/>
            <w:shd w:val="clear" w:color="auto" w:fill="C2D69B"/>
            <w:vAlign w:val="center"/>
          </w:tcPr>
          <w:p w14:paraId="61C7D868" w14:textId="686E8A99" w:rsidR="000112B5" w:rsidRPr="0089755B" w:rsidRDefault="006468ED" w:rsidP="0065549F">
            <w:pPr>
              <w:suppressAutoHyphens w:val="0"/>
              <w:jc w:val="center"/>
              <w:rPr>
                <w:rFonts w:ascii="Times New Roman" w:eastAsia="Times New Roman" w:hAnsi="Times New Roman" w:cs="Times New Roman"/>
                <w:noProof/>
                <w:sz w:val="20"/>
                <w:szCs w:val="20"/>
                <w:highlight w:val="yellow"/>
                <w:lang w:val="en-IE"/>
              </w:rPr>
            </w:pPr>
            <w:r w:rsidRPr="0065549F">
              <w:rPr>
                <w:rFonts w:ascii="Times New Roman" w:hAnsi="Times New Roman" w:cs="Times New Roman"/>
                <w:noProof/>
                <w:sz w:val="20"/>
                <w:szCs w:val="20"/>
                <w:lang w:eastAsia="en-GB"/>
              </w:rPr>
              <w:drawing>
                <wp:inline distT="0" distB="0" distL="0" distR="0" wp14:anchorId="73C7F688" wp14:editId="5949AF46">
                  <wp:extent cx="164465" cy="146050"/>
                  <wp:effectExtent l="0" t="0" r="6985" b="6350"/>
                  <wp:docPr id="5991889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4AC5EBAB" w14:textId="32A93826" w:rsidR="000112B5" w:rsidRPr="00AF7987" w:rsidDel="00A85E97" w:rsidRDefault="000112B5" w:rsidP="000112B5">
            <w:pPr>
              <w:suppressAutoHyphens w:val="0"/>
              <w:jc w:val="both"/>
              <w:rPr>
                <w:rFonts w:ascii="Times New Roman" w:eastAsia="Times New Roman" w:hAnsi="Times New Roman" w:cs="Times New Roman"/>
                <w:noProof/>
                <w:sz w:val="20"/>
                <w:szCs w:val="20"/>
              </w:rPr>
            </w:pPr>
            <w:r w:rsidRPr="00AF7987">
              <w:rPr>
                <w:rFonts w:ascii="Times New Roman" w:eastAsia="Times New Roman" w:hAnsi="Times New Roman" w:cs="Times New Roman"/>
                <w:noProof/>
                <w:sz w:val="20"/>
                <w:szCs w:val="20"/>
                <w:lang w:val="en-IE"/>
              </w:rPr>
              <w:t>Trans-</w:t>
            </w:r>
            <w:r w:rsidR="00BB649A">
              <w:rPr>
                <w:rFonts w:ascii="Times New Roman" w:eastAsia="Times New Roman" w:hAnsi="Times New Roman" w:cs="Times New Roman"/>
                <w:noProof/>
                <w:sz w:val="20"/>
                <w:szCs w:val="20"/>
                <w:lang w:val="en-IE"/>
              </w:rPr>
              <w:t>M</w:t>
            </w:r>
            <w:r w:rsidRPr="00AF7987">
              <w:rPr>
                <w:rFonts w:ascii="Times New Roman" w:eastAsia="Times New Roman" w:hAnsi="Times New Roman" w:cs="Times New Roman"/>
                <w:noProof/>
                <w:sz w:val="20"/>
                <w:szCs w:val="20"/>
                <w:lang w:val="en-IE"/>
              </w:rPr>
              <w:t>editerranean Energy and Clean tech cooperation initiative</w:t>
            </w:r>
            <w:r w:rsidR="002C5A75" w:rsidRPr="00EC17DB">
              <w:rPr>
                <w:rStyle w:val="EndnoteReference"/>
                <w:rFonts w:ascii="Times New Roman" w:eastAsia="Times New Roman" w:hAnsi="Times New Roman" w:cs="Times New Roman"/>
                <w:noProof/>
                <w:sz w:val="20"/>
                <w:szCs w:val="20"/>
                <w:lang w:val="en-IE"/>
              </w:rPr>
              <w:endnoteReference w:id="66"/>
            </w:r>
          </w:p>
        </w:tc>
        <w:tc>
          <w:tcPr>
            <w:tcW w:w="2268" w:type="dxa"/>
            <w:shd w:val="clear" w:color="auto" w:fill="C2D69B"/>
            <w:vAlign w:val="center"/>
          </w:tcPr>
          <w:p w14:paraId="25EEC974" w14:textId="06C1FACF" w:rsidR="000112B5" w:rsidRPr="00EC17DB" w:rsidRDefault="000112B5" w:rsidP="000112B5">
            <w:pPr>
              <w:suppressAutoHyphens w:val="0"/>
              <w:jc w:val="center"/>
              <w:rPr>
                <w:rFonts w:ascii="Times New Roman" w:hAnsi="Times New Roman" w:cs="Times New Roman"/>
                <w:noProof/>
                <w:sz w:val="20"/>
                <w:szCs w:val="20"/>
                <w:lang w:val="en-IE"/>
              </w:rPr>
            </w:pPr>
            <w:r w:rsidRPr="00EC17DB">
              <w:rPr>
                <w:rFonts w:ascii="Times New Roman" w:hAnsi="Times New Roman" w:cs="Times New Roman"/>
                <w:noProof/>
                <w:sz w:val="20"/>
                <w:szCs w:val="20"/>
                <w:lang w:val="en-IE"/>
              </w:rPr>
              <w:t>Q4 2025</w:t>
            </w:r>
          </w:p>
        </w:tc>
      </w:tr>
      <w:tr w:rsidR="00486446" w:rsidRPr="00486446" w14:paraId="45563EFC" w14:textId="77777777" w:rsidTr="006E0577">
        <w:trPr>
          <w:trHeight w:val="397"/>
        </w:trPr>
        <w:tc>
          <w:tcPr>
            <w:tcW w:w="975" w:type="dxa"/>
            <w:shd w:val="clear" w:color="auto" w:fill="F9F9CF"/>
            <w:vAlign w:val="center"/>
          </w:tcPr>
          <w:p w14:paraId="7724E4A7" w14:textId="7A6C3E45" w:rsidR="000112B5" w:rsidRPr="008857A8" w:rsidRDefault="005F1BE2" w:rsidP="0065549F">
            <w:pPr>
              <w:suppressAutoHyphens w:val="0"/>
              <w:jc w:val="center"/>
              <w:rPr>
                <w:rFonts w:ascii="Times New Roman" w:eastAsia="Times New Roman" w:hAnsi="Times New Roman" w:cs="Times New Roman"/>
                <w:noProof/>
                <w:sz w:val="20"/>
                <w:szCs w:val="20"/>
                <w:lang w:val="en-IE"/>
              </w:rPr>
            </w:pPr>
            <w:r w:rsidRPr="008857A8">
              <w:rPr>
                <w:rFonts w:ascii="Times New Roman" w:hAnsi="Times New Roman" w:cs="Times New Roman"/>
                <w:noProof/>
                <w:sz w:val="20"/>
                <w:szCs w:val="20"/>
                <w:lang w:eastAsia="en-GB"/>
              </w:rPr>
              <w:drawing>
                <wp:inline distT="0" distB="0" distL="0" distR="0" wp14:anchorId="259DCBF6" wp14:editId="31A66F9D">
                  <wp:extent cx="209524" cy="209524"/>
                  <wp:effectExtent l="0" t="0" r="0" b="0"/>
                  <wp:docPr id="14232032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34615" name="Picture 955634615"/>
                          <pic:cNvPicPr/>
                        </pic:nvPicPr>
                        <pic:blipFill>
                          <a:blip r:embed="rId120">
                            <a:extLst>
                              <a:ext uri="{28A0092B-C50C-407E-A947-70E740481C1C}">
                                <a14:useLocalDpi xmlns:a14="http://schemas.microsoft.com/office/drawing/2010/main"/>
                              </a:ext>
                            </a:extLst>
                          </a:blip>
                          <a:stretch>
                            <a:fillRect/>
                          </a:stretch>
                        </pic:blipFill>
                        <pic:spPr>
                          <a:xfrm>
                            <a:off x="0" y="0"/>
                            <a:ext cx="209524" cy="209524"/>
                          </a:xfrm>
                          <a:prstGeom prst="rect">
                            <a:avLst/>
                          </a:prstGeom>
                        </pic:spPr>
                      </pic:pic>
                    </a:graphicData>
                  </a:graphic>
                </wp:inline>
              </w:drawing>
            </w:r>
          </w:p>
        </w:tc>
        <w:tc>
          <w:tcPr>
            <w:tcW w:w="6113" w:type="dxa"/>
            <w:shd w:val="clear" w:color="auto" w:fill="F9F9CF"/>
            <w:vAlign w:val="center"/>
          </w:tcPr>
          <w:p w14:paraId="5D64CE6E" w14:textId="33A15A9A" w:rsidR="000112B5" w:rsidRPr="008857A8" w:rsidRDefault="000112B5" w:rsidP="000112B5">
            <w:pPr>
              <w:suppressAutoHyphens w:val="0"/>
              <w:jc w:val="both"/>
              <w:rPr>
                <w:rFonts w:ascii="Times New Roman" w:eastAsia="Times New Roman" w:hAnsi="Times New Roman" w:cs="Times New Roman"/>
                <w:noProof/>
                <w:sz w:val="20"/>
                <w:szCs w:val="20"/>
              </w:rPr>
            </w:pPr>
            <w:r w:rsidRPr="008857A8">
              <w:rPr>
                <w:rFonts w:ascii="Times New Roman" w:eastAsia="Times New Roman" w:hAnsi="Times New Roman" w:cs="Times New Roman"/>
                <w:noProof/>
                <w:sz w:val="20"/>
                <w:szCs w:val="20"/>
                <w:lang w:val="en-IE"/>
              </w:rPr>
              <w:t xml:space="preserve">Legislative proposal on an extension of </w:t>
            </w:r>
            <w:r w:rsidR="00EE1632">
              <w:rPr>
                <w:rFonts w:ascii="Times New Roman" w:eastAsia="Times New Roman" w:hAnsi="Times New Roman" w:cs="Times New Roman"/>
                <w:noProof/>
                <w:sz w:val="20"/>
                <w:szCs w:val="20"/>
                <w:lang w:val="en-IE"/>
              </w:rPr>
              <w:t>the</w:t>
            </w:r>
            <w:r w:rsidRPr="008857A8">
              <w:rPr>
                <w:rFonts w:ascii="Times New Roman" w:eastAsia="Times New Roman" w:hAnsi="Times New Roman" w:cs="Times New Roman"/>
                <w:noProof/>
                <w:sz w:val="20"/>
                <w:szCs w:val="20"/>
                <w:lang w:val="en-IE"/>
              </w:rPr>
              <w:t xml:space="preserve"> CBAM</w:t>
            </w:r>
            <w:r w:rsidR="00E40C9A">
              <w:rPr>
                <w:rStyle w:val="EndnoteReference"/>
                <w:rFonts w:ascii="Times New Roman" w:eastAsia="Times New Roman" w:hAnsi="Times New Roman" w:cs="Times New Roman"/>
                <w:noProof/>
                <w:sz w:val="20"/>
                <w:szCs w:val="20"/>
                <w:lang w:val="en-IE"/>
              </w:rPr>
              <w:endnoteReference w:id="67"/>
            </w:r>
          </w:p>
        </w:tc>
        <w:tc>
          <w:tcPr>
            <w:tcW w:w="2268" w:type="dxa"/>
            <w:shd w:val="clear" w:color="auto" w:fill="F9F9CF"/>
            <w:vAlign w:val="center"/>
          </w:tcPr>
          <w:p w14:paraId="7F504439" w14:textId="0ADE20E7" w:rsidR="000112B5" w:rsidRPr="008857A8" w:rsidRDefault="00D64DC6" w:rsidP="00436096">
            <w:pPr>
              <w:suppressAutoHyphens w:val="0"/>
              <w:jc w:val="center"/>
              <w:rPr>
                <w:rFonts w:ascii="Times New Roman" w:hAnsi="Times New Roman" w:cs="Times New Roman"/>
                <w:noProof/>
                <w:sz w:val="20"/>
                <w:szCs w:val="20"/>
                <w:lang w:val="en-IE"/>
              </w:rPr>
            </w:pPr>
            <w:r w:rsidRPr="008857A8">
              <w:rPr>
                <w:rFonts w:ascii="Times New Roman" w:hAnsi="Times New Roman" w:cs="Times New Roman"/>
                <w:noProof/>
                <w:sz w:val="20"/>
                <w:szCs w:val="20"/>
                <w:lang w:val="en-IE"/>
              </w:rPr>
              <w:t>1</w:t>
            </w:r>
            <w:r w:rsidR="008857A8" w:rsidRPr="008857A8">
              <w:rPr>
                <w:rFonts w:ascii="Times New Roman" w:hAnsi="Times New Roman" w:cs="Times New Roman"/>
                <w:noProof/>
                <w:sz w:val="20"/>
                <w:szCs w:val="20"/>
                <w:lang w:val="en-IE"/>
              </w:rPr>
              <w:t>7</w:t>
            </w:r>
            <w:r w:rsidRPr="008857A8">
              <w:rPr>
                <w:rFonts w:ascii="Times New Roman" w:hAnsi="Times New Roman" w:cs="Times New Roman"/>
                <w:noProof/>
                <w:sz w:val="20"/>
                <w:szCs w:val="20"/>
                <w:lang w:val="en-IE"/>
              </w:rPr>
              <w:t xml:space="preserve"> December 202</w:t>
            </w:r>
            <w:r w:rsidR="005F1BE2" w:rsidRPr="008857A8">
              <w:rPr>
                <w:rFonts w:ascii="Times New Roman" w:hAnsi="Times New Roman" w:cs="Times New Roman"/>
                <w:noProof/>
                <w:sz w:val="20"/>
                <w:szCs w:val="20"/>
                <w:lang w:val="en-IE"/>
              </w:rPr>
              <w:t>5</w:t>
            </w:r>
          </w:p>
        </w:tc>
      </w:tr>
      <w:tr w:rsidR="00486446" w:rsidRPr="00486446" w14:paraId="1F4E414B" w14:textId="77777777" w:rsidTr="006E0577">
        <w:trPr>
          <w:trHeight w:val="397"/>
        </w:trPr>
        <w:tc>
          <w:tcPr>
            <w:tcW w:w="975" w:type="dxa"/>
            <w:shd w:val="clear" w:color="auto" w:fill="C2D69B"/>
            <w:vAlign w:val="center"/>
          </w:tcPr>
          <w:p w14:paraId="18BB2231" w14:textId="77777777" w:rsidR="000112B5" w:rsidRPr="0065549F" w:rsidRDefault="000112B5" w:rsidP="0065549F">
            <w:pPr>
              <w:suppressAutoHyphens w:val="0"/>
              <w:jc w:val="center"/>
              <w:rPr>
                <w:rFonts w:ascii="Times New Roman" w:hAnsi="Times New Roman" w:cs="Times New Roman"/>
                <w:noProof/>
                <w:sz w:val="20"/>
                <w:szCs w:val="20"/>
                <w:highlight w:val="yellow"/>
                <w:lang w:val="en-IE"/>
              </w:rPr>
            </w:pPr>
          </w:p>
        </w:tc>
        <w:tc>
          <w:tcPr>
            <w:tcW w:w="6113" w:type="dxa"/>
            <w:shd w:val="clear" w:color="auto" w:fill="C2D69B"/>
            <w:vAlign w:val="center"/>
          </w:tcPr>
          <w:p w14:paraId="5E1B60B4" w14:textId="697855BD" w:rsidR="000112B5" w:rsidRPr="0065549F" w:rsidRDefault="000112B5" w:rsidP="000112B5">
            <w:pPr>
              <w:suppressAutoHyphens w:val="0"/>
              <w:jc w:val="both"/>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Guidelines on </w:t>
            </w:r>
            <w:r w:rsidR="005D213D">
              <w:rPr>
                <w:rFonts w:ascii="Times New Roman" w:hAnsi="Times New Roman" w:cs="Times New Roman"/>
                <w:noProof/>
                <w:sz w:val="20"/>
                <w:szCs w:val="20"/>
                <w:lang w:val="en-IE"/>
              </w:rPr>
              <w:t xml:space="preserve">the </w:t>
            </w:r>
            <w:r w:rsidRPr="0065549F">
              <w:rPr>
                <w:rFonts w:ascii="Times New Roman" w:hAnsi="Times New Roman" w:cs="Times New Roman"/>
                <w:noProof/>
                <w:sz w:val="20"/>
                <w:szCs w:val="20"/>
                <w:lang w:val="en-IE"/>
              </w:rPr>
              <w:t>Foreign Subsidies Regulation</w:t>
            </w:r>
            <w:r w:rsidR="00FA50D6">
              <w:rPr>
                <w:rStyle w:val="EndnoteReference"/>
                <w:rFonts w:ascii="Times New Roman" w:hAnsi="Times New Roman" w:cs="Times New Roman"/>
                <w:noProof/>
                <w:sz w:val="20"/>
                <w:szCs w:val="20"/>
                <w:lang w:val="en-IE"/>
              </w:rPr>
              <w:endnoteReference w:id="68"/>
            </w:r>
          </w:p>
        </w:tc>
        <w:tc>
          <w:tcPr>
            <w:tcW w:w="2268" w:type="dxa"/>
            <w:shd w:val="clear" w:color="auto" w:fill="C2D69B"/>
            <w:vAlign w:val="center"/>
          </w:tcPr>
          <w:p w14:paraId="5B59CE5A" w14:textId="124206A5" w:rsidR="000112B5" w:rsidRPr="00A946C1" w:rsidRDefault="00DE4AB8" w:rsidP="000112B5">
            <w:pPr>
              <w:suppressAutoHyphens w:val="0"/>
              <w:jc w:val="center"/>
              <w:rPr>
                <w:rFonts w:ascii="Times New Roman" w:hAnsi="Times New Roman" w:cs="Times New Roman"/>
                <w:noProof/>
                <w:sz w:val="20"/>
                <w:szCs w:val="20"/>
                <w:highlight w:val="yellow"/>
                <w:lang w:val="en-IE"/>
              </w:rPr>
            </w:pPr>
            <w:r w:rsidRPr="00EC17DB">
              <w:rPr>
                <w:rFonts w:ascii="Times New Roman" w:hAnsi="Times New Roman" w:cs="Times New Roman"/>
                <w:noProof/>
                <w:sz w:val="20"/>
                <w:szCs w:val="20"/>
                <w:lang w:val="en-IE"/>
              </w:rPr>
              <w:t>9</w:t>
            </w:r>
            <w:r w:rsidR="00C12953" w:rsidRPr="00EC17DB">
              <w:rPr>
                <w:rFonts w:ascii="Times New Roman" w:hAnsi="Times New Roman" w:cs="Times New Roman"/>
                <w:noProof/>
                <w:sz w:val="20"/>
                <w:szCs w:val="20"/>
                <w:lang w:val="en-IE"/>
              </w:rPr>
              <w:t xml:space="preserve"> January</w:t>
            </w:r>
            <w:r w:rsidRPr="00EC17DB">
              <w:rPr>
                <w:rFonts w:ascii="Times New Roman" w:hAnsi="Times New Roman" w:cs="Times New Roman"/>
                <w:noProof/>
                <w:sz w:val="20"/>
                <w:szCs w:val="20"/>
                <w:lang w:val="en-IE"/>
              </w:rPr>
              <w:t xml:space="preserve"> </w:t>
            </w:r>
            <w:r w:rsidR="000112B5" w:rsidRPr="00EC17DB">
              <w:rPr>
                <w:rFonts w:ascii="Times New Roman" w:hAnsi="Times New Roman" w:cs="Times New Roman"/>
                <w:noProof/>
                <w:sz w:val="20"/>
                <w:szCs w:val="20"/>
                <w:lang w:val="en-IE"/>
              </w:rPr>
              <w:t>2026</w:t>
            </w:r>
          </w:p>
        </w:tc>
      </w:tr>
      <w:tr w:rsidR="00486446" w:rsidRPr="00323814" w14:paraId="7CBAD2C1" w14:textId="77777777" w:rsidTr="006E0577">
        <w:trPr>
          <w:trHeight w:val="397"/>
        </w:trPr>
        <w:tc>
          <w:tcPr>
            <w:tcW w:w="975" w:type="dxa"/>
            <w:shd w:val="clear" w:color="auto" w:fill="8DB3E2"/>
            <w:vAlign w:val="center"/>
          </w:tcPr>
          <w:p w14:paraId="182B919F" w14:textId="77777777" w:rsidR="000112B5" w:rsidRPr="00323814" w:rsidRDefault="000112B5" w:rsidP="00E552B6">
            <w:pPr>
              <w:suppressAutoHyphens w:val="0"/>
              <w:jc w:val="center"/>
              <w:rPr>
                <w:rFonts w:ascii="Times New Roman" w:hAnsi="Times New Roman" w:cs="Times New Roman"/>
                <w:b/>
                <w:noProof/>
                <w:highlight w:val="yellow"/>
                <w:lang w:val="en-IE"/>
              </w:rPr>
            </w:pPr>
            <w:r w:rsidRPr="00323814">
              <w:rPr>
                <w:rFonts w:ascii="Times New Roman" w:hAnsi="Times New Roman" w:cs="Times New Roman"/>
                <w:b/>
                <w:noProof/>
                <w:lang w:val="en-IE"/>
              </w:rPr>
              <w:t>Status</w:t>
            </w:r>
          </w:p>
        </w:tc>
        <w:tc>
          <w:tcPr>
            <w:tcW w:w="6113" w:type="dxa"/>
            <w:shd w:val="clear" w:color="auto" w:fill="8DB3E2"/>
            <w:vAlign w:val="center"/>
          </w:tcPr>
          <w:p w14:paraId="5A7E3D27" w14:textId="77777777" w:rsidR="000112B5" w:rsidRPr="00323814" w:rsidRDefault="000112B5" w:rsidP="00D11D71">
            <w:pPr>
              <w:suppressAutoHyphens w:val="0"/>
              <w:rPr>
                <w:rFonts w:ascii="Times New Roman" w:hAnsi="Times New Roman" w:cs="Times New Roman"/>
                <w:b/>
                <w:noProof/>
                <w:lang w:val="en-IE"/>
              </w:rPr>
            </w:pPr>
            <w:r w:rsidRPr="00323814">
              <w:rPr>
                <w:rFonts w:ascii="Times New Roman" w:hAnsi="Times New Roman" w:cs="Times New Roman"/>
                <w:b/>
                <w:noProof/>
                <w:lang w:val="en-IE"/>
              </w:rPr>
              <w:t>Skills and quality jobs for social fairness</w:t>
            </w:r>
          </w:p>
        </w:tc>
        <w:tc>
          <w:tcPr>
            <w:tcW w:w="2268" w:type="dxa"/>
            <w:shd w:val="clear" w:color="auto" w:fill="8DB3E2"/>
            <w:vAlign w:val="center"/>
          </w:tcPr>
          <w:p w14:paraId="37FCEA71" w14:textId="77777777" w:rsidR="000112B5" w:rsidRPr="00323814" w:rsidRDefault="000112B5" w:rsidP="000112B5">
            <w:pPr>
              <w:suppressAutoHyphens w:val="0"/>
              <w:jc w:val="center"/>
              <w:rPr>
                <w:rFonts w:ascii="Times New Roman" w:hAnsi="Times New Roman" w:cs="Times New Roman"/>
                <w:b/>
                <w:noProof/>
                <w:lang w:val="en-IE"/>
              </w:rPr>
            </w:pPr>
            <w:r w:rsidRPr="00323814">
              <w:rPr>
                <w:rFonts w:ascii="Times New Roman" w:hAnsi="Times New Roman" w:cs="Times New Roman"/>
                <w:b/>
                <w:noProof/>
                <w:lang w:val="en-IE"/>
              </w:rPr>
              <w:t>Timeline</w:t>
            </w:r>
          </w:p>
        </w:tc>
      </w:tr>
      <w:tr w:rsidR="00486446" w:rsidRPr="00486446" w14:paraId="71346E79" w14:textId="77777777" w:rsidTr="006E0577">
        <w:trPr>
          <w:trHeight w:val="397"/>
        </w:trPr>
        <w:tc>
          <w:tcPr>
            <w:tcW w:w="975" w:type="dxa"/>
            <w:shd w:val="clear" w:color="auto" w:fill="C2D69B"/>
            <w:vAlign w:val="center"/>
          </w:tcPr>
          <w:p w14:paraId="263430EC" w14:textId="3F504EEC" w:rsidR="000112B5" w:rsidRPr="0065549F" w:rsidRDefault="0079648A" w:rsidP="0065549F">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75D2A915" wp14:editId="3DB0B659">
                  <wp:extent cx="164465" cy="146050"/>
                  <wp:effectExtent l="0" t="0" r="6985" b="6350"/>
                  <wp:docPr id="2084041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3B459C7C" w14:textId="46943726"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Union of Skills </w:t>
            </w:r>
            <w:r w:rsidR="008E1AF5">
              <w:rPr>
                <w:rStyle w:val="EndnoteReference"/>
                <w:rFonts w:ascii="Times New Roman" w:hAnsi="Times New Roman" w:cs="Times New Roman"/>
                <w:noProof/>
                <w:sz w:val="20"/>
                <w:szCs w:val="20"/>
                <w:lang w:val="en-IE"/>
              </w:rPr>
              <w:endnoteReference w:id="69"/>
            </w:r>
          </w:p>
        </w:tc>
        <w:tc>
          <w:tcPr>
            <w:tcW w:w="2268" w:type="dxa"/>
            <w:shd w:val="clear" w:color="auto" w:fill="C2D69B"/>
            <w:vAlign w:val="center"/>
          </w:tcPr>
          <w:p w14:paraId="78911736" w14:textId="77777777"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5 March 2025</w:t>
            </w:r>
          </w:p>
        </w:tc>
      </w:tr>
      <w:tr w:rsidR="00486446" w:rsidRPr="00486446" w14:paraId="0ABA78D7" w14:textId="77777777" w:rsidTr="006E0577">
        <w:trPr>
          <w:trHeight w:val="397"/>
        </w:trPr>
        <w:tc>
          <w:tcPr>
            <w:tcW w:w="975" w:type="dxa"/>
            <w:shd w:val="clear" w:color="auto" w:fill="C2D69B"/>
            <w:vAlign w:val="center"/>
          </w:tcPr>
          <w:p w14:paraId="037EFB8A" w14:textId="66EC2A34" w:rsidR="000112B5" w:rsidRPr="0065549F" w:rsidRDefault="00DD2767" w:rsidP="0065549F">
            <w:pPr>
              <w:suppressAutoHyphens w:val="0"/>
              <w:jc w:val="center"/>
              <w:rPr>
                <w:rFonts w:ascii="Times New Roman" w:hAnsi="Times New Roman" w:cs="Times New Roman"/>
                <w:noProof/>
                <w:sz w:val="20"/>
                <w:szCs w:val="20"/>
                <w:highlight w:val="yellow"/>
                <w:lang w:val="en-IE"/>
              </w:rPr>
            </w:pPr>
            <w:r w:rsidRPr="0065549F">
              <w:rPr>
                <w:rFonts w:ascii="Times New Roman" w:hAnsi="Times New Roman" w:cs="Times New Roman"/>
                <w:noProof/>
                <w:sz w:val="20"/>
                <w:szCs w:val="20"/>
                <w:lang w:eastAsia="en-GB"/>
              </w:rPr>
              <w:drawing>
                <wp:inline distT="0" distB="0" distL="0" distR="0" wp14:anchorId="0D1BF45F" wp14:editId="047A8E12">
                  <wp:extent cx="164465" cy="146050"/>
                  <wp:effectExtent l="0" t="0" r="6985" b="6350"/>
                  <wp:docPr id="21222668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113" w:type="dxa"/>
            <w:shd w:val="clear" w:color="auto" w:fill="C2D69B"/>
            <w:vAlign w:val="center"/>
          </w:tcPr>
          <w:p w14:paraId="3984A00B" w14:textId="5B40EECE"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Quality Jobs Roadmap</w:t>
            </w:r>
            <w:r w:rsidR="00C7154A">
              <w:rPr>
                <w:rStyle w:val="EndnoteReference"/>
                <w:rFonts w:ascii="Times New Roman" w:hAnsi="Times New Roman" w:cs="Times New Roman"/>
                <w:noProof/>
                <w:sz w:val="20"/>
                <w:szCs w:val="20"/>
                <w:lang w:val="en-IE"/>
              </w:rPr>
              <w:endnoteReference w:id="70"/>
            </w:r>
          </w:p>
        </w:tc>
        <w:tc>
          <w:tcPr>
            <w:tcW w:w="2268" w:type="dxa"/>
            <w:shd w:val="clear" w:color="auto" w:fill="C2D69B"/>
            <w:vAlign w:val="center"/>
          </w:tcPr>
          <w:p w14:paraId="2FFCA7B4" w14:textId="78ECD590" w:rsidR="000112B5" w:rsidRPr="00DD2767" w:rsidRDefault="00DD2767" w:rsidP="000112B5">
            <w:pPr>
              <w:suppressAutoHyphens w:val="0"/>
              <w:jc w:val="center"/>
              <w:rPr>
                <w:rFonts w:ascii="Times New Roman" w:hAnsi="Times New Roman" w:cs="Times New Roman"/>
                <w:noProof/>
                <w:sz w:val="20"/>
                <w:szCs w:val="20"/>
                <w:highlight w:val="yellow"/>
                <w:lang w:val="en-IE"/>
              </w:rPr>
            </w:pPr>
            <w:r w:rsidRPr="00DD2767">
              <w:rPr>
                <w:rFonts w:ascii="Times New Roman" w:hAnsi="Times New Roman" w:cs="Times New Roman"/>
                <w:noProof/>
                <w:sz w:val="20"/>
                <w:szCs w:val="20"/>
                <w:lang w:val="en-IE"/>
              </w:rPr>
              <w:t>4 December</w:t>
            </w:r>
            <w:r w:rsidR="000112B5" w:rsidRPr="00DD2767">
              <w:rPr>
                <w:rFonts w:ascii="Times New Roman" w:hAnsi="Times New Roman" w:cs="Times New Roman"/>
                <w:noProof/>
                <w:sz w:val="20"/>
                <w:szCs w:val="20"/>
                <w:lang w:val="en-IE"/>
              </w:rPr>
              <w:t xml:space="preserve"> 2025</w:t>
            </w:r>
          </w:p>
        </w:tc>
      </w:tr>
      <w:tr w:rsidR="00486446" w:rsidRPr="00486446" w14:paraId="11C521DF" w14:textId="77777777" w:rsidTr="006E0577">
        <w:trPr>
          <w:trHeight w:val="397"/>
        </w:trPr>
        <w:tc>
          <w:tcPr>
            <w:tcW w:w="975" w:type="dxa"/>
            <w:vAlign w:val="center"/>
          </w:tcPr>
          <w:p w14:paraId="2B0D545D" w14:textId="77777777" w:rsidR="000112B5" w:rsidRPr="0065549F" w:rsidRDefault="000112B5" w:rsidP="0065549F">
            <w:pPr>
              <w:suppressAutoHyphens w:val="0"/>
              <w:jc w:val="center"/>
              <w:rPr>
                <w:rFonts w:ascii="Times New Roman" w:hAnsi="Times New Roman" w:cs="Times New Roman"/>
                <w:noProof/>
                <w:sz w:val="20"/>
                <w:szCs w:val="20"/>
                <w:highlight w:val="yellow"/>
                <w:lang w:val="en-IE"/>
              </w:rPr>
            </w:pPr>
          </w:p>
        </w:tc>
        <w:tc>
          <w:tcPr>
            <w:tcW w:w="6113" w:type="dxa"/>
            <w:vAlign w:val="center"/>
          </w:tcPr>
          <w:p w14:paraId="396A4109" w14:textId="77777777"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European Fair Transition Observatory</w:t>
            </w:r>
          </w:p>
        </w:tc>
        <w:tc>
          <w:tcPr>
            <w:tcW w:w="2268" w:type="dxa"/>
            <w:vAlign w:val="center"/>
          </w:tcPr>
          <w:p w14:paraId="3C4DDA86" w14:textId="77777777" w:rsidR="000112B5" w:rsidRPr="0065549F" w:rsidRDefault="000112B5" w:rsidP="000112B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Q1 2026</w:t>
            </w:r>
          </w:p>
        </w:tc>
      </w:tr>
      <w:tr w:rsidR="00486446" w:rsidRPr="00486446" w14:paraId="34C88313" w14:textId="77777777" w:rsidTr="006E0577">
        <w:trPr>
          <w:trHeight w:val="397"/>
        </w:trPr>
        <w:tc>
          <w:tcPr>
            <w:tcW w:w="975" w:type="dxa"/>
            <w:vAlign w:val="center"/>
          </w:tcPr>
          <w:p w14:paraId="52B11DA9" w14:textId="77777777" w:rsidR="000112B5" w:rsidRPr="0065549F" w:rsidRDefault="000112B5" w:rsidP="0065549F">
            <w:pPr>
              <w:suppressAutoHyphens w:val="0"/>
              <w:jc w:val="center"/>
              <w:rPr>
                <w:rFonts w:ascii="Times New Roman" w:hAnsi="Times New Roman" w:cs="Times New Roman"/>
                <w:noProof/>
                <w:sz w:val="20"/>
                <w:szCs w:val="20"/>
                <w:highlight w:val="yellow"/>
                <w:lang w:val="en-IE"/>
              </w:rPr>
            </w:pPr>
          </w:p>
        </w:tc>
        <w:tc>
          <w:tcPr>
            <w:tcW w:w="6113" w:type="dxa"/>
            <w:vAlign w:val="center"/>
          </w:tcPr>
          <w:p w14:paraId="6FCBB854" w14:textId="77777777"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Skills Portability Initiative </w:t>
            </w:r>
          </w:p>
        </w:tc>
        <w:tc>
          <w:tcPr>
            <w:tcW w:w="2268" w:type="dxa"/>
            <w:vAlign w:val="center"/>
          </w:tcPr>
          <w:p w14:paraId="756B69D8" w14:textId="54E1D9F5" w:rsidR="000112B5" w:rsidRPr="0065549F" w:rsidRDefault="009E7B60" w:rsidP="000112B5">
            <w:pPr>
              <w:suppressAutoHyphens w:val="0"/>
              <w:jc w:val="center"/>
              <w:rPr>
                <w:rFonts w:ascii="Times New Roman" w:hAnsi="Times New Roman" w:cs="Times New Roman"/>
                <w:noProof/>
                <w:sz w:val="20"/>
                <w:szCs w:val="20"/>
                <w:lang w:val="en-IE"/>
              </w:rPr>
            </w:pPr>
            <w:r>
              <w:rPr>
                <w:rFonts w:ascii="Times New Roman" w:hAnsi="Times New Roman" w:cs="Times New Roman"/>
                <w:noProof/>
                <w:sz w:val="20"/>
                <w:szCs w:val="20"/>
                <w:lang w:val="en-IE"/>
              </w:rPr>
              <w:t xml:space="preserve">Q3 </w:t>
            </w:r>
            <w:r w:rsidR="000112B5" w:rsidRPr="0065549F">
              <w:rPr>
                <w:rFonts w:ascii="Times New Roman" w:hAnsi="Times New Roman" w:cs="Times New Roman"/>
                <w:noProof/>
                <w:sz w:val="20"/>
                <w:szCs w:val="20"/>
                <w:lang w:val="en-IE"/>
              </w:rPr>
              <w:t>2026</w:t>
            </w:r>
          </w:p>
        </w:tc>
      </w:tr>
      <w:tr w:rsidR="00486446" w:rsidRPr="00486446" w14:paraId="1EC79773" w14:textId="77777777" w:rsidTr="006E0577">
        <w:trPr>
          <w:trHeight w:val="397"/>
        </w:trPr>
        <w:tc>
          <w:tcPr>
            <w:tcW w:w="975" w:type="dxa"/>
            <w:vAlign w:val="center"/>
          </w:tcPr>
          <w:p w14:paraId="0B593045" w14:textId="77777777" w:rsidR="000112B5" w:rsidRPr="0065549F" w:rsidRDefault="000112B5" w:rsidP="0065549F">
            <w:pPr>
              <w:suppressAutoHyphens w:val="0"/>
              <w:jc w:val="center"/>
              <w:rPr>
                <w:rFonts w:ascii="Times New Roman" w:hAnsi="Times New Roman" w:cs="Times New Roman"/>
                <w:noProof/>
                <w:sz w:val="20"/>
                <w:szCs w:val="20"/>
                <w:highlight w:val="yellow"/>
                <w:lang w:val="en-IE"/>
              </w:rPr>
            </w:pPr>
          </w:p>
        </w:tc>
        <w:tc>
          <w:tcPr>
            <w:tcW w:w="6113" w:type="dxa"/>
            <w:vAlign w:val="center"/>
          </w:tcPr>
          <w:p w14:paraId="779D7BAA" w14:textId="1A295F67" w:rsidR="000112B5" w:rsidRPr="0065549F" w:rsidRDefault="000112B5" w:rsidP="000112B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 xml:space="preserve">Review of State aid GBER rules for social enterprises and </w:t>
            </w:r>
            <w:r w:rsidR="00726124">
              <w:rPr>
                <w:rFonts w:ascii="Times New Roman" w:hAnsi="Times New Roman" w:cs="Times New Roman"/>
                <w:noProof/>
                <w:sz w:val="20"/>
                <w:szCs w:val="20"/>
                <w:lang w:val="en-IE"/>
              </w:rPr>
              <w:t xml:space="preserve">for the </w:t>
            </w:r>
            <w:r w:rsidRPr="0065549F">
              <w:rPr>
                <w:rFonts w:ascii="Times New Roman" w:hAnsi="Times New Roman" w:cs="Times New Roman"/>
                <w:noProof/>
                <w:sz w:val="20"/>
                <w:szCs w:val="20"/>
                <w:lang w:val="en-IE"/>
              </w:rPr>
              <w:t>recruitment of disadvantaged workers</w:t>
            </w:r>
          </w:p>
        </w:tc>
        <w:tc>
          <w:tcPr>
            <w:tcW w:w="2268" w:type="dxa"/>
            <w:vAlign w:val="center"/>
          </w:tcPr>
          <w:p w14:paraId="6F9E163A" w14:textId="0C78A241" w:rsidR="000112B5" w:rsidRPr="0065549F" w:rsidRDefault="000112B5" w:rsidP="000112B5">
            <w:pPr>
              <w:suppressAutoHyphens w:val="0"/>
              <w:jc w:val="center"/>
              <w:rPr>
                <w:rFonts w:ascii="Times New Roman" w:hAnsi="Times New Roman" w:cs="Times New Roman"/>
                <w:noProof/>
                <w:sz w:val="20"/>
                <w:szCs w:val="20"/>
                <w:lang w:val="en-IE"/>
              </w:rPr>
            </w:pPr>
            <w:r w:rsidRPr="00EC17DB">
              <w:rPr>
                <w:rFonts w:ascii="Times New Roman" w:hAnsi="Times New Roman" w:cs="Times New Roman"/>
                <w:noProof/>
                <w:sz w:val="20"/>
                <w:szCs w:val="20"/>
                <w:lang w:val="en-IE"/>
              </w:rPr>
              <w:t>Q4 2026</w:t>
            </w:r>
          </w:p>
        </w:tc>
      </w:tr>
    </w:tbl>
    <w:p w14:paraId="4B212612" w14:textId="77777777" w:rsidR="00884241" w:rsidRDefault="00884241">
      <w:pPr>
        <w:pStyle w:val="Source"/>
        <w:rPr>
          <w:noProof/>
          <w:color w:val="auto"/>
          <w:lang w:val="en-IE"/>
        </w:rPr>
      </w:pPr>
    </w:p>
    <w:tbl>
      <w:tblPr>
        <w:tblStyle w:val="TableGrid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CA003B" w:rsidRPr="00486446" w14:paraId="06DC9C9F" w14:textId="77777777">
        <w:tc>
          <w:tcPr>
            <w:tcW w:w="4678" w:type="dxa"/>
          </w:tcPr>
          <w:p w14:paraId="262BD84C" w14:textId="77777777" w:rsidR="00CA003B" w:rsidRPr="00486446" w:rsidRDefault="00CA003B">
            <w:pPr>
              <w:suppressAutoHyphens w:val="0"/>
              <w:ind w:left="464" w:hanging="464"/>
              <w:rPr>
                <w:rFonts w:ascii="Times New Roman" w:hAnsi="Times New Roman" w:cs="Times New Roman"/>
                <w:noProof/>
                <w:sz w:val="20"/>
                <w:szCs w:val="20"/>
              </w:rPr>
            </w:pPr>
            <w:r w:rsidRPr="00486446">
              <w:rPr>
                <w:rFonts w:ascii="Times New Roman" w:hAnsi="Times New Roman" w:cs="Times New Roman"/>
                <w:noProof/>
                <w:sz w:val="20"/>
                <w:szCs w:val="20"/>
                <w:lang w:eastAsia="en-GB"/>
              </w:rPr>
              <w:drawing>
                <wp:anchor distT="0" distB="0" distL="114300" distR="114300" simplePos="0" relativeHeight="251658245" behindDoc="0" locked="0" layoutInCell="1" allowOverlap="1" wp14:anchorId="58714046" wp14:editId="0BBBA655">
                  <wp:simplePos x="0" y="0"/>
                  <wp:positionH relativeFrom="column">
                    <wp:posOffset>0</wp:posOffset>
                  </wp:positionH>
                  <wp:positionV relativeFrom="paragraph">
                    <wp:posOffset>3258</wp:posOffset>
                  </wp:positionV>
                  <wp:extent cx="161925" cy="142875"/>
                  <wp:effectExtent l="0" t="0" r="9525" b="9525"/>
                  <wp:wrapSquare wrapText="bothSides"/>
                  <wp:docPr id="20285955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r:link="rId110"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446">
              <w:rPr>
                <w:rFonts w:ascii="Times New Roman" w:hAnsi="Times New Roman" w:cs="Times New Roman"/>
                <w:noProof/>
                <w:sz w:val="20"/>
                <w:szCs w:val="20"/>
              </w:rPr>
              <w:t xml:space="preserve"> </w:t>
            </w:r>
            <w:r>
              <w:rPr>
                <w:rFonts w:ascii="Times New Roman" w:hAnsi="Times New Roman" w:cs="Times New Roman"/>
                <w:noProof/>
                <w:sz w:val="20"/>
                <w:szCs w:val="20"/>
              </w:rPr>
              <w:t xml:space="preserve">Proposal adopted / </w:t>
            </w:r>
            <w:r w:rsidRPr="007B00AB">
              <w:rPr>
                <w:rFonts w:ascii="Times New Roman" w:hAnsi="Times New Roman" w:cs="Times New Roman"/>
                <w:noProof/>
                <w:sz w:val="20"/>
                <w:szCs w:val="20"/>
              </w:rPr>
              <w:t xml:space="preserve">For legal </w:t>
            </w:r>
            <w:r>
              <w:rPr>
                <w:rFonts w:ascii="Times New Roman" w:hAnsi="Times New Roman" w:cs="Times New Roman"/>
                <w:noProof/>
                <w:sz w:val="20"/>
                <w:szCs w:val="20"/>
              </w:rPr>
              <w:t>proposals</w:t>
            </w:r>
            <w:r w:rsidRPr="007B00AB">
              <w:rPr>
                <w:rFonts w:ascii="Times New Roman" w:hAnsi="Times New Roman" w:cs="Times New Roman"/>
                <w:noProof/>
                <w:sz w:val="20"/>
                <w:szCs w:val="20"/>
              </w:rPr>
              <w:t xml:space="preserve">, </w:t>
            </w:r>
            <w:r w:rsidRPr="007F4028">
              <w:rPr>
                <w:rFonts w:ascii="Times New Roman" w:hAnsi="Times New Roman" w:cs="Times New Roman"/>
                <w:noProof/>
                <w:sz w:val="20"/>
                <w:szCs w:val="20"/>
              </w:rPr>
              <w:t>indicates adoption by both the European Parliament and the Counci</w:t>
            </w:r>
            <w:r>
              <w:rPr>
                <w:rFonts w:ascii="Times New Roman" w:hAnsi="Times New Roman" w:cs="Times New Roman"/>
                <w:noProof/>
                <w:sz w:val="20"/>
                <w:szCs w:val="20"/>
              </w:rPr>
              <w:t>l</w:t>
            </w:r>
          </w:p>
        </w:tc>
        <w:tc>
          <w:tcPr>
            <w:tcW w:w="4678" w:type="dxa"/>
          </w:tcPr>
          <w:p w14:paraId="7B159AB2" w14:textId="77777777" w:rsidR="00CA003B" w:rsidRPr="00486446" w:rsidRDefault="00CA003B">
            <w:pPr>
              <w:suppressAutoHyphens w:val="0"/>
              <w:ind w:left="550" w:hanging="550"/>
              <w:rPr>
                <w:rFonts w:ascii="Times New Roman" w:hAnsi="Times New Roman" w:cs="Times New Roman"/>
                <w:noProof/>
                <w:sz w:val="20"/>
                <w:szCs w:val="20"/>
                <w:lang w:val="en-IE"/>
              </w:rPr>
            </w:pPr>
            <w:r w:rsidRPr="00486446">
              <w:rPr>
                <w:rFonts w:ascii="Times New Roman" w:hAnsi="Times New Roman" w:cs="Times New Roman"/>
                <w:noProof/>
                <w:sz w:val="20"/>
                <w:szCs w:val="20"/>
                <w:lang w:eastAsia="en-GB"/>
              </w:rPr>
              <w:drawing>
                <wp:anchor distT="0" distB="0" distL="114300" distR="114300" simplePos="0" relativeHeight="251658244" behindDoc="0" locked="0" layoutInCell="1" allowOverlap="1" wp14:anchorId="38E8C9BF" wp14:editId="55906712">
                  <wp:simplePos x="0" y="0"/>
                  <wp:positionH relativeFrom="column">
                    <wp:posOffset>-414</wp:posOffset>
                  </wp:positionH>
                  <wp:positionV relativeFrom="paragraph">
                    <wp:posOffset>3258</wp:posOffset>
                  </wp:positionV>
                  <wp:extent cx="209550" cy="209550"/>
                  <wp:effectExtent l="0" t="0" r="0" b="0"/>
                  <wp:wrapSquare wrapText="bothSides"/>
                  <wp:docPr id="1210834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r:link="rId112"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446">
              <w:rPr>
                <w:rFonts w:ascii="Times New Roman" w:hAnsi="Times New Roman" w:cs="Times New Roman"/>
                <w:noProof/>
                <w:sz w:val="20"/>
                <w:szCs w:val="20"/>
                <w:lang w:val="en-IE"/>
              </w:rPr>
              <w:t xml:space="preserve"> Legal proposal presented by the Commission and currently under adoption by the European Parliament and the Council</w:t>
            </w:r>
          </w:p>
        </w:tc>
      </w:tr>
    </w:tbl>
    <w:p w14:paraId="46AFB80F" w14:textId="77777777" w:rsidR="00B30F56" w:rsidRPr="00EC17DB" w:rsidRDefault="00B30F56">
      <w:pPr>
        <w:pStyle w:val="Source"/>
        <w:rPr>
          <w:noProof/>
          <w:color w:val="auto"/>
        </w:rPr>
      </w:pPr>
    </w:p>
    <w:p w14:paraId="47D661BF" w14:textId="77777777" w:rsidR="00CA003B" w:rsidRDefault="00CA003B">
      <w:pPr>
        <w:pStyle w:val="Source"/>
        <w:rPr>
          <w:noProof/>
          <w:color w:val="auto"/>
          <w:lang w:val="en-IE"/>
        </w:rPr>
      </w:pPr>
    </w:p>
    <w:p w14:paraId="7288E635" w14:textId="77777777" w:rsidR="00C72085" w:rsidRDefault="00C72085">
      <w:pPr>
        <w:suppressAutoHyphens w:val="0"/>
        <w:ind w:left="464" w:hanging="464"/>
        <w:rPr>
          <w:rFonts w:ascii="Times New Roman" w:hAnsi="Times New Roman" w:cs="Times New Roman"/>
          <w:noProof/>
          <w:sz w:val="20"/>
          <w:szCs w:val="20"/>
        </w:rPr>
        <w:sectPr w:rsidR="00C72085" w:rsidSect="0069005D">
          <w:headerReference w:type="default" r:id="rId121"/>
          <w:footerReference w:type="default" r:id="rId122"/>
          <w:endnotePr>
            <w:numFmt w:val="decimal"/>
            <w:numRestart w:val="eachSect"/>
          </w:endnotePr>
          <w:type w:val="continuous"/>
          <w:pgSz w:w="11906" w:h="16838"/>
          <w:pgMar w:top="1440" w:right="1440" w:bottom="1418" w:left="1440" w:header="709" w:footer="147" w:gutter="0"/>
          <w:cols w:space="720"/>
        </w:sectPr>
      </w:pPr>
    </w:p>
    <w:p w14:paraId="66F16A88" w14:textId="77777777" w:rsidR="00FB4850" w:rsidRDefault="00FB4850" w:rsidP="00FB4850">
      <w:pPr>
        <w:suppressAutoHyphens w:val="0"/>
        <w:rPr>
          <w:rFonts w:ascii="Times New Roman" w:hAnsi="Times New Roman" w:cs="Times New Roman"/>
          <w:b/>
          <w:noProof/>
          <w:sz w:val="28"/>
          <w:szCs w:val="28"/>
          <w:lang w:val="en-IE"/>
        </w:rPr>
        <w:sectPr w:rsidR="00FB4850" w:rsidSect="00D307AF">
          <w:headerReference w:type="default" r:id="rId123"/>
          <w:footerReference w:type="default" r:id="rId124"/>
          <w:endnotePr>
            <w:numFmt w:val="decimal"/>
          </w:endnotePr>
          <w:type w:val="continuous"/>
          <w:pgSz w:w="11906" w:h="16838"/>
          <w:pgMar w:top="1440" w:right="1440" w:bottom="1418" w:left="1440" w:header="709" w:footer="147" w:gutter="0"/>
          <w:cols w:space="720"/>
        </w:sectPr>
      </w:pPr>
    </w:p>
    <w:p w14:paraId="49B3F2B2" w14:textId="77777777" w:rsidR="00F8235D" w:rsidRPr="00F8235D" w:rsidRDefault="00F8235D">
      <w:pPr>
        <w:pStyle w:val="Source"/>
        <w:rPr>
          <w:noProof/>
          <w:color w:val="auto"/>
        </w:rPr>
      </w:pPr>
    </w:p>
    <w:p w14:paraId="0DBD7B55" w14:textId="77777777" w:rsidR="00254E75" w:rsidRPr="0065549F" w:rsidRDefault="00254E75">
      <w:pPr>
        <w:pStyle w:val="Source"/>
        <w:rPr>
          <w:noProof/>
          <w:color w:val="auto"/>
        </w:rPr>
      </w:pPr>
    </w:p>
    <w:p w14:paraId="0D2A41F3" w14:textId="77777777" w:rsidR="00323814" w:rsidRDefault="00323814">
      <w:pPr>
        <w:suppressAutoHyphens w:val="0"/>
        <w:rPr>
          <w:rFonts w:ascii="Cambria" w:eastAsia="MS Gothic" w:hAnsi="Cambria" w:cs="Times New Roman"/>
          <w:noProof/>
          <w:color w:val="365F91"/>
          <w:sz w:val="26"/>
          <w:szCs w:val="26"/>
          <w:highlight w:val="yellow"/>
          <w:lang w:val="en-IE"/>
        </w:rPr>
      </w:pPr>
      <w:r>
        <w:rPr>
          <w:noProof/>
          <w:highlight w:val="yellow"/>
          <w:lang w:val="en-IE"/>
        </w:rPr>
        <w:br w:type="page"/>
      </w:r>
    </w:p>
    <w:p w14:paraId="24B8164C" w14:textId="66B08FC7" w:rsidR="003041DC" w:rsidRPr="008E3F77" w:rsidRDefault="00CF5B6F" w:rsidP="006E0577">
      <w:pPr>
        <w:pStyle w:val="Heading2"/>
        <w:numPr>
          <w:ilvl w:val="0"/>
          <w:numId w:val="33"/>
        </w:numPr>
        <w:spacing w:after="160" w:line="250" w:lineRule="auto"/>
        <w:rPr>
          <w:rFonts w:ascii="Times New Roman" w:hAnsi="Times New Roman"/>
          <w:b/>
          <w:noProof/>
          <w:color w:val="auto"/>
          <w:sz w:val="28"/>
          <w:szCs w:val="28"/>
        </w:rPr>
      </w:pPr>
      <w:bookmarkStart w:id="164" w:name="_Toc215659536"/>
      <w:bookmarkStart w:id="165" w:name="_Toc215659622"/>
      <w:bookmarkStart w:id="166" w:name="_Toc215659709"/>
      <w:bookmarkStart w:id="167" w:name="_Toc215659797"/>
      <w:bookmarkStart w:id="168" w:name="_Toc220103471"/>
      <w:bookmarkEnd w:id="164"/>
      <w:bookmarkEnd w:id="165"/>
      <w:bookmarkEnd w:id="166"/>
      <w:bookmarkEnd w:id="167"/>
      <w:r w:rsidRPr="008E3F77">
        <w:rPr>
          <w:rFonts w:ascii="Times New Roman" w:hAnsi="Times New Roman"/>
          <w:b/>
          <w:noProof/>
          <w:color w:val="auto"/>
          <w:sz w:val="28"/>
          <w:szCs w:val="28"/>
        </w:rPr>
        <w:t xml:space="preserve">The </w:t>
      </w:r>
      <w:r w:rsidR="003041DC" w:rsidRPr="008E3F77">
        <w:rPr>
          <w:rFonts w:ascii="Times New Roman" w:hAnsi="Times New Roman"/>
          <w:b/>
          <w:noProof/>
          <w:color w:val="auto"/>
          <w:sz w:val="28"/>
          <w:szCs w:val="28"/>
        </w:rPr>
        <w:t xml:space="preserve">Single Market Strategy </w:t>
      </w:r>
      <w:r w:rsidR="003041DC" w:rsidRPr="008E3F77">
        <w:rPr>
          <w:rFonts w:ascii="Times New Roman" w:hAnsi="Times New Roman"/>
          <w:noProof/>
          <w:color w:val="auto"/>
          <w:sz w:val="28"/>
          <w:szCs w:val="28"/>
        </w:rPr>
        <w:t>(</w:t>
      </w:r>
      <w:r w:rsidR="00974154">
        <w:rPr>
          <w:rFonts w:ascii="Times New Roman" w:hAnsi="Times New Roman"/>
          <w:noProof/>
          <w:color w:val="auto"/>
          <w:sz w:val="28"/>
          <w:szCs w:val="28"/>
        </w:rPr>
        <w:t xml:space="preserve">adopted on </w:t>
      </w:r>
      <w:r w:rsidR="003041DC" w:rsidRPr="008E3F77">
        <w:rPr>
          <w:rFonts w:ascii="Times New Roman" w:hAnsi="Times New Roman"/>
          <w:noProof/>
          <w:color w:val="auto"/>
          <w:sz w:val="28"/>
          <w:szCs w:val="28"/>
        </w:rPr>
        <w:t>21 May 2025)</w:t>
      </w:r>
      <w:r w:rsidR="00B14F22">
        <w:rPr>
          <w:rStyle w:val="EndnoteReference"/>
          <w:rFonts w:ascii="Times New Roman" w:hAnsi="Times New Roman"/>
          <w:noProof/>
          <w:color w:val="auto"/>
          <w:sz w:val="28"/>
          <w:szCs w:val="28"/>
        </w:rPr>
        <w:endnoteReference w:id="71"/>
      </w:r>
      <w:bookmarkEnd w:id="168"/>
    </w:p>
    <w:p w14:paraId="1EA57302" w14:textId="5BA7B922" w:rsidR="00690B94" w:rsidRPr="00486446" w:rsidRDefault="002E1ADC" w:rsidP="006E0577">
      <w:pPr>
        <w:pStyle w:val="Source"/>
        <w:spacing w:before="120" w:line="250" w:lineRule="auto"/>
        <w:rPr>
          <w:noProof/>
          <w:color w:val="auto"/>
          <w:lang w:val="en-IE"/>
        </w:rPr>
      </w:pPr>
      <w:r w:rsidRPr="00EC17DB">
        <w:rPr>
          <w:noProof/>
          <w:sz w:val="24"/>
          <w:szCs w:val="24"/>
        </w:rPr>
        <w:t xml:space="preserve">The expected timelines of actions have been updated in view of most recent </w:t>
      </w:r>
      <w:r w:rsidRPr="002E272B">
        <w:rPr>
          <w:noProof/>
          <w:sz w:val="24"/>
          <w:szCs w:val="24"/>
        </w:rPr>
        <w:t>d</w:t>
      </w:r>
      <w:r w:rsidRPr="00EC17DB">
        <w:rPr>
          <w:noProof/>
          <w:sz w:val="24"/>
          <w:szCs w:val="24"/>
        </w:rPr>
        <w:t>evelopments.</w:t>
      </w:r>
    </w:p>
    <w:tbl>
      <w:tblPr>
        <w:tblStyle w:val="TableGrid4"/>
        <w:tblW w:w="9356" w:type="dxa"/>
        <w:tblInd w:w="-5" w:type="dxa"/>
        <w:tblLayout w:type="fixed"/>
        <w:tblLook w:val="04A0" w:firstRow="1" w:lastRow="0" w:firstColumn="1" w:lastColumn="0" w:noHBand="0" w:noVBand="1"/>
      </w:tblPr>
      <w:tblGrid>
        <w:gridCol w:w="936"/>
        <w:gridCol w:w="6577"/>
        <w:gridCol w:w="1843"/>
      </w:tblGrid>
      <w:tr w:rsidR="004A79F5" w:rsidRPr="004813C9" w14:paraId="01DF7758" w14:textId="77777777" w:rsidTr="006E0577">
        <w:trPr>
          <w:trHeight w:val="397"/>
        </w:trPr>
        <w:tc>
          <w:tcPr>
            <w:tcW w:w="936" w:type="dxa"/>
            <w:shd w:val="clear" w:color="auto" w:fill="8DB3E2"/>
            <w:vAlign w:val="center"/>
          </w:tcPr>
          <w:p w14:paraId="7210A643" w14:textId="520EDBB4" w:rsidR="00A27D25" w:rsidRPr="00323814" w:rsidRDefault="00A27D25" w:rsidP="006E0577">
            <w:pPr>
              <w:suppressAutoHyphens w:val="0"/>
              <w:rPr>
                <w:rFonts w:ascii="Times New Roman" w:hAnsi="Times New Roman" w:cs="Times New Roman"/>
                <w:b/>
                <w:bCs/>
                <w:noProof/>
                <w:lang w:val="en-IE"/>
              </w:rPr>
            </w:pPr>
            <w:r w:rsidRPr="00323814">
              <w:rPr>
                <w:rFonts w:ascii="Times New Roman" w:hAnsi="Times New Roman" w:cs="Times New Roman"/>
                <w:b/>
                <w:bCs/>
                <w:noProof/>
                <w:lang w:val="en-IE"/>
              </w:rPr>
              <w:t>Status</w:t>
            </w:r>
          </w:p>
        </w:tc>
        <w:tc>
          <w:tcPr>
            <w:tcW w:w="6577" w:type="dxa"/>
            <w:shd w:val="clear" w:color="auto" w:fill="8DB3E2"/>
            <w:vAlign w:val="center"/>
          </w:tcPr>
          <w:p w14:paraId="03C7466A" w14:textId="5E6F081C" w:rsidR="00A27D25" w:rsidRPr="00323814" w:rsidRDefault="00A27D25" w:rsidP="00A27D25">
            <w:pPr>
              <w:suppressAutoHyphens w:val="0"/>
              <w:rPr>
                <w:rFonts w:ascii="Times New Roman" w:hAnsi="Times New Roman" w:cs="Times New Roman"/>
                <w:b/>
                <w:bCs/>
                <w:noProof/>
                <w:lang w:val="en-IE"/>
              </w:rPr>
            </w:pPr>
            <w:r w:rsidRPr="00323814">
              <w:rPr>
                <w:rFonts w:ascii="Times New Roman" w:hAnsi="Times New Roman" w:cs="Times New Roman"/>
                <w:b/>
                <w:bCs/>
                <w:noProof/>
                <w:lang w:val="en-IE"/>
              </w:rPr>
              <w:t>Chapter 1. Removing barriers: Doubling down on the ‘Terrible 10”</w:t>
            </w:r>
          </w:p>
        </w:tc>
        <w:tc>
          <w:tcPr>
            <w:tcW w:w="1843" w:type="dxa"/>
            <w:shd w:val="clear" w:color="auto" w:fill="8DB3E2"/>
            <w:vAlign w:val="center"/>
          </w:tcPr>
          <w:p w14:paraId="0EE4FD8B" w14:textId="77777777" w:rsidR="00A27D25" w:rsidRPr="00323814" w:rsidRDefault="00A27D25" w:rsidP="00A27D25">
            <w:pPr>
              <w:suppressAutoHyphens w:val="0"/>
              <w:jc w:val="center"/>
              <w:rPr>
                <w:rFonts w:ascii="Times New Roman" w:hAnsi="Times New Roman" w:cs="Times New Roman"/>
                <w:b/>
                <w:bCs/>
                <w:noProof/>
                <w:lang w:val="en-IE"/>
              </w:rPr>
            </w:pPr>
            <w:r w:rsidRPr="00323814">
              <w:rPr>
                <w:rFonts w:ascii="Times New Roman" w:hAnsi="Times New Roman" w:cs="Times New Roman"/>
                <w:b/>
                <w:bCs/>
                <w:noProof/>
                <w:lang w:val="en-IE"/>
              </w:rPr>
              <w:t>Timeline</w:t>
            </w:r>
          </w:p>
        </w:tc>
      </w:tr>
      <w:tr w:rsidR="004A79F5" w:rsidRPr="004A79F5" w14:paraId="38B09384" w14:textId="77777777" w:rsidTr="006E0577">
        <w:trPr>
          <w:trHeight w:val="397"/>
        </w:trPr>
        <w:tc>
          <w:tcPr>
            <w:tcW w:w="936" w:type="dxa"/>
            <w:shd w:val="clear" w:color="auto" w:fill="F9F9CF"/>
            <w:vAlign w:val="center"/>
          </w:tcPr>
          <w:p w14:paraId="74F22722" w14:textId="6052AFF2"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240E6137" wp14:editId="56B440AA">
                  <wp:extent cx="209550" cy="209550"/>
                  <wp:effectExtent l="0" t="0" r="0" b="0"/>
                  <wp:docPr id="2113676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6577" w:type="dxa"/>
            <w:tcBorders>
              <w:top w:val="single" w:sz="4" w:space="0" w:color="auto"/>
              <w:left w:val="single" w:sz="4" w:space="0" w:color="auto"/>
              <w:bottom w:val="single" w:sz="4" w:space="0" w:color="auto"/>
              <w:right w:val="single" w:sz="4" w:space="0" w:color="auto"/>
            </w:tcBorders>
            <w:shd w:val="clear" w:color="auto" w:fill="F9F9CF"/>
            <w:vAlign w:val="center"/>
          </w:tcPr>
          <w:p w14:paraId="08D43E17" w14:textId="6415B15A" w:rsidR="00A27D25" w:rsidRPr="00502CFE" w:rsidRDefault="00D70F8A" w:rsidP="00A27D25">
            <w:pPr>
              <w:suppressAutoHyphens w:val="0"/>
              <w:rPr>
                <w:rFonts w:ascii="Times New Roman" w:hAnsi="Times New Roman" w:cs="Times New Roman"/>
                <w:noProof/>
                <w:sz w:val="20"/>
                <w:szCs w:val="20"/>
                <w:lang w:val="fr-BE"/>
              </w:rPr>
            </w:pPr>
            <w:r w:rsidRPr="00502CFE">
              <w:rPr>
                <w:rFonts w:ascii="Times New Roman" w:hAnsi="Times New Roman" w:cs="Times New Roman"/>
                <w:noProof/>
                <w:sz w:val="20"/>
                <w:szCs w:val="20"/>
                <w:lang w:val="fr-BE"/>
              </w:rPr>
              <w:t>S</w:t>
            </w:r>
            <w:r w:rsidR="00A27D25" w:rsidRPr="00502CFE">
              <w:rPr>
                <w:rFonts w:ascii="Times New Roman" w:hAnsi="Times New Roman" w:cs="Times New Roman"/>
                <w:noProof/>
                <w:sz w:val="20"/>
                <w:szCs w:val="20"/>
                <w:lang w:val="fr-BE"/>
              </w:rPr>
              <w:t xml:space="preserve">implification </w:t>
            </w:r>
            <w:r w:rsidRPr="00502CFE">
              <w:rPr>
                <w:rFonts w:ascii="Times New Roman" w:hAnsi="Times New Roman" w:cs="Times New Roman"/>
                <w:noProof/>
                <w:sz w:val="20"/>
                <w:szCs w:val="20"/>
                <w:lang w:val="fr-BE"/>
              </w:rPr>
              <w:t>O</w:t>
            </w:r>
            <w:r w:rsidR="00A27D25" w:rsidRPr="00502CFE">
              <w:rPr>
                <w:rFonts w:ascii="Times New Roman" w:hAnsi="Times New Roman" w:cs="Times New Roman"/>
                <w:noProof/>
                <w:sz w:val="20"/>
                <w:szCs w:val="20"/>
                <w:lang w:val="fr-BE"/>
              </w:rPr>
              <w:t xml:space="preserve">mnibus </w:t>
            </w:r>
            <w:r w:rsidRPr="00502CFE">
              <w:rPr>
                <w:rFonts w:ascii="Times New Roman" w:hAnsi="Times New Roman" w:cs="Times New Roman"/>
                <w:noProof/>
                <w:sz w:val="20"/>
                <w:szCs w:val="20"/>
                <w:lang w:val="fr-BE"/>
              </w:rPr>
              <w:t>VII on digital</w:t>
            </w:r>
            <w:r w:rsidR="004662C9">
              <w:rPr>
                <w:rStyle w:val="EndnoteReference"/>
                <w:rFonts w:ascii="Times New Roman" w:hAnsi="Times New Roman" w:cs="Times New Roman"/>
                <w:noProof/>
                <w:sz w:val="20"/>
                <w:szCs w:val="20"/>
                <w:lang w:val="fr-BE"/>
              </w:rPr>
              <w:endnoteReference w:id="72"/>
            </w:r>
          </w:p>
        </w:tc>
        <w:tc>
          <w:tcPr>
            <w:tcW w:w="1843" w:type="dxa"/>
            <w:shd w:val="clear" w:color="auto" w:fill="F9F9CF"/>
            <w:vAlign w:val="center"/>
          </w:tcPr>
          <w:p w14:paraId="515EB0C7"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19 November 2025</w:t>
            </w:r>
          </w:p>
        </w:tc>
      </w:tr>
      <w:tr w:rsidR="00993E87" w:rsidRPr="004A79F5" w14:paraId="4254B505" w14:textId="77777777" w:rsidTr="00807325">
        <w:trPr>
          <w:trHeight w:val="397"/>
        </w:trPr>
        <w:tc>
          <w:tcPr>
            <w:tcW w:w="936" w:type="dxa"/>
            <w:shd w:val="clear" w:color="auto" w:fill="F9F9CF"/>
            <w:vAlign w:val="center"/>
          </w:tcPr>
          <w:p w14:paraId="691804E5" w14:textId="601360CD"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5C2190C0" wp14:editId="0EBAEB2C">
                  <wp:extent cx="209550" cy="209550"/>
                  <wp:effectExtent l="0" t="0" r="0" b="0"/>
                  <wp:docPr id="898737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6577" w:type="dxa"/>
            <w:tcBorders>
              <w:top w:val="nil"/>
              <w:left w:val="single" w:sz="4" w:space="0" w:color="auto"/>
              <w:bottom w:val="single" w:sz="4" w:space="0" w:color="auto"/>
              <w:right w:val="single" w:sz="4" w:space="0" w:color="auto"/>
            </w:tcBorders>
            <w:shd w:val="clear" w:color="auto" w:fill="F9F9CF"/>
            <w:vAlign w:val="center"/>
          </w:tcPr>
          <w:p w14:paraId="5980AC24" w14:textId="5F8064C1" w:rsidR="00A27D25" w:rsidRPr="0065549F" w:rsidRDefault="00FE7A6D" w:rsidP="00A27D25">
            <w:pPr>
              <w:suppressAutoHyphens w:val="0"/>
              <w:rPr>
                <w:rFonts w:ascii="Times New Roman" w:hAnsi="Times New Roman" w:cs="Times New Roman"/>
                <w:noProof/>
                <w:sz w:val="20"/>
                <w:szCs w:val="20"/>
                <w:lang w:val="fr-BE"/>
              </w:rPr>
            </w:pPr>
            <w:r w:rsidRPr="0065549F">
              <w:rPr>
                <w:rFonts w:ascii="Times New Roman" w:hAnsi="Times New Roman" w:cs="Times New Roman"/>
                <w:noProof/>
                <w:sz w:val="20"/>
                <w:szCs w:val="20"/>
                <w:lang w:val="fr-BE"/>
              </w:rPr>
              <w:t>S</w:t>
            </w:r>
            <w:r w:rsidR="00A27D25" w:rsidRPr="0065549F">
              <w:rPr>
                <w:rFonts w:ascii="Times New Roman" w:hAnsi="Times New Roman" w:cs="Times New Roman"/>
                <w:noProof/>
                <w:sz w:val="20"/>
                <w:szCs w:val="20"/>
                <w:lang w:val="fr-BE"/>
              </w:rPr>
              <w:t xml:space="preserve">implification </w:t>
            </w:r>
            <w:r w:rsidRPr="0065549F">
              <w:rPr>
                <w:rFonts w:ascii="Times New Roman" w:hAnsi="Times New Roman" w:cs="Times New Roman"/>
                <w:noProof/>
                <w:sz w:val="20"/>
                <w:szCs w:val="20"/>
                <w:lang w:val="fr-BE"/>
              </w:rPr>
              <w:t>O</w:t>
            </w:r>
            <w:r w:rsidR="00A27D25" w:rsidRPr="0065549F">
              <w:rPr>
                <w:rFonts w:ascii="Times New Roman" w:hAnsi="Times New Roman" w:cs="Times New Roman"/>
                <w:noProof/>
                <w:sz w:val="20"/>
                <w:szCs w:val="20"/>
                <w:lang w:val="fr-BE"/>
              </w:rPr>
              <w:t xml:space="preserve">mnibus </w:t>
            </w:r>
            <w:r w:rsidR="00910905" w:rsidRPr="0065549F">
              <w:rPr>
                <w:rFonts w:ascii="Times New Roman" w:hAnsi="Times New Roman" w:cs="Times New Roman"/>
                <w:noProof/>
                <w:sz w:val="20"/>
                <w:szCs w:val="20"/>
                <w:lang w:val="fr-BE"/>
              </w:rPr>
              <w:t>VIII on environmental rules</w:t>
            </w:r>
            <w:r w:rsidR="009B64D0">
              <w:rPr>
                <w:rStyle w:val="EndnoteReference"/>
                <w:rFonts w:ascii="Times New Roman" w:hAnsi="Times New Roman" w:cs="Times New Roman"/>
                <w:noProof/>
                <w:sz w:val="20"/>
                <w:szCs w:val="20"/>
                <w:lang w:val="fr-BE"/>
              </w:rPr>
              <w:endnoteReference w:id="73"/>
            </w:r>
          </w:p>
        </w:tc>
        <w:tc>
          <w:tcPr>
            <w:tcW w:w="1843" w:type="dxa"/>
            <w:shd w:val="clear" w:color="auto" w:fill="F9F9CF"/>
            <w:vAlign w:val="center"/>
          </w:tcPr>
          <w:p w14:paraId="3858D0F2" w14:textId="4A27AAA0" w:rsidR="00A27D25" w:rsidRPr="0065549F" w:rsidRDefault="00053628" w:rsidP="00A27D25">
            <w:pPr>
              <w:suppressAutoHyphens w:val="0"/>
              <w:jc w:val="center"/>
              <w:rPr>
                <w:rFonts w:ascii="Times New Roman" w:hAnsi="Times New Roman" w:cs="Times New Roman"/>
                <w:noProof/>
                <w:sz w:val="20"/>
                <w:szCs w:val="20"/>
              </w:rPr>
            </w:pPr>
            <w:r>
              <w:rPr>
                <w:rFonts w:ascii="Times New Roman" w:hAnsi="Times New Roman" w:cs="Times New Roman"/>
                <w:noProof/>
                <w:sz w:val="20"/>
                <w:szCs w:val="20"/>
              </w:rPr>
              <w:t>10</w:t>
            </w:r>
            <w:r w:rsidRPr="0065549F">
              <w:rPr>
                <w:rFonts w:ascii="Times New Roman" w:hAnsi="Times New Roman" w:cs="Times New Roman"/>
                <w:noProof/>
                <w:sz w:val="20"/>
                <w:szCs w:val="20"/>
              </w:rPr>
              <w:t xml:space="preserve"> </w:t>
            </w:r>
            <w:r w:rsidR="00910905" w:rsidRPr="0065549F">
              <w:rPr>
                <w:rFonts w:ascii="Times New Roman" w:hAnsi="Times New Roman" w:cs="Times New Roman"/>
                <w:noProof/>
                <w:sz w:val="20"/>
                <w:szCs w:val="20"/>
              </w:rPr>
              <w:t xml:space="preserve">December </w:t>
            </w:r>
            <w:r w:rsidR="00A27D25" w:rsidRPr="0065549F">
              <w:rPr>
                <w:rFonts w:ascii="Times New Roman" w:hAnsi="Times New Roman" w:cs="Times New Roman"/>
                <w:noProof/>
                <w:sz w:val="20"/>
                <w:szCs w:val="20"/>
              </w:rPr>
              <w:t>2025</w:t>
            </w:r>
          </w:p>
        </w:tc>
      </w:tr>
      <w:tr w:rsidR="00E74F8D" w:rsidRPr="004A79F5" w14:paraId="0CF06B0F" w14:textId="77777777" w:rsidTr="006E0577">
        <w:trPr>
          <w:trHeight w:val="397"/>
        </w:trPr>
        <w:tc>
          <w:tcPr>
            <w:tcW w:w="936" w:type="dxa"/>
            <w:vAlign w:val="center"/>
          </w:tcPr>
          <w:p w14:paraId="46B16A3E" w14:textId="2F41B49F"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1F4595CE" w14:textId="57C83C40"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Competitiveness check</w:t>
            </w:r>
            <w:r w:rsidR="00CF036B">
              <w:rPr>
                <w:rFonts w:ascii="Times New Roman" w:hAnsi="Times New Roman" w:cs="Times New Roman"/>
                <w:noProof/>
                <w:sz w:val="20"/>
                <w:szCs w:val="20"/>
              </w:rPr>
              <w:t xml:space="preserve"> </w:t>
            </w:r>
            <w:r w:rsidR="00CF036B" w:rsidRPr="00CF036B">
              <w:rPr>
                <w:rFonts w:ascii="Times New Roman" w:hAnsi="Times New Roman" w:cs="Times New Roman"/>
                <w:noProof/>
                <w:sz w:val="20"/>
                <w:szCs w:val="20"/>
              </w:rPr>
              <w:t>as core part of impact assessment</w:t>
            </w:r>
          </w:p>
        </w:tc>
        <w:tc>
          <w:tcPr>
            <w:tcW w:w="1843" w:type="dxa"/>
            <w:vAlign w:val="center"/>
          </w:tcPr>
          <w:p w14:paraId="4B90CC0A" w14:textId="2CD7E1E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Ongoing</w:t>
            </w:r>
          </w:p>
        </w:tc>
      </w:tr>
      <w:tr w:rsidR="004A79F5" w:rsidRPr="004A79F5" w14:paraId="1A38B4F0" w14:textId="77777777" w:rsidTr="006E0577">
        <w:trPr>
          <w:trHeight w:val="397"/>
        </w:trPr>
        <w:tc>
          <w:tcPr>
            <w:tcW w:w="936" w:type="dxa"/>
            <w:vAlign w:val="center"/>
          </w:tcPr>
          <w:p w14:paraId="7E47E69A" w14:textId="77777777" w:rsidR="00A27D25" w:rsidRPr="0065549F" w:rsidRDefault="00A27D25" w:rsidP="00A27D25">
            <w:pPr>
              <w:suppressAutoHyphens w:val="0"/>
              <w:jc w:val="center"/>
              <w:rPr>
                <w:rFonts w:ascii="Times New Roman" w:hAnsi="Times New Roman" w:cs="Times New Roman"/>
                <w:noProof/>
                <w:sz w:val="20"/>
                <w:szCs w:val="20"/>
                <w:lang w:val="it-IT"/>
              </w:rPr>
            </w:pPr>
          </w:p>
        </w:tc>
        <w:tc>
          <w:tcPr>
            <w:tcW w:w="6577" w:type="dxa"/>
            <w:tcBorders>
              <w:top w:val="nil"/>
              <w:left w:val="single" w:sz="4" w:space="0" w:color="auto"/>
              <w:bottom w:val="single" w:sz="4" w:space="0" w:color="auto"/>
              <w:right w:val="single" w:sz="4" w:space="0" w:color="auto"/>
            </w:tcBorders>
            <w:vAlign w:val="center"/>
          </w:tcPr>
          <w:p w14:paraId="27669F14"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Review of national and European agencies in the field of the Single Market</w:t>
            </w:r>
          </w:p>
        </w:tc>
        <w:tc>
          <w:tcPr>
            <w:tcW w:w="1843" w:type="dxa"/>
            <w:vAlign w:val="center"/>
          </w:tcPr>
          <w:p w14:paraId="26F182EE" w14:textId="37BC5A76" w:rsidR="00A27D25" w:rsidRPr="0065549F" w:rsidRDefault="00A27D25" w:rsidP="00A27D25">
            <w:pPr>
              <w:suppressAutoHyphens w:val="0"/>
              <w:jc w:val="center"/>
              <w:rPr>
                <w:rFonts w:ascii="Times New Roman" w:hAnsi="Times New Roman" w:cs="Times New Roman"/>
                <w:noProof/>
                <w:sz w:val="20"/>
                <w:szCs w:val="20"/>
                <w:lang w:val="en-IE"/>
              </w:rPr>
            </w:pPr>
            <w:r w:rsidRPr="0038422B">
              <w:rPr>
                <w:rFonts w:ascii="Times New Roman" w:hAnsi="Times New Roman" w:cs="Times New Roman"/>
                <w:noProof/>
                <w:sz w:val="20"/>
                <w:szCs w:val="20"/>
              </w:rPr>
              <w:t>Q</w:t>
            </w:r>
            <w:r w:rsidR="0038422B" w:rsidRPr="00EC17DB">
              <w:rPr>
                <w:rFonts w:ascii="Times New Roman" w:hAnsi="Times New Roman" w:cs="Times New Roman"/>
                <w:noProof/>
                <w:sz w:val="20"/>
                <w:szCs w:val="20"/>
              </w:rPr>
              <w:t>3</w:t>
            </w:r>
            <w:r w:rsidRPr="0065549F">
              <w:rPr>
                <w:rFonts w:ascii="Times New Roman" w:hAnsi="Times New Roman" w:cs="Times New Roman"/>
                <w:noProof/>
                <w:sz w:val="20"/>
                <w:szCs w:val="20"/>
              </w:rPr>
              <w:t xml:space="preserve"> 2026</w:t>
            </w:r>
          </w:p>
        </w:tc>
      </w:tr>
      <w:tr w:rsidR="004A79F5" w:rsidRPr="004A79F5" w14:paraId="48CF7D83" w14:textId="77777777" w:rsidTr="006E0577">
        <w:trPr>
          <w:trHeight w:val="397"/>
        </w:trPr>
        <w:tc>
          <w:tcPr>
            <w:tcW w:w="936" w:type="dxa"/>
            <w:vAlign w:val="center"/>
          </w:tcPr>
          <w:p w14:paraId="0C8211D0"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74F21BFF"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Public Procurement Act</w:t>
            </w:r>
          </w:p>
        </w:tc>
        <w:tc>
          <w:tcPr>
            <w:tcW w:w="1843" w:type="dxa"/>
            <w:vAlign w:val="center"/>
          </w:tcPr>
          <w:p w14:paraId="0728F1C3"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Q2 2026</w:t>
            </w:r>
          </w:p>
        </w:tc>
      </w:tr>
      <w:tr w:rsidR="004A79F5" w:rsidRPr="004A79F5" w14:paraId="69550D7D" w14:textId="77777777" w:rsidTr="006E0577">
        <w:trPr>
          <w:trHeight w:val="397"/>
        </w:trPr>
        <w:tc>
          <w:tcPr>
            <w:tcW w:w="936" w:type="dxa"/>
            <w:vAlign w:val="center"/>
          </w:tcPr>
          <w:p w14:paraId="5B0EE2DB"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6521C459" w14:textId="77777777" w:rsidR="00A27D25" w:rsidRPr="0065549F" w:rsidRDefault="00A27D25" w:rsidP="00A27D2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rPr>
              <w:t>Revision of Directive on defence and sensitive security procurement</w:t>
            </w:r>
          </w:p>
        </w:tc>
        <w:tc>
          <w:tcPr>
            <w:tcW w:w="1843" w:type="dxa"/>
            <w:vAlign w:val="center"/>
          </w:tcPr>
          <w:p w14:paraId="5B766D89" w14:textId="741B4D4A" w:rsidR="00A27D25" w:rsidRPr="0065549F" w:rsidRDefault="00DB083E" w:rsidP="00A27D25">
            <w:pPr>
              <w:suppressAutoHyphens w:val="0"/>
              <w:jc w:val="center"/>
              <w:rPr>
                <w:rFonts w:ascii="Times New Roman" w:hAnsi="Times New Roman" w:cs="Times New Roman"/>
                <w:noProof/>
                <w:sz w:val="20"/>
                <w:szCs w:val="20"/>
                <w:lang w:val="en-IE"/>
              </w:rPr>
            </w:pPr>
            <w:r>
              <w:rPr>
                <w:rFonts w:ascii="Times New Roman" w:hAnsi="Times New Roman" w:cs="Times New Roman"/>
                <w:noProof/>
                <w:sz w:val="20"/>
                <w:szCs w:val="20"/>
              </w:rPr>
              <w:t xml:space="preserve">Q3 </w:t>
            </w:r>
            <w:r w:rsidR="00A27D25" w:rsidRPr="0065549F">
              <w:rPr>
                <w:rFonts w:ascii="Times New Roman" w:hAnsi="Times New Roman" w:cs="Times New Roman"/>
                <w:noProof/>
                <w:sz w:val="20"/>
                <w:szCs w:val="20"/>
              </w:rPr>
              <w:t>2026</w:t>
            </w:r>
          </w:p>
        </w:tc>
      </w:tr>
      <w:tr w:rsidR="00E74F8D" w:rsidRPr="004A79F5" w14:paraId="17608CEB" w14:textId="77777777" w:rsidTr="006E0577">
        <w:trPr>
          <w:trHeight w:val="397"/>
        </w:trPr>
        <w:tc>
          <w:tcPr>
            <w:tcW w:w="936" w:type="dxa"/>
            <w:vAlign w:val="center"/>
          </w:tcPr>
          <w:p w14:paraId="7EF363C0" w14:textId="4FE73A55" w:rsidR="00A27D25" w:rsidRPr="0065549F" w:rsidRDefault="00A27D25" w:rsidP="00A27D25">
            <w:pPr>
              <w:suppressAutoHyphens w:val="0"/>
              <w:jc w:val="center"/>
              <w:rPr>
                <w:rFonts w:ascii="Times New Roman" w:hAnsi="Times New Roman" w:cs="Times New Roman"/>
                <w:noProof/>
                <w:sz w:val="20"/>
                <w:szCs w:val="20"/>
              </w:rPr>
            </w:pPr>
          </w:p>
        </w:tc>
        <w:tc>
          <w:tcPr>
            <w:tcW w:w="6577" w:type="dxa"/>
            <w:tcBorders>
              <w:top w:val="nil"/>
              <w:left w:val="single" w:sz="4" w:space="0" w:color="auto"/>
              <w:bottom w:val="single" w:sz="4" w:space="0" w:color="auto"/>
              <w:right w:val="single" w:sz="4" w:space="0" w:color="auto"/>
            </w:tcBorders>
            <w:vAlign w:val="center"/>
          </w:tcPr>
          <w:p w14:paraId="5A46B9CE"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First meeting of high-level Single Market Sherpas</w:t>
            </w:r>
          </w:p>
        </w:tc>
        <w:tc>
          <w:tcPr>
            <w:tcW w:w="1843" w:type="dxa"/>
            <w:vAlign w:val="center"/>
          </w:tcPr>
          <w:p w14:paraId="6652F3D1" w14:textId="715AE99D" w:rsidR="00A27D25" w:rsidRPr="0065549F" w:rsidRDefault="005260C6" w:rsidP="00A27D25">
            <w:pPr>
              <w:suppressAutoHyphens w:val="0"/>
              <w:jc w:val="center"/>
              <w:rPr>
                <w:rFonts w:ascii="Times New Roman" w:hAnsi="Times New Roman" w:cs="Times New Roman"/>
                <w:noProof/>
                <w:sz w:val="20"/>
                <w:szCs w:val="20"/>
                <w:lang w:val="en-IE"/>
              </w:rPr>
            </w:pPr>
            <w:r>
              <w:rPr>
                <w:rFonts w:ascii="Times New Roman" w:hAnsi="Times New Roman" w:cs="Times New Roman"/>
                <w:noProof/>
                <w:sz w:val="20"/>
                <w:szCs w:val="20"/>
              </w:rPr>
              <w:t>Q1 2026</w:t>
            </w:r>
          </w:p>
        </w:tc>
      </w:tr>
      <w:tr w:rsidR="004A79F5" w:rsidRPr="004A79F5" w14:paraId="280A383C" w14:textId="77777777" w:rsidTr="006E0577">
        <w:trPr>
          <w:trHeight w:val="397"/>
        </w:trPr>
        <w:tc>
          <w:tcPr>
            <w:tcW w:w="936" w:type="dxa"/>
            <w:shd w:val="clear" w:color="auto" w:fill="C2D69B"/>
            <w:vAlign w:val="center"/>
          </w:tcPr>
          <w:p w14:paraId="6E0ACDBD" w14:textId="47BC47A8"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33DCAD29" wp14:editId="33EBBDE2">
                  <wp:extent cx="161925" cy="142875"/>
                  <wp:effectExtent l="0" t="0" r="9525" b="9525"/>
                  <wp:docPr id="15776327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p>
        </w:tc>
        <w:tc>
          <w:tcPr>
            <w:tcW w:w="6577" w:type="dxa"/>
            <w:tcBorders>
              <w:top w:val="nil"/>
              <w:left w:val="single" w:sz="4" w:space="0" w:color="auto"/>
              <w:bottom w:val="single" w:sz="4" w:space="0" w:color="auto"/>
              <w:right w:val="single" w:sz="4" w:space="0" w:color="auto"/>
            </w:tcBorders>
            <w:shd w:val="clear" w:color="auto" w:fill="C2D69B"/>
            <w:vAlign w:val="center"/>
          </w:tcPr>
          <w:p w14:paraId="2F83B89B" w14:textId="069E5016"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First SMET annual high-level political meeting</w:t>
            </w:r>
          </w:p>
        </w:tc>
        <w:tc>
          <w:tcPr>
            <w:tcW w:w="1843" w:type="dxa"/>
            <w:shd w:val="clear" w:color="auto" w:fill="C2D69B"/>
            <w:vAlign w:val="center"/>
          </w:tcPr>
          <w:p w14:paraId="6B4DF057" w14:textId="1DC81C30"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8 December 2025</w:t>
            </w:r>
          </w:p>
        </w:tc>
      </w:tr>
      <w:tr w:rsidR="004A79F5" w:rsidRPr="004A79F5" w14:paraId="72B6BF6C" w14:textId="77777777" w:rsidTr="006E0577">
        <w:trPr>
          <w:trHeight w:val="397"/>
        </w:trPr>
        <w:tc>
          <w:tcPr>
            <w:tcW w:w="936" w:type="dxa"/>
            <w:vAlign w:val="center"/>
          </w:tcPr>
          <w:p w14:paraId="2B1C2EBD"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7339D370"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Single Market Barriers Prevention Act (if necessary)</w:t>
            </w:r>
          </w:p>
        </w:tc>
        <w:tc>
          <w:tcPr>
            <w:tcW w:w="1843" w:type="dxa"/>
            <w:vAlign w:val="center"/>
          </w:tcPr>
          <w:p w14:paraId="0C71542B"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Q3 2027</w:t>
            </w:r>
          </w:p>
        </w:tc>
      </w:tr>
      <w:tr w:rsidR="004A79F5" w:rsidRPr="002E272B" w14:paraId="04581F13" w14:textId="77777777" w:rsidTr="006E0577">
        <w:trPr>
          <w:trHeight w:val="397"/>
        </w:trPr>
        <w:tc>
          <w:tcPr>
            <w:tcW w:w="936" w:type="dxa"/>
            <w:vAlign w:val="center"/>
          </w:tcPr>
          <w:p w14:paraId="67DA8F36"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46B509EC" w14:textId="2FD21863"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28</w:t>
            </w:r>
            <w:r w:rsidRPr="0065549F">
              <w:rPr>
                <w:rFonts w:ascii="Times New Roman" w:hAnsi="Times New Roman" w:cs="Times New Roman"/>
                <w:noProof/>
                <w:sz w:val="20"/>
                <w:szCs w:val="20"/>
                <w:vertAlign w:val="superscript"/>
              </w:rPr>
              <w:t>th</w:t>
            </w:r>
            <w:r w:rsidRPr="0065549F">
              <w:rPr>
                <w:rFonts w:ascii="Times New Roman" w:hAnsi="Times New Roman" w:cs="Times New Roman"/>
                <w:noProof/>
                <w:sz w:val="20"/>
                <w:szCs w:val="20"/>
              </w:rPr>
              <w:t xml:space="preserve"> Regime </w:t>
            </w:r>
            <w:r w:rsidRPr="0065549F" w:rsidDel="00310A77">
              <w:rPr>
                <w:rFonts w:ascii="Times New Roman" w:hAnsi="Times New Roman" w:cs="Times New Roman"/>
                <w:noProof/>
                <w:sz w:val="20"/>
                <w:szCs w:val="20"/>
              </w:rPr>
              <w:t>for Innovative Companies</w:t>
            </w:r>
            <w:r w:rsidR="000A6146">
              <w:rPr>
                <w:rFonts w:ascii="Times New Roman" w:hAnsi="Times New Roman" w:cs="Times New Roman"/>
                <w:noProof/>
                <w:sz w:val="20"/>
                <w:szCs w:val="20"/>
              </w:rPr>
              <w:t xml:space="preserve"> </w:t>
            </w:r>
            <w:r w:rsidR="006965EE">
              <w:rPr>
                <w:rFonts w:ascii="Times New Roman" w:hAnsi="Times New Roman" w:cs="Times New Roman"/>
                <w:noProof/>
                <w:sz w:val="20"/>
                <w:szCs w:val="20"/>
              </w:rPr>
              <w:t>(EU Inc.)</w:t>
            </w:r>
          </w:p>
        </w:tc>
        <w:tc>
          <w:tcPr>
            <w:tcW w:w="1843" w:type="dxa"/>
            <w:vAlign w:val="center"/>
          </w:tcPr>
          <w:p w14:paraId="2A4A6D84"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Q1 2026</w:t>
            </w:r>
          </w:p>
        </w:tc>
      </w:tr>
      <w:tr w:rsidR="004A79F5" w:rsidRPr="004A79F5" w14:paraId="5E6CB4E6" w14:textId="77777777" w:rsidTr="006E0577">
        <w:trPr>
          <w:trHeight w:val="397"/>
        </w:trPr>
        <w:tc>
          <w:tcPr>
            <w:tcW w:w="936" w:type="dxa"/>
            <w:vAlign w:val="center"/>
          </w:tcPr>
          <w:p w14:paraId="43ACBF45"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553289B7"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Revision of Commission Recommendation on business transfers</w:t>
            </w:r>
          </w:p>
        </w:tc>
        <w:tc>
          <w:tcPr>
            <w:tcW w:w="1843" w:type="dxa"/>
            <w:vAlign w:val="center"/>
          </w:tcPr>
          <w:p w14:paraId="0EDA0E8B" w14:textId="33BFF829" w:rsidR="00A27D25" w:rsidRPr="008857A8" w:rsidRDefault="00A27D25" w:rsidP="00A27D25">
            <w:pPr>
              <w:suppressAutoHyphens w:val="0"/>
              <w:jc w:val="center"/>
              <w:rPr>
                <w:rFonts w:ascii="Times New Roman" w:hAnsi="Times New Roman" w:cs="Times New Roman"/>
                <w:noProof/>
                <w:sz w:val="20"/>
                <w:szCs w:val="20"/>
                <w:highlight w:val="yellow"/>
                <w:lang w:val="en-IE"/>
              </w:rPr>
            </w:pPr>
            <w:r w:rsidRPr="00EC17DB">
              <w:rPr>
                <w:rFonts w:ascii="Times New Roman" w:hAnsi="Times New Roman" w:cs="Times New Roman"/>
                <w:noProof/>
                <w:sz w:val="20"/>
                <w:szCs w:val="20"/>
              </w:rPr>
              <w:t>Q</w:t>
            </w:r>
            <w:r w:rsidR="001437F1" w:rsidRPr="00EC17DB">
              <w:rPr>
                <w:rFonts w:ascii="Times New Roman" w:hAnsi="Times New Roman" w:cs="Times New Roman"/>
                <w:noProof/>
                <w:sz w:val="20"/>
                <w:szCs w:val="20"/>
              </w:rPr>
              <w:t>1</w:t>
            </w:r>
            <w:r w:rsidRPr="00EC17DB">
              <w:rPr>
                <w:rFonts w:ascii="Times New Roman" w:hAnsi="Times New Roman" w:cs="Times New Roman"/>
                <w:noProof/>
                <w:sz w:val="20"/>
                <w:szCs w:val="20"/>
              </w:rPr>
              <w:t xml:space="preserve"> 202</w:t>
            </w:r>
            <w:r w:rsidR="001437F1" w:rsidRPr="00EC17DB">
              <w:rPr>
                <w:rFonts w:ascii="Times New Roman" w:hAnsi="Times New Roman" w:cs="Times New Roman"/>
                <w:noProof/>
                <w:sz w:val="20"/>
                <w:szCs w:val="20"/>
              </w:rPr>
              <w:t>6</w:t>
            </w:r>
          </w:p>
        </w:tc>
      </w:tr>
      <w:tr w:rsidR="004A79F5" w:rsidRPr="004A79F5" w14:paraId="6A71E4E5" w14:textId="77777777" w:rsidTr="006E0577">
        <w:trPr>
          <w:trHeight w:val="397"/>
        </w:trPr>
        <w:tc>
          <w:tcPr>
            <w:tcW w:w="936" w:type="dxa"/>
            <w:vAlign w:val="center"/>
          </w:tcPr>
          <w:p w14:paraId="0B64C38F"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33AEFCEC"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Exploring EU legislation to address barriers to the mobility of workers</w:t>
            </w:r>
          </w:p>
        </w:tc>
        <w:tc>
          <w:tcPr>
            <w:tcW w:w="1843" w:type="dxa"/>
            <w:vAlign w:val="center"/>
          </w:tcPr>
          <w:p w14:paraId="5B29B782"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Ongoing</w:t>
            </w:r>
          </w:p>
        </w:tc>
      </w:tr>
      <w:tr w:rsidR="004A79F5" w:rsidRPr="004A79F5" w14:paraId="273FE429" w14:textId="77777777" w:rsidTr="006E0577">
        <w:trPr>
          <w:trHeight w:val="397"/>
        </w:trPr>
        <w:tc>
          <w:tcPr>
            <w:tcW w:w="936" w:type="dxa"/>
            <w:vAlign w:val="center"/>
          </w:tcPr>
          <w:p w14:paraId="2E6709E5"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41F374D3"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Measures on professional qualifications as part of Skills Portability Initiative</w:t>
            </w:r>
          </w:p>
        </w:tc>
        <w:tc>
          <w:tcPr>
            <w:tcW w:w="1843" w:type="dxa"/>
            <w:vAlign w:val="center"/>
          </w:tcPr>
          <w:p w14:paraId="33D5AC4D"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Q3 2026</w:t>
            </w:r>
          </w:p>
        </w:tc>
      </w:tr>
      <w:tr w:rsidR="004A79F5" w:rsidRPr="004A79F5" w14:paraId="40F782EA" w14:textId="77777777" w:rsidTr="006E0577">
        <w:trPr>
          <w:trHeight w:val="397"/>
        </w:trPr>
        <w:tc>
          <w:tcPr>
            <w:tcW w:w="936" w:type="dxa"/>
            <w:vAlign w:val="center"/>
          </w:tcPr>
          <w:p w14:paraId="5920B8BB" w14:textId="77777777" w:rsidR="00A27D25" w:rsidRPr="0065549F" w:rsidRDefault="00A27D25" w:rsidP="00A27D25">
            <w:pPr>
              <w:suppressAutoHyphens w:val="0"/>
              <w:jc w:val="center"/>
              <w:rPr>
                <w:rFonts w:ascii="Times New Roman" w:hAnsi="Times New Roman" w:cs="Times New Roman"/>
                <w:b/>
                <w:bCs/>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575BD4D8" w14:textId="66A0177B" w:rsidR="00A27D25" w:rsidRPr="0065549F" w:rsidRDefault="00034812" w:rsidP="00A27D25">
            <w:pPr>
              <w:suppressAutoHyphens w:val="0"/>
              <w:rPr>
                <w:rFonts w:ascii="Times New Roman" w:hAnsi="Times New Roman" w:cs="Times New Roman"/>
                <w:noProof/>
                <w:sz w:val="20"/>
                <w:szCs w:val="20"/>
                <w:lang w:val="en-IE"/>
              </w:rPr>
            </w:pPr>
            <w:r>
              <w:rPr>
                <w:rFonts w:ascii="Times New Roman" w:hAnsi="Times New Roman" w:cs="Times New Roman"/>
                <w:noProof/>
                <w:sz w:val="20"/>
                <w:szCs w:val="20"/>
              </w:rPr>
              <w:t xml:space="preserve">Explore </w:t>
            </w:r>
            <w:r w:rsidR="0042087D">
              <w:rPr>
                <w:rFonts w:ascii="Times New Roman" w:hAnsi="Times New Roman" w:cs="Times New Roman"/>
                <w:noProof/>
                <w:sz w:val="20"/>
                <w:szCs w:val="20"/>
              </w:rPr>
              <w:t>EU legislation to establish c</w:t>
            </w:r>
            <w:r w:rsidR="00A27D25" w:rsidRPr="0065549F">
              <w:rPr>
                <w:rFonts w:ascii="Times New Roman" w:hAnsi="Times New Roman" w:cs="Times New Roman"/>
                <w:noProof/>
                <w:sz w:val="20"/>
                <w:szCs w:val="20"/>
              </w:rPr>
              <w:t>ommon rules for the recognition and validation of qualifications and skills of third country nationals</w:t>
            </w:r>
          </w:p>
        </w:tc>
        <w:tc>
          <w:tcPr>
            <w:tcW w:w="1843" w:type="dxa"/>
            <w:vAlign w:val="center"/>
          </w:tcPr>
          <w:p w14:paraId="7901466C" w14:textId="26B1BAAD"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w:t>
            </w:r>
            <w:r w:rsidR="007D7CCE">
              <w:rPr>
                <w:rFonts w:ascii="Times New Roman" w:hAnsi="Times New Roman" w:cs="Times New Roman"/>
                <w:noProof/>
                <w:sz w:val="20"/>
                <w:szCs w:val="20"/>
              </w:rPr>
              <w:t>3</w:t>
            </w:r>
            <w:r w:rsidRPr="0065549F">
              <w:rPr>
                <w:rFonts w:ascii="Times New Roman" w:hAnsi="Times New Roman" w:cs="Times New Roman"/>
                <w:noProof/>
                <w:sz w:val="20"/>
                <w:szCs w:val="20"/>
              </w:rPr>
              <w:t xml:space="preserve"> 2026</w:t>
            </w:r>
          </w:p>
        </w:tc>
      </w:tr>
      <w:tr w:rsidR="00993E87" w:rsidRPr="004A79F5" w14:paraId="09B666B8" w14:textId="77777777" w:rsidTr="00807325">
        <w:trPr>
          <w:trHeight w:val="397"/>
        </w:trPr>
        <w:tc>
          <w:tcPr>
            <w:tcW w:w="936" w:type="dxa"/>
            <w:shd w:val="clear" w:color="auto" w:fill="F9F9CF"/>
            <w:vAlign w:val="center"/>
          </w:tcPr>
          <w:p w14:paraId="72661136" w14:textId="3A8CE2C2"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75E06595" wp14:editId="3CA60734">
                  <wp:extent cx="209550" cy="209550"/>
                  <wp:effectExtent l="0" t="0" r="0" b="0"/>
                  <wp:docPr id="528974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6577" w:type="dxa"/>
            <w:tcBorders>
              <w:top w:val="nil"/>
              <w:left w:val="single" w:sz="4" w:space="0" w:color="auto"/>
              <w:bottom w:val="single" w:sz="4" w:space="0" w:color="auto"/>
              <w:right w:val="single" w:sz="4" w:space="0" w:color="auto"/>
            </w:tcBorders>
            <w:shd w:val="clear" w:color="auto" w:fill="F9F9CF"/>
            <w:vAlign w:val="center"/>
          </w:tcPr>
          <w:p w14:paraId="50AF4C63" w14:textId="62D8425C" w:rsidR="00A27D25" w:rsidRPr="0065549F" w:rsidRDefault="00763BDE"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E</w:t>
            </w:r>
            <w:r w:rsidR="00A27D25" w:rsidRPr="0065549F">
              <w:rPr>
                <w:rFonts w:ascii="Times New Roman" w:hAnsi="Times New Roman" w:cs="Times New Roman"/>
                <w:noProof/>
                <w:sz w:val="20"/>
                <w:szCs w:val="20"/>
              </w:rPr>
              <w:t>stablishing common specifications when needed</w:t>
            </w:r>
            <w:r w:rsidRPr="0065549F">
              <w:rPr>
                <w:rFonts w:ascii="Times New Roman" w:hAnsi="Times New Roman" w:cs="Times New Roman"/>
                <w:noProof/>
                <w:sz w:val="20"/>
                <w:szCs w:val="20"/>
              </w:rPr>
              <w:t xml:space="preserve"> as part of the simplification Omnibus IV</w:t>
            </w:r>
            <w:r w:rsidR="009B64D0">
              <w:rPr>
                <w:rStyle w:val="EndnoteReference"/>
                <w:rFonts w:ascii="Times New Roman" w:hAnsi="Times New Roman" w:cs="Times New Roman"/>
                <w:noProof/>
                <w:sz w:val="20"/>
                <w:szCs w:val="20"/>
              </w:rPr>
              <w:endnoteReference w:id="74"/>
            </w:r>
          </w:p>
        </w:tc>
        <w:tc>
          <w:tcPr>
            <w:tcW w:w="1843" w:type="dxa"/>
            <w:shd w:val="clear" w:color="auto" w:fill="F9F9CF"/>
            <w:vAlign w:val="center"/>
          </w:tcPr>
          <w:p w14:paraId="701250E5"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21 May 2025</w:t>
            </w:r>
          </w:p>
        </w:tc>
      </w:tr>
      <w:tr w:rsidR="004A79F5" w:rsidRPr="004A79F5" w14:paraId="23BDD0C3" w14:textId="77777777" w:rsidTr="006E0577">
        <w:trPr>
          <w:trHeight w:val="397"/>
        </w:trPr>
        <w:tc>
          <w:tcPr>
            <w:tcW w:w="936" w:type="dxa"/>
            <w:vAlign w:val="center"/>
          </w:tcPr>
          <w:p w14:paraId="358F4855"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54D6B427"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Update of rules on standardisation</w:t>
            </w:r>
          </w:p>
        </w:tc>
        <w:tc>
          <w:tcPr>
            <w:tcW w:w="1843" w:type="dxa"/>
            <w:vAlign w:val="center"/>
          </w:tcPr>
          <w:p w14:paraId="4BCA1CC0"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Q3 2026</w:t>
            </w:r>
          </w:p>
        </w:tc>
      </w:tr>
      <w:tr w:rsidR="004A79F5" w:rsidRPr="004A79F5" w14:paraId="5AEB526F" w14:textId="77777777" w:rsidTr="006E0577">
        <w:trPr>
          <w:trHeight w:val="397"/>
        </w:trPr>
        <w:tc>
          <w:tcPr>
            <w:tcW w:w="936" w:type="dxa"/>
            <w:vAlign w:val="center"/>
          </w:tcPr>
          <w:p w14:paraId="43FE889B"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nil"/>
              <w:bottom w:val="single" w:sz="4" w:space="0" w:color="auto"/>
              <w:right w:val="nil"/>
            </w:tcBorders>
            <w:vAlign w:val="center"/>
          </w:tcPr>
          <w:p w14:paraId="16CB6BE4"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Revision of Textile Labelling Regulation</w:t>
            </w:r>
          </w:p>
        </w:tc>
        <w:tc>
          <w:tcPr>
            <w:tcW w:w="1843" w:type="dxa"/>
            <w:vAlign w:val="center"/>
          </w:tcPr>
          <w:p w14:paraId="14F6CB8B"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Q2 2026</w:t>
            </w:r>
          </w:p>
        </w:tc>
      </w:tr>
      <w:tr w:rsidR="004A79F5" w:rsidRPr="004A79F5" w14:paraId="2DB82671" w14:textId="77777777" w:rsidTr="006E0577">
        <w:trPr>
          <w:trHeight w:val="397"/>
        </w:trPr>
        <w:tc>
          <w:tcPr>
            <w:tcW w:w="936" w:type="dxa"/>
            <w:vAlign w:val="center"/>
          </w:tcPr>
          <w:p w14:paraId="10C65C58"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24D164A7" w14:textId="71CA8D8E" w:rsidR="00A27D25" w:rsidRPr="0065549F" w:rsidRDefault="00A27D25" w:rsidP="00A27D25">
            <w:pPr>
              <w:suppressAutoHyphens w:val="0"/>
              <w:rPr>
                <w:rFonts w:ascii="Times New Roman" w:hAnsi="Times New Roman" w:cs="Times New Roman"/>
                <w:noProof/>
                <w:sz w:val="20"/>
                <w:szCs w:val="20"/>
                <w:lang w:val="en-IE"/>
              </w:rPr>
            </w:pPr>
            <w:bookmarkStart w:id="169" w:name="RANGE!C23"/>
            <w:r w:rsidRPr="0065549F">
              <w:rPr>
                <w:rFonts w:ascii="Times New Roman" w:hAnsi="Times New Roman" w:cs="Times New Roman"/>
                <w:noProof/>
                <w:sz w:val="20"/>
                <w:szCs w:val="20"/>
              </w:rPr>
              <w:t>Circular Economy Act</w:t>
            </w:r>
            <w:bookmarkEnd w:id="169"/>
          </w:p>
        </w:tc>
        <w:tc>
          <w:tcPr>
            <w:tcW w:w="1843" w:type="dxa"/>
            <w:vAlign w:val="center"/>
          </w:tcPr>
          <w:p w14:paraId="100F157D"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Q3 2026</w:t>
            </w:r>
          </w:p>
        </w:tc>
      </w:tr>
      <w:tr w:rsidR="004A79F5" w:rsidRPr="004A79F5" w14:paraId="02FAD618" w14:textId="77777777" w:rsidTr="006E0577">
        <w:trPr>
          <w:trHeight w:val="397"/>
        </w:trPr>
        <w:tc>
          <w:tcPr>
            <w:tcW w:w="936" w:type="dxa"/>
            <w:tcBorders>
              <w:right w:val="single" w:sz="4" w:space="0" w:color="auto"/>
            </w:tcBorders>
            <w:vAlign w:val="center"/>
          </w:tcPr>
          <w:p w14:paraId="0CA78237"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113B1E32"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European Product Act</w:t>
            </w:r>
          </w:p>
        </w:tc>
        <w:tc>
          <w:tcPr>
            <w:tcW w:w="1843" w:type="dxa"/>
            <w:tcBorders>
              <w:top w:val="single" w:sz="4" w:space="0" w:color="auto"/>
              <w:bottom w:val="single" w:sz="4" w:space="0" w:color="auto"/>
              <w:right w:val="single" w:sz="4" w:space="0" w:color="auto"/>
            </w:tcBorders>
            <w:vAlign w:val="center"/>
          </w:tcPr>
          <w:p w14:paraId="24023012"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Q3 2026</w:t>
            </w:r>
          </w:p>
        </w:tc>
      </w:tr>
      <w:tr w:rsidR="004A79F5" w:rsidRPr="004A79F5" w14:paraId="27CED380" w14:textId="77777777" w:rsidTr="006E0577">
        <w:trPr>
          <w:trHeight w:val="397"/>
        </w:trPr>
        <w:tc>
          <w:tcPr>
            <w:tcW w:w="936" w:type="dxa"/>
            <w:vAlign w:val="center"/>
          </w:tcPr>
          <w:p w14:paraId="6BF408FE"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0C09F3E9"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Facilitate provision of pan-EU services by providers authorised or certified in one MS on basis of EU law</w:t>
            </w:r>
          </w:p>
        </w:tc>
        <w:tc>
          <w:tcPr>
            <w:tcW w:w="1843" w:type="dxa"/>
            <w:tcBorders>
              <w:top w:val="single" w:sz="4" w:space="0" w:color="auto"/>
            </w:tcBorders>
            <w:vAlign w:val="center"/>
          </w:tcPr>
          <w:p w14:paraId="74DEF0F5" w14:textId="77777777" w:rsidR="00A27D25" w:rsidRPr="0065549F" w:rsidRDefault="00A27D25" w:rsidP="00A27D25">
            <w:pPr>
              <w:suppressAutoHyphens w:val="0"/>
              <w:jc w:val="center"/>
              <w:rPr>
                <w:rFonts w:ascii="Times New Roman" w:hAnsi="Times New Roman" w:cs="Times New Roman"/>
                <w:noProof/>
                <w:sz w:val="20"/>
                <w:szCs w:val="20"/>
              </w:rPr>
            </w:pPr>
            <w:r w:rsidRPr="0065549F">
              <w:rPr>
                <w:rFonts w:ascii="Times New Roman" w:hAnsi="Times New Roman" w:cs="Times New Roman"/>
                <w:noProof/>
                <w:sz w:val="20"/>
                <w:szCs w:val="20"/>
              </w:rPr>
              <w:t>Q4 2026</w:t>
            </w:r>
          </w:p>
        </w:tc>
      </w:tr>
      <w:tr w:rsidR="004A79F5" w:rsidRPr="004A79F5" w14:paraId="092821ED" w14:textId="77777777" w:rsidTr="006E0577">
        <w:trPr>
          <w:trHeight w:val="397"/>
        </w:trPr>
        <w:tc>
          <w:tcPr>
            <w:tcW w:w="936" w:type="dxa"/>
            <w:vAlign w:val="center"/>
          </w:tcPr>
          <w:p w14:paraId="4494AFF0"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172E6D3F"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Legal guidance and recommendations to MS to provide clarity on the right to provide services cross-border on a temporary basis</w:t>
            </w:r>
          </w:p>
        </w:tc>
        <w:tc>
          <w:tcPr>
            <w:tcW w:w="1843" w:type="dxa"/>
            <w:vAlign w:val="center"/>
          </w:tcPr>
          <w:p w14:paraId="6B21C24E"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Q4 2026</w:t>
            </w:r>
          </w:p>
        </w:tc>
      </w:tr>
      <w:tr w:rsidR="004A79F5" w:rsidRPr="004A79F5" w14:paraId="4F3BCFED" w14:textId="77777777" w:rsidTr="006E0577">
        <w:trPr>
          <w:trHeight w:val="397"/>
        </w:trPr>
        <w:tc>
          <w:tcPr>
            <w:tcW w:w="936" w:type="dxa"/>
            <w:vAlign w:val="center"/>
          </w:tcPr>
          <w:p w14:paraId="63AA30AD"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131A43CD"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Support of co-legislators to conclude negotiations on the revision of Regulations (EC) Nos 883/2004 and 987/2009 on social security coordination</w:t>
            </w:r>
          </w:p>
        </w:tc>
        <w:tc>
          <w:tcPr>
            <w:tcW w:w="1843" w:type="dxa"/>
            <w:vAlign w:val="center"/>
          </w:tcPr>
          <w:p w14:paraId="71A7D8F9"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Ongoing</w:t>
            </w:r>
          </w:p>
        </w:tc>
      </w:tr>
      <w:tr w:rsidR="004A79F5" w:rsidRPr="004A79F5" w14:paraId="2270BA8A" w14:textId="77777777" w:rsidTr="006E0577">
        <w:trPr>
          <w:trHeight w:val="397"/>
        </w:trPr>
        <w:tc>
          <w:tcPr>
            <w:tcW w:w="936" w:type="dxa"/>
            <w:vAlign w:val="center"/>
          </w:tcPr>
          <w:p w14:paraId="44A4A086"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7AAEFDF5"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Support of co-legislators to conclude negotiations on the proposal for a public interface for the declaration of posting of workers</w:t>
            </w:r>
          </w:p>
        </w:tc>
        <w:tc>
          <w:tcPr>
            <w:tcW w:w="1843" w:type="dxa"/>
            <w:vAlign w:val="center"/>
          </w:tcPr>
          <w:p w14:paraId="26519292" w14:textId="16FFAF4D"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Ongoing</w:t>
            </w:r>
          </w:p>
        </w:tc>
      </w:tr>
      <w:tr w:rsidR="004A79F5" w:rsidRPr="004A79F5" w14:paraId="2F87789E" w14:textId="77777777" w:rsidTr="006E0577">
        <w:trPr>
          <w:trHeight w:val="397"/>
        </w:trPr>
        <w:tc>
          <w:tcPr>
            <w:tcW w:w="936" w:type="dxa"/>
            <w:vAlign w:val="center"/>
          </w:tcPr>
          <w:p w14:paraId="59B10F41"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78A3299F" w14:textId="4FA289B6" w:rsidR="00A27D25" w:rsidRPr="0065549F" w:rsidRDefault="00A27D25" w:rsidP="00A27D25">
            <w:pPr>
              <w:suppressAutoHyphens w:val="0"/>
              <w:rPr>
                <w:rFonts w:ascii="Times New Roman" w:hAnsi="Times New Roman" w:cs="Times New Roman"/>
                <w:noProof/>
                <w:sz w:val="20"/>
                <w:szCs w:val="20"/>
                <w:lang w:val="en-IE"/>
              </w:rPr>
            </w:pPr>
            <w:bookmarkStart w:id="170" w:name="RANGE!C31"/>
            <w:r w:rsidRPr="0065549F">
              <w:rPr>
                <w:rFonts w:ascii="Times New Roman" w:hAnsi="Times New Roman" w:cs="Times New Roman"/>
                <w:noProof/>
                <w:sz w:val="20"/>
                <w:szCs w:val="20"/>
              </w:rPr>
              <w:t>Fair Labour Mobility Package</w:t>
            </w:r>
            <w:bookmarkEnd w:id="170"/>
          </w:p>
        </w:tc>
        <w:tc>
          <w:tcPr>
            <w:tcW w:w="1843" w:type="dxa"/>
            <w:vAlign w:val="center"/>
          </w:tcPr>
          <w:p w14:paraId="2680A004"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Q3 2026</w:t>
            </w:r>
          </w:p>
        </w:tc>
      </w:tr>
      <w:tr w:rsidR="004A79F5" w:rsidRPr="004A79F5" w14:paraId="597E1C6F" w14:textId="77777777" w:rsidTr="006E0577">
        <w:trPr>
          <w:trHeight w:val="397"/>
        </w:trPr>
        <w:tc>
          <w:tcPr>
            <w:tcW w:w="936" w:type="dxa"/>
            <w:vAlign w:val="center"/>
          </w:tcPr>
          <w:p w14:paraId="7B2B23F4" w14:textId="77777777" w:rsidR="00A27D25" w:rsidRPr="0065549F" w:rsidRDefault="00A27D25" w:rsidP="00A27D25">
            <w:pPr>
              <w:suppressAutoHyphens w:val="0"/>
              <w:jc w:val="center"/>
              <w:rPr>
                <w:rFonts w:ascii="Times New Roman" w:hAnsi="Times New Roman" w:cs="Times New Roman"/>
                <w:b/>
                <w:bCs/>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410F50AF"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Tools to act against unjustified Territorial Supply Constraints</w:t>
            </w:r>
          </w:p>
        </w:tc>
        <w:tc>
          <w:tcPr>
            <w:tcW w:w="1843" w:type="dxa"/>
            <w:vAlign w:val="center"/>
          </w:tcPr>
          <w:p w14:paraId="03972BF6"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Q4 2026</w:t>
            </w:r>
          </w:p>
        </w:tc>
      </w:tr>
      <w:tr w:rsidR="004A79F5" w:rsidRPr="004A79F5" w14:paraId="67DF6178" w14:textId="77777777" w:rsidTr="006E0577">
        <w:trPr>
          <w:trHeight w:val="397"/>
        </w:trPr>
        <w:tc>
          <w:tcPr>
            <w:tcW w:w="936" w:type="dxa"/>
            <w:shd w:val="clear" w:color="auto" w:fill="95B3D7"/>
            <w:vAlign w:val="center"/>
          </w:tcPr>
          <w:p w14:paraId="5615C4A3" w14:textId="68882607" w:rsidR="00A27D25" w:rsidRPr="00323814" w:rsidRDefault="009854DA" w:rsidP="00A27D25">
            <w:pPr>
              <w:suppressAutoHyphens w:val="0"/>
              <w:jc w:val="center"/>
              <w:rPr>
                <w:rFonts w:ascii="Times New Roman" w:hAnsi="Times New Roman" w:cs="Times New Roman"/>
                <w:noProof/>
                <w:lang w:val="en-IE"/>
              </w:rPr>
            </w:pPr>
            <w:r w:rsidRPr="00323814">
              <w:rPr>
                <w:rFonts w:ascii="Times New Roman" w:hAnsi="Times New Roman" w:cs="Times New Roman"/>
                <w:b/>
                <w:bCs/>
                <w:noProof/>
                <w:lang w:val="en-IE"/>
              </w:rPr>
              <w:t>Status</w:t>
            </w:r>
          </w:p>
        </w:tc>
        <w:tc>
          <w:tcPr>
            <w:tcW w:w="6577" w:type="dxa"/>
            <w:tcBorders>
              <w:top w:val="nil"/>
              <w:left w:val="single" w:sz="4" w:space="0" w:color="auto"/>
              <w:bottom w:val="single" w:sz="4" w:space="0" w:color="auto"/>
              <w:right w:val="single" w:sz="4" w:space="0" w:color="auto"/>
            </w:tcBorders>
            <w:shd w:val="clear" w:color="auto" w:fill="95B3D7"/>
            <w:vAlign w:val="center"/>
          </w:tcPr>
          <w:p w14:paraId="1C2573CA" w14:textId="77777777" w:rsidR="00A27D25" w:rsidRPr="00323814" w:rsidRDefault="00A27D25" w:rsidP="00A27D25">
            <w:pPr>
              <w:suppressAutoHyphens w:val="0"/>
              <w:rPr>
                <w:rFonts w:ascii="Times New Roman" w:hAnsi="Times New Roman" w:cs="Times New Roman"/>
                <w:b/>
                <w:bCs/>
                <w:noProof/>
              </w:rPr>
            </w:pPr>
            <w:r w:rsidRPr="00323814">
              <w:rPr>
                <w:rFonts w:ascii="Times New Roman" w:hAnsi="Times New Roman" w:cs="Times New Roman"/>
                <w:b/>
                <w:bCs/>
                <w:noProof/>
              </w:rPr>
              <w:t>Chapter 2. Boosting European Services Markets</w:t>
            </w:r>
          </w:p>
        </w:tc>
        <w:tc>
          <w:tcPr>
            <w:tcW w:w="1843" w:type="dxa"/>
            <w:shd w:val="clear" w:color="auto" w:fill="95B3D7"/>
            <w:vAlign w:val="center"/>
          </w:tcPr>
          <w:p w14:paraId="63D7C64D" w14:textId="0404B45F" w:rsidR="00A27D25" w:rsidRPr="00323814" w:rsidRDefault="009854DA" w:rsidP="00A27D25">
            <w:pPr>
              <w:suppressAutoHyphens w:val="0"/>
              <w:jc w:val="center"/>
              <w:rPr>
                <w:rFonts w:ascii="Times New Roman" w:hAnsi="Times New Roman" w:cs="Times New Roman"/>
                <w:noProof/>
              </w:rPr>
            </w:pPr>
            <w:r w:rsidRPr="00323814">
              <w:rPr>
                <w:rFonts w:ascii="Times New Roman" w:hAnsi="Times New Roman" w:cs="Times New Roman"/>
                <w:b/>
                <w:bCs/>
                <w:noProof/>
                <w:lang w:val="en-IE"/>
              </w:rPr>
              <w:t>Timeline</w:t>
            </w:r>
          </w:p>
        </w:tc>
      </w:tr>
      <w:tr w:rsidR="004A79F5" w:rsidRPr="004A79F5" w14:paraId="52E65D5F" w14:textId="77777777" w:rsidTr="006E0577">
        <w:trPr>
          <w:trHeight w:val="397"/>
        </w:trPr>
        <w:tc>
          <w:tcPr>
            <w:tcW w:w="936" w:type="dxa"/>
            <w:tcBorders>
              <w:right w:val="single" w:sz="4" w:space="0" w:color="auto"/>
            </w:tcBorders>
            <w:vAlign w:val="center"/>
          </w:tcPr>
          <w:p w14:paraId="7FAB2F34"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653ECC55"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Construction Services Act</w:t>
            </w:r>
          </w:p>
        </w:tc>
        <w:tc>
          <w:tcPr>
            <w:tcW w:w="1843" w:type="dxa"/>
            <w:tcBorders>
              <w:left w:val="single" w:sz="4" w:space="0" w:color="auto"/>
            </w:tcBorders>
            <w:vAlign w:val="center"/>
          </w:tcPr>
          <w:p w14:paraId="3531CF31"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Q4 2026</w:t>
            </w:r>
          </w:p>
        </w:tc>
      </w:tr>
      <w:tr w:rsidR="004A79F5" w:rsidRPr="004A79F5" w14:paraId="4478D9CC" w14:textId="77777777" w:rsidTr="006E0577">
        <w:trPr>
          <w:trHeight w:val="397"/>
        </w:trPr>
        <w:tc>
          <w:tcPr>
            <w:tcW w:w="936" w:type="dxa"/>
            <w:tcBorders>
              <w:right w:val="single" w:sz="4" w:space="0" w:color="auto"/>
            </w:tcBorders>
            <w:shd w:val="clear" w:color="auto" w:fill="C2D69B"/>
            <w:vAlign w:val="center"/>
          </w:tcPr>
          <w:p w14:paraId="6A98E5CB" w14:textId="3A6222FB" w:rsidR="00A27D25" w:rsidRPr="0065549F" w:rsidRDefault="00236616"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0379C968" wp14:editId="72304975">
                  <wp:extent cx="164465" cy="146050"/>
                  <wp:effectExtent l="0" t="0" r="6985" b="6350"/>
                  <wp:docPr id="15078009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inline>
              </w:drawing>
            </w:r>
          </w:p>
        </w:tc>
        <w:tc>
          <w:tcPr>
            <w:tcW w:w="6577" w:type="dxa"/>
            <w:tcBorders>
              <w:top w:val="single" w:sz="4" w:space="0" w:color="auto"/>
              <w:left w:val="single" w:sz="4" w:space="0" w:color="auto"/>
              <w:bottom w:val="single" w:sz="4" w:space="0" w:color="auto"/>
              <w:right w:val="single" w:sz="4" w:space="0" w:color="auto"/>
            </w:tcBorders>
            <w:shd w:val="clear" w:color="auto" w:fill="C2D69B"/>
            <w:vAlign w:val="center"/>
          </w:tcPr>
          <w:p w14:paraId="06B48640" w14:textId="3B770439"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European Strategy for Housing Construction</w:t>
            </w:r>
            <w:r w:rsidR="009B64D0">
              <w:rPr>
                <w:rStyle w:val="EndnoteReference"/>
                <w:rFonts w:ascii="Times New Roman" w:hAnsi="Times New Roman" w:cs="Times New Roman"/>
                <w:noProof/>
                <w:sz w:val="20"/>
                <w:szCs w:val="20"/>
              </w:rPr>
              <w:endnoteReference w:id="75"/>
            </w:r>
          </w:p>
        </w:tc>
        <w:tc>
          <w:tcPr>
            <w:tcW w:w="1843" w:type="dxa"/>
            <w:tcBorders>
              <w:left w:val="single" w:sz="4" w:space="0" w:color="auto"/>
            </w:tcBorders>
            <w:shd w:val="clear" w:color="auto" w:fill="C2D69B"/>
            <w:vAlign w:val="center"/>
          </w:tcPr>
          <w:p w14:paraId="568EEF22" w14:textId="35769845" w:rsidR="00A27D25" w:rsidRPr="0065549F" w:rsidRDefault="00236616" w:rsidP="00A27D25">
            <w:pPr>
              <w:suppressAutoHyphens w:val="0"/>
              <w:jc w:val="center"/>
              <w:rPr>
                <w:rFonts w:ascii="Times New Roman" w:hAnsi="Times New Roman" w:cs="Times New Roman"/>
                <w:noProof/>
                <w:sz w:val="20"/>
                <w:szCs w:val="20"/>
                <w:lang w:val="en-IE"/>
              </w:rPr>
            </w:pPr>
            <w:r>
              <w:rPr>
                <w:rFonts w:ascii="Times New Roman" w:hAnsi="Times New Roman" w:cs="Times New Roman"/>
                <w:noProof/>
                <w:sz w:val="20"/>
                <w:szCs w:val="20"/>
              </w:rPr>
              <w:t>16 December 2025</w:t>
            </w:r>
          </w:p>
        </w:tc>
      </w:tr>
      <w:tr w:rsidR="004A79F5" w:rsidRPr="004A79F5" w14:paraId="13AB5D2E" w14:textId="77777777" w:rsidTr="006E0577">
        <w:trPr>
          <w:trHeight w:val="397"/>
        </w:trPr>
        <w:tc>
          <w:tcPr>
            <w:tcW w:w="936" w:type="dxa"/>
            <w:tcBorders>
              <w:right w:val="single" w:sz="4" w:space="0" w:color="auto"/>
            </w:tcBorders>
            <w:vAlign w:val="center"/>
          </w:tcPr>
          <w:p w14:paraId="6B4836E8"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4C6F4D47"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Initiative to facilitate the cross-border provision of industry-related services such as installation, maintenance, repair</w:t>
            </w:r>
          </w:p>
        </w:tc>
        <w:tc>
          <w:tcPr>
            <w:tcW w:w="1843" w:type="dxa"/>
            <w:tcBorders>
              <w:left w:val="single" w:sz="4" w:space="0" w:color="auto"/>
            </w:tcBorders>
            <w:vAlign w:val="center"/>
          </w:tcPr>
          <w:p w14:paraId="64F48551" w14:textId="545EFB1F"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Q4 202</w:t>
            </w:r>
            <w:r w:rsidR="17F42EF1" w:rsidRPr="0065549F">
              <w:rPr>
                <w:rFonts w:ascii="Times New Roman" w:hAnsi="Times New Roman" w:cs="Times New Roman"/>
                <w:noProof/>
                <w:sz w:val="20"/>
                <w:szCs w:val="20"/>
              </w:rPr>
              <w:t>6</w:t>
            </w:r>
          </w:p>
        </w:tc>
      </w:tr>
      <w:tr w:rsidR="004A79F5" w:rsidRPr="004A79F5" w14:paraId="0D33FAA6" w14:textId="77777777" w:rsidTr="006E0577">
        <w:trPr>
          <w:trHeight w:val="397"/>
        </w:trPr>
        <w:tc>
          <w:tcPr>
            <w:tcW w:w="936" w:type="dxa"/>
            <w:tcBorders>
              <w:right w:val="single" w:sz="4" w:space="0" w:color="auto"/>
            </w:tcBorders>
            <w:vAlign w:val="center"/>
          </w:tcPr>
          <w:p w14:paraId="30225EA4"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31958482" w14:textId="2BD0468C"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Guidance and recommendations to M</w:t>
            </w:r>
            <w:r w:rsidR="003951D4">
              <w:rPr>
                <w:rFonts w:ascii="Times New Roman" w:hAnsi="Times New Roman" w:cs="Times New Roman"/>
                <w:noProof/>
                <w:sz w:val="20"/>
                <w:szCs w:val="20"/>
              </w:rPr>
              <w:t xml:space="preserve">ember </w:t>
            </w:r>
            <w:r w:rsidRPr="0065549F">
              <w:rPr>
                <w:rFonts w:ascii="Times New Roman" w:hAnsi="Times New Roman" w:cs="Times New Roman"/>
                <w:noProof/>
                <w:sz w:val="20"/>
                <w:szCs w:val="20"/>
              </w:rPr>
              <w:t>S</w:t>
            </w:r>
            <w:r w:rsidR="003951D4">
              <w:rPr>
                <w:rFonts w:ascii="Times New Roman" w:hAnsi="Times New Roman" w:cs="Times New Roman"/>
                <w:noProof/>
                <w:sz w:val="20"/>
                <w:szCs w:val="20"/>
              </w:rPr>
              <w:t>tates</w:t>
            </w:r>
            <w:r w:rsidRPr="0065549F">
              <w:rPr>
                <w:rFonts w:ascii="Times New Roman" w:hAnsi="Times New Roman" w:cs="Times New Roman"/>
                <w:noProof/>
                <w:sz w:val="20"/>
                <w:szCs w:val="20"/>
              </w:rPr>
              <w:t xml:space="preserve"> to free regulated business services from unnecessary regulation</w:t>
            </w:r>
          </w:p>
        </w:tc>
        <w:tc>
          <w:tcPr>
            <w:tcW w:w="1843" w:type="dxa"/>
            <w:tcBorders>
              <w:left w:val="single" w:sz="4" w:space="0" w:color="auto"/>
            </w:tcBorders>
            <w:vAlign w:val="center"/>
          </w:tcPr>
          <w:p w14:paraId="50093B47"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Q4 2026</w:t>
            </w:r>
          </w:p>
        </w:tc>
      </w:tr>
      <w:tr w:rsidR="004A79F5" w:rsidRPr="004A79F5" w14:paraId="38AAFEF5" w14:textId="77777777" w:rsidTr="006E0577">
        <w:trPr>
          <w:trHeight w:val="397"/>
        </w:trPr>
        <w:tc>
          <w:tcPr>
            <w:tcW w:w="936" w:type="dxa"/>
            <w:tcBorders>
              <w:right w:val="single" w:sz="4" w:space="0" w:color="auto"/>
            </w:tcBorders>
            <w:vAlign w:val="center"/>
          </w:tcPr>
          <w:p w14:paraId="1E235C58"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4D9A4B9F"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Guidance to MS on the proportionality of their retail regulation</w:t>
            </w:r>
          </w:p>
        </w:tc>
        <w:tc>
          <w:tcPr>
            <w:tcW w:w="1843" w:type="dxa"/>
            <w:tcBorders>
              <w:left w:val="single" w:sz="4" w:space="0" w:color="auto"/>
            </w:tcBorders>
            <w:vAlign w:val="center"/>
          </w:tcPr>
          <w:p w14:paraId="335400AF"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Q4 2026</w:t>
            </w:r>
          </w:p>
        </w:tc>
      </w:tr>
      <w:tr w:rsidR="004A79F5" w:rsidRPr="004A79F5" w14:paraId="39892280" w14:textId="77777777" w:rsidTr="006E0577">
        <w:trPr>
          <w:trHeight w:val="397"/>
        </w:trPr>
        <w:tc>
          <w:tcPr>
            <w:tcW w:w="936" w:type="dxa"/>
            <w:tcBorders>
              <w:right w:val="single" w:sz="4" w:space="0" w:color="auto"/>
            </w:tcBorders>
            <w:vAlign w:val="center"/>
          </w:tcPr>
          <w:p w14:paraId="1303DE7D"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167B20F4"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EU Delivery Act</w:t>
            </w:r>
          </w:p>
        </w:tc>
        <w:tc>
          <w:tcPr>
            <w:tcW w:w="1843" w:type="dxa"/>
            <w:tcBorders>
              <w:left w:val="single" w:sz="4" w:space="0" w:color="auto"/>
            </w:tcBorders>
            <w:vAlign w:val="center"/>
          </w:tcPr>
          <w:p w14:paraId="0CABE552"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Q3 2026</w:t>
            </w:r>
          </w:p>
        </w:tc>
      </w:tr>
      <w:tr w:rsidR="00993E87" w:rsidRPr="004A79F5" w14:paraId="04CC5B49" w14:textId="77777777" w:rsidTr="00FA7DC4">
        <w:trPr>
          <w:trHeight w:val="397"/>
        </w:trPr>
        <w:tc>
          <w:tcPr>
            <w:tcW w:w="936" w:type="dxa"/>
            <w:tcBorders>
              <w:right w:val="single" w:sz="4" w:space="0" w:color="auto"/>
            </w:tcBorders>
            <w:shd w:val="clear" w:color="auto" w:fill="F9F9CF"/>
            <w:vAlign w:val="center"/>
          </w:tcPr>
          <w:p w14:paraId="5CFD6CAD" w14:textId="66FC9D4C" w:rsidR="00A27D25" w:rsidRPr="0065549F" w:rsidRDefault="00D42BE9"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042B48DA" wp14:editId="0B967750">
                  <wp:extent cx="209550" cy="209550"/>
                  <wp:effectExtent l="0" t="0" r="0" b="0"/>
                  <wp:docPr id="9736575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r:link="rId112"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6577" w:type="dxa"/>
            <w:tcBorders>
              <w:top w:val="single" w:sz="4" w:space="0" w:color="auto"/>
              <w:left w:val="single" w:sz="4" w:space="0" w:color="auto"/>
              <w:bottom w:val="single" w:sz="4" w:space="0" w:color="auto"/>
              <w:right w:val="single" w:sz="4" w:space="0" w:color="auto"/>
            </w:tcBorders>
            <w:shd w:val="clear" w:color="auto" w:fill="F9F9CF"/>
            <w:vAlign w:val="center"/>
          </w:tcPr>
          <w:p w14:paraId="013F236F" w14:textId="5B4C26C0" w:rsidR="00A27D25" w:rsidRPr="006E0577" w:rsidRDefault="00A27D25" w:rsidP="00A27D25">
            <w:pPr>
              <w:suppressAutoHyphens w:val="0"/>
              <w:rPr>
                <w:rFonts w:ascii="Times New Roman" w:hAnsi="Times New Roman" w:cs="Times New Roman"/>
                <w:noProof/>
                <w:sz w:val="20"/>
                <w:szCs w:val="20"/>
                <w:lang w:val="en-IE"/>
              </w:rPr>
            </w:pPr>
            <w:r w:rsidRPr="006E0577">
              <w:rPr>
                <w:rFonts w:ascii="Times New Roman" w:hAnsi="Times New Roman" w:cs="Times New Roman"/>
                <w:noProof/>
                <w:sz w:val="20"/>
                <w:szCs w:val="20"/>
              </w:rPr>
              <w:t>Digital Networks Act</w:t>
            </w:r>
            <w:r w:rsidR="00006E6E">
              <w:rPr>
                <w:rStyle w:val="EndnoteReference"/>
                <w:rFonts w:ascii="Times New Roman" w:hAnsi="Times New Roman" w:cs="Times New Roman"/>
                <w:noProof/>
                <w:sz w:val="20"/>
                <w:szCs w:val="20"/>
              </w:rPr>
              <w:endnoteReference w:id="76"/>
            </w:r>
          </w:p>
        </w:tc>
        <w:tc>
          <w:tcPr>
            <w:tcW w:w="1843" w:type="dxa"/>
            <w:tcBorders>
              <w:left w:val="single" w:sz="4" w:space="0" w:color="auto"/>
            </w:tcBorders>
            <w:shd w:val="clear" w:color="auto" w:fill="F9F9CF"/>
            <w:vAlign w:val="center"/>
          </w:tcPr>
          <w:p w14:paraId="6E3F1317" w14:textId="665EC102" w:rsidR="00A27D25" w:rsidRPr="0065549F" w:rsidRDefault="00705843" w:rsidP="00A27D25">
            <w:pPr>
              <w:suppressAutoHyphens w:val="0"/>
              <w:jc w:val="center"/>
              <w:rPr>
                <w:rFonts w:ascii="Times New Roman" w:hAnsi="Times New Roman" w:cs="Times New Roman"/>
                <w:noProof/>
                <w:sz w:val="20"/>
                <w:szCs w:val="20"/>
                <w:lang w:val="en-IE"/>
              </w:rPr>
            </w:pPr>
            <w:r w:rsidRPr="006E0577">
              <w:rPr>
                <w:rFonts w:ascii="Times New Roman" w:hAnsi="Times New Roman" w:cs="Times New Roman"/>
                <w:noProof/>
                <w:sz w:val="20"/>
                <w:szCs w:val="20"/>
              </w:rPr>
              <w:t>2</w:t>
            </w:r>
            <w:r w:rsidR="00D42BE9" w:rsidRPr="006E0577">
              <w:rPr>
                <w:rFonts w:ascii="Times New Roman" w:hAnsi="Times New Roman" w:cs="Times New Roman"/>
                <w:noProof/>
                <w:sz w:val="20"/>
                <w:szCs w:val="20"/>
              </w:rPr>
              <w:t>1</w:t>
            </w:r>
            <w:r w:rsidR="0055446B" w:rsidRPr="006E0577">
              <w:rPr>
                <w:rFonts w:ascii="Times New Roman" w:hAnsi="Times New Roman" w:cs="Times New Roman"/>
                <w:noProof/>
                <w:sz w:val="20"/>
                <w:szCs w:val="20"/>
              </w:rPr>
              <w:t xml:space="preserve"> </w:t>
            </w:r>
            <w:r w:rsidRPr="006E0577">
              <w:rPr>
                <w:rFonts w:ascii="Times New Roman" w:hAnsi="Times New Roman" w:cs="Times New Roman"/>
                <w:noProof/>
                <w:sz w:val="20"/>
                <w:szCs w:val="20"/>
              </w:rPr>
              <w:t xml:space="preserve">January </w:t>
            </w:r>
            <w:r w:rsidR="00A27D25" w:rsidRPr="006E0577">
              <w:rPr>
                <w:rFonts w:ascii="Times New Roman" w:hAnsi="Times New Roman" w:cs="Times New Roman"/>
                <w:noProof/>
                <w:sz w:val="20"/>
                <w:szCs w:val="20"/>
              </w:rPr>
              <w:t>202</w:t>
            </w:r>
            <w:r w:rsidR="00D42BE9" w:rsidRPr="006E0577">
              <w:rPr>
                <w:rFonts w:ascii="Times New Roman" w:hAnsi="Times New Roman" w:cs="Times New Roman"/>
                <w:noProof/>
                <w:sz w:val="20"/>
                <w:szCs w:val="20"/>
              </w:rPr>
              <w:t>6</w:t>
            </w:r>
            <w:r w:rsidR="00A27D25" w:rsidRPr="006E0577">
              <w:rPr>
                <w:rFonts w:ascii="Times New Roman" w:hAnsi="Times New Roman" w:cs="Times New Roman"/>
                <w:noProof/>
                <w:sz w:val="20"/>
                <w:szCs w:val="20"/>
              </w:rPr>
              <w:t xml:space="preserve"> </w:t>
            </w:r>
          </w:p>
        </w:tc>
      </w:tr>
      <w:tr w:rsidR="004A79F5" w:rsidRPr="004A79F5" w14:paraId="38ED8E3C" w14:textId="77777777" w:rsidTr="006E0577">
        <w:trPr>
          <w:trHeight w:val="397"/>
        </w:trPr>
        <w:tc>
          <w:tcPr>
            <w:tcW w:w="936" w:type="dxa"/>
            <w:tcBorders>
              <w:right w:val="single" w:sz="4" w:space="0" w:color="auto"/>
            </w:tcBorders>
            <w:vAlign w:val="center"/>
          </w:tcPr>
          <w:p w14:paraId="2ED6BD30"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7F24A0B7"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Initiative for single digital booking and ticketing for rail</w:t>
            </w:r>
          </w:p>
        </w:tc>
        <w:tc>
          <w:tcPr>
            <w:tcW w:w="1843" w:type="dxa"/>
            <w:tcBorders>
              <w:left w:val="single" w:sz="4" w:space="0" w:color="auto"/>
            </w:tcBorders>
            <w:vAlign w:val="center"/>
          </w:tcPr>
          <w:p w14:paraId="3B369B38" w14:textId="21BC53ED"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w:t>
            </w:r>
            <w:r w:rsidR="00FF59C8">
              <w:rPr>
                <w:rFonts w:ascii="Times New Roman" w:hAnsi="Times New Roman" w:cs="Times New Roman"/>
                <w:noProof/>
                <w:sz w:val="20"/>
                <w:szCs w:val="20"/>
              </w:rPr>
              <w:t>2</w:t>
            </w:r>
            <w:r w:rsidRPr="0065549F">
              <w:rPr>
                <w:rFonts w:ascii="Times New Roman" w:hAnsi="Times New Roman" w:cs="Times New Roman"/>
                <w:noProof/>
                <w:sz w:val="20"/>
                <w:szCs w:val="20"/>
              </w:rPr>
              <w:t xml:space="preserve"> 2026 </w:t>
            </w:r>
          </w:p>
        </w:tc>
      </w:tr>
      <w:tr w:rsidR="004A79F5" w:rsidRPr="004A79F5" w14:paraId="303E423C" w14:textId="77777777" w:rsidTr="006E0577">
        <w:trPr>
          <w:trHeight w:val="397"/>
        </w:trPr>
        <w:tc>
          <w:tcPr>
            <w:tcW w:w="936" w:type="dxa"/>
            <w:tcBorders>
              <w:right w:val="single" w:sz="4" w:space="0" w:color="auto"/>
            </w:tcBorders>
            <w:vAlign w:val="center"/>
          </w:tcPr>
          <w:p w14:paraId="0C7653F0"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327EE43F"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Initiative for paperless mobility for passengers and goods</w:t>
            </w:r>
          </w:p>
        </w:tc>
        <w:tc>
          <w:tcPr>
            <w:tcW w:w="1843" w:type="dxa"/>
            <w:tcBorders>
              <w:left w:val="single" w:sz="4" w:space="0" w:color="auto"/>
            </w:tcBorders>
            <w:vAlign w:val="center"/>
          </w:tcPr>
          <w:p w14:paraId="4907185B"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Q4 2026</w:t>
            </w:r>
          </w:p>
        </w:tc>
      </w:tr>
      <w:tr w:rsidR="004A79F5" w:rsidRPr="004A79F5" w14:paraId="45FBC827" w14:textId="77777777" w:rsidTr="006E0577">
        <w:trPr>
          <w:trHeight w:val="397"/>
        </w:trPr>
        <w:tc>
          <w:tcPr>
            <w:tcW w:w="936" w:type="dxa"/>
            <w:vAlign w:val="center"/>
          </w:tcPr>
          <w:p w14:paraId="5F7FD634"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464983FF"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Initiative on cross-border car rentals</w:t>
            </w:r>
          </w:p>
        </w:tc>
        <w:tc>
          <w:tcPr>
            <w:tcW w:w="1843" w:type="dxa"/>
            <w:vAlign w:val="center"/>
          </w:tcPr>
          <w:p w14:paraId="0D59B830" w14:textId="50EC822A"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w:t>
            </w:r>
            <w:r w:rsidR="00FF59C8">
              <w:rPr>
                <w:rFonts w:ascii="Times New Roman" w:hAnsi="Times New Roman" w:cs="Times New Roman"/>
                <w:noProof/>
                <w:sz w:val="20"/>
                <w:szCs w:val="20"/>
              </w:rPr>
              <w:t>2</w:t>
            </w:r>
            <w:r w:rsidRPr="0065549F">
              <w:rPr>
                <w:rFonts w:ascii="Times New Roman" w:hAnsi="Times New Roman" w:cs="Times New Roman"/>
                <w:noProof/>
                <w:sz w:val="20"/>
                <w:szCs w:val="20"/>
              </w:rPr>
              <w:t xml:space="preserve"> 2026 </w:t>
            </w:r>
          </w:p>
        </w:tc>
      </w:tr>
      <w:tr w:rsidR="004A79F5" w:rsidRPr="004A79F5" w14:paraId="7059E115" w14:textId="77777777" w:rsidTr="006E0577">
        <w:trPr>
          <w:trHeight w:val="397"/>
        </w:trPr>
        <w:tc>
          <w:tcPr>
            <w:tcW w:w="936" w:type="dxa"/>
            <w:vAlign w:val="center"/>
          </w:tcPr>
          <w:p w14:paraId="673A5B47" w14:textId="77777777" w:rsidR="00A27D25" w:rsidRPr="0065549F" w:rsidRDefault="00A27D25" w:rsidP="00A27D25">
            <w:pPr>
              <w:suppressAutoHyphens w:val="0"/>
              <w:jc w:val="center"/>
              <w:rPr>
                <w:rFonts w:ascii="Times New Roman" w:hAnsi="Times New Roman" w:cs="Times New Roman"/>
                <w:b/>
                <w:bCs/>
                <w:noProof/>
                <w:sz w:val="20"/>
                <w:szCs w:val="20"/>
                <w:lang w:val="en-IE"/>
              </w:rPr>
            </w:pPr>
          </w:p>
        </w:tc>
        <w:tc>
          <w:tcPr>
            <w:tcW w:w="6577" w:type="dxa"/>
            <w:tcBorders>
              <w:top w:val="nil"/>
              <w:left w:val="single" w:sz="4" w:space="0" w:color="auto"/>
              <w:bottom w:val="single" w:sz="4" w:space="0" w:color="auto"/>
              <w:right w:val="single" w:sz="4" w:space="0" w:color="auto"/>
            </w:tcBorders>
            <w:vAlign w:val="center"/>
          </w:tcPr>
          <w:p w14:paraId="44CCAE33"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Ensuring harmonised implementation and enforcement of the EU Services Directive</w:t>
            </w:r>
          </w:p>
        </w:tc>
        <w:tc>
          <w:tcPr>
            <w:tcW w:w="1843" w:type="dxa"/>
            <w:vAlign w:val="center"/>
          </w:tcPr>
          <w:p w14:paraId="7B43BA95"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Ongoing</w:t>
            </w:r>
          </w:p>
        </w:tc>
      </w:tr>
      <w:tr w:rsidR="004A79F5" w:rsidRPr="004A79F5" w14:paraId="141D635C" w14:textId="77777777" w:rsidTr="006E0577">
        <w:trPr>
          <w:trHeight w:val="397"/>
        </w:trPr>
        <w:tc>
          <w:tcPr>
            <w:tcW w:w="936" w:type="dxa"/>
            <w:shd w:val="clear" w:color="auto" w:fill="95B3D7"/>
            <w:vAlign w:val="center"/>
          </w:tcPr>
          <w:p w14:paraId="431CE5AE" w14:textId="64003402" w:rsidR="00A27D25" w:rsidRPr="00323814" w:rsidRDefault="009854DA" w:rsidP="00A27D25">
            <w:pPr>
              <w:suppressAutoHyphens w:val="0"/>
              <w:jc w:val="center"/>
              <w:rPr>
                <w:rFonts w:ascii="Times New Roman" w:hAnsi="Times New Roman" w:cs="Times New Roman"/>
                <w:noProof/>
                <w:lang w:val="en-IE"/>
              </w:rPr>
            </w:pPr>
            <w:r w:rsidRPr="00323814">
              <w:rPr>
                <w:rFonts w:ascii="Times New Roman" w:hAnsi="Times New Roman" w:cs="Times New Roman"/>
                <w:b/>
                <w:bCs/>
                <w:noProof/>
                <w:lang w:val="en-IE"/>
              </w:rPr>
              <w:t>Status</w:t>
            </w:r>
          </w:p>
        </w:tc>
        <w:tc>
          <w:tcPr>
            <w:tcW w:w="6577" w:type="dxa"/>
            <w:tcBorders>
              <w:top w:val="nil"/>
              <w:left w:val="single" w:sz="4" w:space="0" w:color="auto"/>
              <w:bottom w:val="single" w:sz="4" w:space="0" w:color="auto"/>
              <w:right w:val="single" w:sz="4" w:space="0" w:color="auto"/>
            </w:tcBorders>
            <w:shd w:val="clear" w:color="auto" w:fill="95B3D7"/>
            <w:vAlign w:val="center"/>
          </w:tcPr>
          <w:p w14:paraId="46A41236" w14:textId="77777777" w:rsidR="00A27D25" w:rsidRPr="00323814" w:rsidRDefault="00A27D25" w:rsidP="00A27D25">
            <w:pPr>
              <w:suppressAutoHyphens w:val="0"/>
              <w:rPr>
                <w:rFonts w:ascii="Times New Roman" w:hAnsi="Times New Roman" w:cs="Times New Roman"/>
                <w:b/>
                <w:bCs/>
                <w:noProof/>
              </w:rPr>
            </w:pPr>
            <w:r w:rsidRPr="00323814">
              <w:rPr>
                <w:rFonts w:ascii="Times New Roman" w:hAnsi="Times New Roman" w:cs="Times New Roman"/>
                <w:b/>
                <w:bCs/>
                <w:noProof/>
              </w:rPr>
              <w:t>Chapter 3. SMEs in the Single Market</w:t>
            </w:r>
          </w:p>
        </w:tc>
        <w:tc>
          <w:tcPr>
            <w:tcW w:w="1843" w:type="dxa"/>
            <w:shd w:val="clear" w:color="auto" w:fill="95B3D7"/>
            <w:vAlign w:val="center"/>
          </w:tcPr>
          <w:p w14:paraId="1F5B7ED5" w14:textId="107F407F" w:rsidR="00A27D25" w:rsidRPr="00323814" w:rsidRDefault="009854DA" w:rsidP="00A27D25">
            <w:pPr>
              <w:suppressAutoHyphens w:val="0"/>
              <w:jc w:val="center"/>
              <w:rPr>
                <w:rFonts w:ascii="Times New Roman" w:hAnsi="Times New Roman" w:cs="Times New Roman"/>
                <w:noProof/>
              </w:rPr>
            </w:pPr>
            <w:r w:rsidRPr="00323814">
              <w:rPr>
                <w:rFonts w:ascii="Times New Roman" w:hAnsi="Times New Roman" w:cs="Times New Roman"/>
                <w:b/>
                <w:bCs/>
                <w:noProof/>
                <w:lang w:val="en-IE"/>
              </w:rPr>
              <w:t>Timeline</w:t>
            </w:r>
          </w:p>
        </w:tc>
      </w:tr>
      <w:tr w:rsidR="004A79F5" w:rsidRPr="004A79F5" w14:paraId="6C36EF1C" w14:textId="77777777" w:rsidTr="006E0577">
        <w:trPr>
          <w:trHeight w:val="397"/>
        </w:trPr>
        <w:tc>
          <w:tcPr>
            <w:tcW w:w="936" w:type="dxa"/>
            <w:tcBorders>
              <w:right w:val="single" w:sz="4" w:space="0" w:color="auto"/>
            </w:tcBorders>
            <w:shd w:val="clear" w:color="auto" w:fill="C2D69B"/>
            <w:vAlign w:val="center"/>
          </w:tcPr>
          <w:p w14:paraId="467979D1" w14:textId="439E1E29"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486F3C51" wp14:editId="6E69D4E0">
                  <wp:extent cx="161925" cy="142875"/>
                  <wp:effectExtent l="0" t="0" r="9525" b="9525"/>
                  <wp:docPr id="15395590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p>
        </w:tc>
        <w:tc>
          <w:tcPr>
            <w:tcW w:w="6577" w:type="dxa"/>
            <w:tcBorders>
              <w:top w:val="single" w:sz="4" w:space="0" w:color="auto"/>
              <w:left w:val="single" w:sz="4" w:space="0" w:color="auto"/>
              <w:bottom w:val="single" w:sz="4" w:space="0" w:color="auto"/>
              <w:right w:val="single" w:sz="4" w:space="0" w:color="auto"/>
            </w:tcBorders>
            <w:shd w:val="clear" w:color="auto" w:fill="C2D69B"/>
            <w:vAlign w:val="center"/>
          </w:tcPr>
          <w:p w14:paraId="3D432603" w14:textId="1BFC9423"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SME ID tool based on self-declaration available in all EU languages</w:t>
            </w:r>
            <w:r w:rsidR="009B64D0">
              <w:rPr>
                <w:rStyle w:val="EndnoteReference"/>
                <w:rFonts w:ascii="Times New Roman" w:hAnsi="Times New Roman" w:cs="Times New Roman"/>
                <w:noProof/>
                <w:sz w:val="20"/>
                <w:szCs w:val="20"/>
              </w:rPr>
              <w:endnoteReference w:id="77"/>
            </w:r>
          </w:p>
        </w:tc>
        <w:tc>
          <w:tcPr>
            <w:tcW w:w="1843" w:type="dxa"/>
            <w:tcBorders>
              <w:left w:val="single" w:sz="4" w:space="0" w:color="auto"/>
            </w:tcBorders>
            <w:shd w:val="clear" w:color="auto" w:fill="C2D69B"/>
            <w:vAlign w:val="center"/>
          </w:tcPr>
          <w:p w14:paraId="541607D2" w14:textId="77777777" w:rsidR="00A27D25" w:rsidRPr="0065549F" w:rsidRDefault="00A27D25" w:rsidP="00A27D25">
            <w:pPr>
              <w:suppressAutoHyphens w:val="0"/>
              <w:jc w:val="center"/>
              <w:rPr>
                <w:rFonts w:ascii="Times New Roman" w:hAnsi="Times New Roman" w:cs="Times New Roman"/>
                <w:noProof/>
                <w:sz w:val="20"/>
                <w:szCs w:val="20"/>
              </w:rPr>
            </w:pPr>
            <w:r w:rsidRPr="0065549F">
              <w:rPr>
                <w:rFonts w:ascii="Times New Roman" w:hAnsi="Times New Roman" w:cs="Times New Roman"/>
                <w:noProof/>
                <w:sz w:val="20"/>
                <w:szCs w:val="20"/>
              </w:rPr>
              <w:t>21 May 2025</w:t>
            </w:r>
          </w:p>
        </w:tc>
      </w:tr>
      <w:tr w:rsidR="004A79F5" w:rsidRPr="004A79F5" w14:paraId="6C0DD9FA" w14:textId="77777777" w:rsidTr="006E0577">
        <w:trPr>
          <w:trHeight w:val="397"/>
        </w:trPr>
        <w:tc>
          <w:tcPr>
            <w:tcW w:w="936" w:type="dxa"/>
            <w:shd w:val="clear" w:color="auto" w:fill="C2D69B"/>
            <w:vAlign w:val="center"/>
          </w:tcPr>
          <w:p w14:paraId="127FEDA0" w14:textId="44C22C44"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6D189354" wp14:editId="62D8E464">
                  <wp:extent cx="161925" cy="142875"/>
                  <wp:effectExtent l="0" t="0" r="9525" b="9525"/>
                  <wp:docPr id="10031482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p>
        </w:tc>
        <w:tc>
          <w:tcPr>
            <w:tcW w:w="6577" w:type="dxa"/>
            <w:tcBorders>
              <w:top w:val="single" w:sz="4" w:space="0" w:color="auto"/>
              <w:left w:val="single" w:sz="4" w:space="0" w:color="auto"/>
              <w:bottom w:val="single" w:sz="4" w:space="0" w:color="auto"/>
              <w:right w:val="single" w:sz="4" w:space="0" w:color="auto"/>
            </w:tcBorders>
            <w:shd w:val="clear" w:color="auto" w:fill="C2D69B"/>
            <w:vAlign w:val="center"/>
          </w:tcPr>
          <w:p w14:paraId="50CBCEB1" w14:textId="02731DEF"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Reinforcement of the Network of SME Envoys</w:t>
            </w:r>
          </w:p>
        </w:tc>
        <w:tc>
          <w:tcPr>
            <w:tcW w:w="1843" w:type="dxa"/>
            <w:shd w:val="clear" w:color="auto" w:fill="C2D69B"/>
            <w:vAlign w:val="center"/>
          </w:tcPr>
          <w:p w14:paraId="35C545A7"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Q4 2025</w:t>
            </w:r>
          </w:p>
        </w:tc>
      </w:tr>
      <w:tr w:rsidR="004A79F5" w:rsidRPr="004A79F5" w14:paraId="73D99E1D" w14:textId="77777777" w:rsidTr="006E0577">
        <w:trPr>
          <w:trHeight w:val="397"/>
        </w:trPr>
        <w:tc>
          <w:tcPr>
            <w:tcW w:w="936" w:type="dxa"/>
            <w:tcBorders>
              <w:right w:val="single" w:sz="4" w:space="0" w:color="auto"/>
            </w:tcBorders>
            <w:vAlign w:val="center"/>
          </w:tcPr>
          <w:p w14:paraId="6A704281"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6FB44446"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Publication of best practice examples of SME-friendly provisions</w:t>
            </w:r>
          </w:p>
        </w:tc>
        <w:tc>
          <w:tcPr>
            <w:tcW w:w="1843" w:type="dxa"/>
            <w:tcBorders>
              <w:left w:val="single" w:sz="4" w:space="0" w:color="auto"/>
            </w:tcBorders>
            <w:vAlign w:val="center"/>
          </w:tcPr>
          <w:p w14:paraId="71AC2378" w14:textId="0EFB2450"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w:t>
            </w:r>
            <w:r w:rsidR="004A771D">
              <w:rPr>
                <w:rFonts w:ascii="Times New Roman" w:hAnsi="Times New Roman" w:cs="Times New Roman"/>
                <w:noProof/>
                <w:sz w:val="20"/>
                <w:szCs w:val="20"/>
              </w:rPr>
              <w:t>1</w:t>
            </w:r>
            <w:r w:rsidRPr="0065549F">
              <w:rPr>
                <w:rFonts w:ascii="Times New Roman" w:hAnsi="Times New Roman" w:cs="Times New Roman"/>
                <w:noProof/>
                <w:sz w:val="20"/>
                <w:szCs w:val="20"/>
              </w:rPr>
              <w:t xml:space="preserve"> 202</w:t>
            </w:r>
            <w:r w:rsidR="004A771D">
              <w:rPr>
                <w:rFonts w:ascii="Times New Roman" w:hAnsi="Times New Roman" w:cs="Times New Roman"/>
                <w:noProof/>
                <w:sz w:val="20"/>
                <w:szCs w:val="20"/>
              </w:rPr>
              <w:t>6</w:t>
            </w:r>
          </w:p>
        </w:tc>
      </w:tr>
      <w:tr w:rsidR="004A79F5" w:rsidRPr="004A79F5" w14:paraId="77ACC35E" w14:textId="77777777" w:rsidTr="006E0577">
        <w:trPr>
          <w:trHeight w:val="383"/>
        </w:trPr>
        <w:tc>
          <w:tcPr>
            <w:tcW w:w="936" w:type="dxa"/>
            <w:shd w:val="clear" w:color="auto" w:fill="C2D69B"/>
            <w:vAlign w:val="center"/>
          </w:tcPr>
          <w:p w14:paraId="7E93B18C" w14:textId="2A22C6BF" w:rsidR="00A27D25" w:rsidRPr="0065549F" w:rsidRDefault="00B668B2"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4297AE36" wp14:editId="44D516AF">
                  <wp:extent cx="161925" cy="142875"/>
                  <wp:effectExtent l="0" t="0" r="9525" b="9525"/>
                  <wp:docPr id="14478057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r:link="rId110"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676915" w:rsidRPr="0065549F">
              <w:rPr>
                <w:rFonts w:ascii="Times New Roman" w:hAnsi="Times New Roman" w:cs="Times New Roman"/>
                <w:noProof/>
                <w:sz w:val="20"/>
                <w:szCs w:val="20"/>
              </w:rPr>
              <w:fldChar w:fldCharType="begin"/>
            </w:r>
            <w:r w:rsidR="00676915" w:rsidRPr="0065549F">
              <w:rPr>
                <w:rFonts w:ascii="Times New Roman" w:hAnsi="Times New Roman" w:cs="Times New Roman"/>
                <w:noProof/>
                <w:sz w:val="20"/>
                <w:szCs w:val="20"/>
              </w:rPr>
              <w:instrText xml:space="preserve"> INCLUDEPICTURE  "cid:image002.png@01DC5936.1023CD00" \* MERGEFORMATINET </w:instrText>
            </w:r>
            <w:r w:rsidR="00676915" w:rsidRPr="0065549F">
              <w:rPr>
                <w:rFonts w:ascii="Times New Roman" w:hAnsi="Times New Roman" w:cs="Times New Roman"/>
                <w:noProof/>
                <w:sz w:val="20"/>
                <w:szCs w:val="20"/>
              </w:rPr>
              <w:fldChar w:fldCharType="separate"/>
            </w:r>
            <w:r w:rsidR="006B20E0" w:rsidRPr="0065549F">
              <w:rPr>
                <w:rFonts w:ascii="Times New Roman" w:hAnsi="Times New Roman" w:cs="Times New Roman"/>
                <w:noProof/>
                <w:sz w:val="20"/>
                <w:szCs w:val="20"/>
              </w:rPr>
              <w:fldChar w:fldCharType="begin"/>
            </w:r>
            <w:r w:rsidR="006B20E0" w:rsidRPr="0065549F">
              <w:rPr>
                <w:rFonts w:ascii="Times New Roman" w:hAnsi="Times New Roman" w:cs="Times New Roman"/>
                <w:noProof/>
                <w:sz w:val="20"/>
                <w:szCs w:val="20"/>
              </w:rPr>
              <w:instrText xml:space="preserve"> INCLUDEPICTURE  "cid:image002.png@01DC5936.1023CD00" \* MERGEFORMATINET </w:instrText>
            </w:r>
            <w:r w:rsidR="006B20E0" w:rsidRPr="0065549F">
              <w:rPr>
                <w:rFonts w:ascii="Times New Roman" w:hAnsi="Times New Roman" w:cs="Times New Roman"/>
                <w:noProof/>
                <w:sz w:val="20"/>
                <w:szCs w:val="20"/>
              </w:rPr>
              <w:fldChar w:fldCharType="separate"/>
            </w:r>
            <w:r w:rsidR="003B3264" w:rsidRPr="0065549F">
              <w:rPr>
                <w:rFonts w:ascii="Times New Roman" w:hAnsi="Times New Roman" w:cs="Times New Roman"/>
                <w:noProof/>
                <w:sz w:val="20"/>
                <w:szCs w:val="20"/>
              </w:rPr>
              <w:fldChar w:fldCharType="begin"/>
            </w:r>
            <w:r w:rsidR="003B3264" w:rsidRPr="0065549F">
              <w:rPr>
                <w:rFonts w:ascii="Times New Roman" w:hAnsi="Times New Roman" w:cs="Times New Roman"/>
                <w:noProof/>
                <w:sz w:val="20"/>
                <w:szCs w:val="20"/>
              </w:rPr>
              <w:instrText xml:space="preserve"> INCLUDEPICTURE  "cid:image002.png@01DC5936.1023CD00" \* MERGEFORMATINET </w:instrText>
            </w:r>
            <w:r w:rsidR="003B3264" w:rsidRPr="0065549F">
              <w:rPr>
                <w:rFonts w:ascii="Times New Roman" w:hAnsi="Times New Roman" w:cs="Times New Roman"/>
                <w:noProof/>
                <w:sz w:val="20"/>
                <w:szCs w:val="20"/>
              </w:rPr>
              <w:fldChar w:fldCharType="separate"/>
            </w:r>
            <w:r w:rsidR="00F61368" w:rsidRPr="0065549F">
              <w:rPr>
                <w:rFonts w:ascii="Times New Roman" w:hAnsi="Times New Roman" w:cs="Times New Roman"/>
                <w:noProof/>
                <w:sz w:val="20"/>
                <w:szCs w:val="20"/>
              </w:rPr>
              <w:fldChar w:fldCharType="begin"/>
            </w:r>
            <w:r w:rsidR="00F61368" w:rsidRPr="0065549F">
              <w:rPr>
                <w:rFonts w:ascii="Times New Roman" w:hAnsi="Times New Roman" w:cs="Times New Roman"/>
                <w:noProof/>
                <w:sz w:val="20"/>
                <w:szCs w:val="20"/>
              </w:rPr>
              <w:instrText xml:space="preserve"> INCLUDEPICTURE  "cid:image002.png@01DC5936.1023CD00" \* MERGEFORMATINET </w:instrText>
            </w:r>
            <w:r w:rsidR="00F61368" w:rsidRPr="0065549F">
              <w:rPr>
                <w:rFonts w:ascii="Times New Roman" w:hAnsi="Times New Roman" w:cs="Times New Roman"/>
                <w:noProof/>
                <w:sz w:val="20"/>
                <w:szCs w:val="20"/>
              </w:rPr>
              <w:fldChar w:fldCharType="separate"/>
            </w:r>
            <w:r w:rsidR="00676915" w:rsidRPr="0065549F">
              <w:rPr>
                <w:rFonts w:ascii="Times New Roman" w:hAnsi="Times New Roman" w:cs="Times New Roman"/>
                <w:noProof/>
                <w:sz w:val="20"/>
                <w:szCs w:val="20"/>
              </w:rPr>
              <w:fldChar w:fldCharType="begin"/>
            </w:r>
            <w:r w:rsidR="00676915" w:rsidRPr="0065549F">
              <w:rPr>
                <w:rFonts w:ascii="Times New Roman" w:hAnsi="Times New Roman" w:cs="Times New Roman"/>
                <w:noProof/>
                <w:sz w:val="20"/>
                <w:szCs w:val="20"/>
              </w:rPr>
              <w:instrText xml:space="preserve"> INCLUDEPICTURE  "cid:image002.png@01DC5936.1023CD00" \* MERGEFORMATINET </w:instrText>
            </w:r>
            <w:r w:rsidR="00676915" w:rsidRPr="0065549F">
              <w:rPr>
                <w:rFonts w:ascii="Times New Roman" w:hAnsi="Times New Roman" w:cs="Times New Roman"/>
                <w:noProof/>
                <w:sz w:val="20"/>
                <w:szCs w:val="20"/>
              </w:rPr>
              <w:fldChar w:fldCharType="end"/>
            </w:r>
            <w:r w:rsidR="00F61368" w:rsidRPr="0065549F">
              <w:rPr>
                <w:rFonts w:ascii="Times New Roman" w:hAnsi="Times New Roman" w:cs="Times New Roman"/>
                <w:noProof/>
                <w:sz w:val="20"/>
                <w:szCs w:val="20"/>
              </w:rPr>
              <w:fldChar w:fldCharType="end"/>
            </w:r>
            <w:r w:rsidR="003B3264" w:rsidRPr="0065549F">
              <w:rPr>
                <w:rFonts w:ascii="Times New Roman" w:hAnsi="Times New Roman" w:cs="Times New Roman"/>
                <w:noProof/>
                <w:sz w:val="20"/>
                <w:szCs w:val="20"/>
              </w:rPr>
              <w:fldChar w:fldCharType="end"/>
            </w:r>
            <w:r w:rsidR="006B20E0" w:rsidRPr="0065549F">
              <w:rPr>
                <w:rFonts w:ascii="Times New Roman" w:hAnsi="Times New Roman" w:cs="Times New Roman"/>
                <w:noProof/>
                <w:sz w:val="20"/>
                <w:szCs w:val="20"/>
              </w:rPr>
              <w:fldChar w:fldCharType="end"/>
            </w:r>
            <w:r w:rsidR="00676915" w:rsidRPr="0065549F">
              <w:rPr>
                <w:rFonts w:ascii="Times New Roman" w:hAnsi="Times New Roman" w:cs="Times New Roman"/>
                <w:noProof/>
                <w:sz w:val="20"/>
                <w:szCs w:val="20"/>
              </w:rPr>
              <w:fldChar w:fldCharType="end"/>
            </w:r>
          </w:p>
        </w:tc>
        <w:tc>
          <w:tcPr>
            <w:tcW w:w="6577" w:type="dxa"/>
            <w:tcBorders>
              <w:top w:val="single" w:sz="4" w:space="0" w:color="auto"/>
              <w:left w:val="single" w:sz="4" w:space="0" w:color="auto"/>
              <w:bottom w:val="single" w:sz="4" w:space="0" w:color="auto"/>
              <w:right w:val="single" w:sz="4" w:space="0" w:color="auto"/>
            </w:tcBorders>
            <w:shd w:val="clear" w:color="auto" w:fill="C2D69B"/>
            <w:vAlign w:val="center"/>
          </w:tcPr>
          <w:p w14:paraId="030F412C" w14:textId="514DFC73" w:rsidR="00A27D25" w:rsidRPr="0065549F" w:rsidRDefault="00A27D25" w:rsidP="00A27D2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rPr>
              <w:t>Definition of small mid-caps (SMCs)</w:t>
            </w:r>
            <w:r w:rsidR="009B64D0">
              <w:rPr>
                <w:rStyle w:val="EndnoteReference"/>
                <w:rFonts w:ascii="Times New Roman" w:hAnsi="Times New Roman" w:cs="Times New Roman"/>
                <w:noProof/>
                <w:sz w:val="20"/>
                <w:szCs w:val="20"/>
              </w:rPr>
              <w:endnoteReference w:id="78"/>
            </w:r>
          </w:p>
        </w:tc>
        <w:tc>
          <w:tcPr>
            <w:tcW w:w="1843" w:type="dxa"/>
            <w:shd w:val="clear" w:color="auto" w:fill="C2D69B"/>
            <w:vAlign w:val="center"/>
          </w:tcPr>
          <w:p w14:paraId="7B43EB74"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21 May 2025</w:t>
            </w:r>
          </w:p>
        </w:tc>
      </w:tr>
      <w:tr w:rsidR="004A79F5" w:rsidRPr="004A79F5" w14:paraId="67256550" w14:textId="77777777" w:rsidTr="006E0577">
        <w:trPr>
          <w:trHeight w:val="382"/>
        </w:trPr>
        <w:tc>
          <w:tcPr>
            <w:tcW w:w="936" w:type="dxa"/>
            <w:shd w:val="clear" w:color="auto" w:fill="F9F9CF"/>
            <w:vAlign w:val="center"/>
          </w:tcPr>
          <w:p w14:paraId="5A4629A9" w14:textId="1ABCEEE8" w:rsidR="0006424B" w:rsidRPr="0065549F" w:rsidRDefault="0006424B" w:rsidP="00A27D25">
            <w:pPr>
              <w:suppressAutoHyphens w:val="0"/>
              <w:jc w:val="center"/>
              <w:rPr>
                <w:rFonts w:ascii="Times New Roman" w:hAnsi="Times New Roman" w:cs="Times New Roman"/>
                <w:noProof/>
                <w:sz w:val="20"/>
                <w:szCs w:val="20"/>
              </w:rPr>
            </w:pPr>
            <w:r w:rsidRPr="0065549F">
              <w:rPr>
                <w:rFonts w:ascii="Times New Roman" w:hAnsi="Times New Roman" w:cs="Times New Roman"/>
                <w:noProof/>
                <w:sz w:val="20"/>
                <w:szCs w:val="20"/>
                <w:lang w:eastAsia="en-GB"/>
              </w:rPr>
              <w:drawing>
                <wp:inline distT="0" distB="0" distL="0" distR="0" wp14:anchorId="0283F920" wp14:editId="537AB351">
                  <wp:extent cx="209550" cy="209550"/>
                  <wp:effectExtent l="0" t="0" r="0" b="0"/>
                  <wp:docPr id="4499819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r:link="rId112"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6577" w:type="dxa"/>
            <w:tcBorders>
              <w:top w:val="single" w:sz="4" w:space="0" w:color="auto"/>
              <w:left w:val="single" w:sz="4" w:space="0" w:color="auto"/>
              <w:bottom w:val="single" w:sz="4" w:space="0" w:color="auto"/>
              <w:right w:val="single" w:sz="4" w:space="0" w:color="auto"/>
            </w:tcBorders>
            <w:shd w:val="clear" w:color="auto" w:fill="F9F9CF"/>
            <w:vAlign w:val="center"/>
          </w:tcPr>
          <w:p w14:paraId="50B916CE" w14:textId="2DCDA924" w:rsidR="0006424B" w:rsidRPr="0065549F" w:rsidRDefault="0006424B" w:rsidP="00A27D2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rPr>
              <w:t xml:space="preserve">Extension of certain SME benefits to SMCs as part of the simplification </w:t>
            </w:r>
            <w:r w:rsidR="00497505" w:rsidRPr="0065549F">
              <w:rPr>
                <w:rFonts w:ascii="Times New Roman" w:hAnsi="Times New Roman" w:cs="Times New Roman"/>
                <w:noProof/>
                <w:sz w:val="20"/>
                <w:szCs w:val="20"/>
              </w:rPr>
              <w:t>O</w:t>
            </w:r>
            <w:r w:rsidRPr="0065549F">
              <w:rPr>
                <w:rFonts w:ascii="Times New Roman" w:hAnsi="Times New Roman" w:cs="Times New Roman"/>
                <w:noProof/>
                <w:sz w:val="20"/>
                <w:szCs w:val="20"/>
              </w:rPr>
              <w:t>mnibus IV</w:t>
            </w:r>
            <w:r w:rsidR="009B64D0">
              <w:rPr>
                <w:rStyle w:val="EndnoteReference"/>
                <w:rFonts w:ascii="Times New Roman" w:hAnsi="Times New Roman" w:cs="Times New Roman"/>
                <w:noProof/>
                <w:sz w:val="20"/>
                <w:szCs w:val="20"/>
              </w:rPr>
              <w:endnoteReference w:id="79"/>
            </w:r>
          </w:p>
        </w:tc>
        <w:tc>
          <w:tcPr>
            <w:tcW w:w="1843" w:type="dxa"/>
            <w:shd w:val="clear" w:color="auto" w:fill="F9F9CF"/>
            <w:vAlign w:val="center"/>
          </w:tcPr>
          <w:p w14:paraId="67ACB194" w14:textId="293AEF8E" w:rsidR="0006424B" w:rsidRPr="0065549F" w:rsidRDefault="00832D3E"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21 May 2025</w:t>
            </w:r>
          </w:p>
        </w:tc>
      </w:tr>
      <w:tr w:rsidR="004A79F5" w:rsidRPr="004A79F5" w14:paraId="06362EDA" w14:textId="77777777" w:rsidTr="006E0577">
        <w:trPr>
          <w:trHeight w:val="397"/>
        </w:trPr>
        <w:tc>
          <w:tcPr>
            <w:tcW w:w="936" w:type="dxa"/>
            <w:shd w:val="clear" w:color="auto" w:fill="C2D69B"/>
            <w:vAlign w:val="center"/>
          </w:tcPr>
          <w:p w14:paraId="39CFD23A" w14:textId="719504BF" w:rsidR="00A27D25" w:rsidRPr="0065549F" w:rsidRDefault="000703AC"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74A34666" wp14:editId="5502AA5B">
                  <wp:extent cx="161925" cy="142875"/>
                  <wp:effectExtent l="0" t="0" r="9525" b="9525"/>
                  <wp:docPr id="16545024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r:link="rId110"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p>
        </w:tc>
        <w:tc>
          <w:tcPr>
            <w:tcW w:w="6577" w:type="dxa"/>
            <w:tcBorders>
              <w:top w:val="nil"/>
              <w:left w:val="single" w:sz="4" w:space="0" w:color="auto"/>
              <w:bottom w:val="single" w:sz="4" w:space="0" w:color="auto"/>
              <w:right w:val="single" w:sz="4" w:space="0" w:color="auto"/>
            </w:tcBorders>
            <w:shd w:val="clear" w:color="auto" w:fill="C2D69B"/>
            <w:vAlign w:val="center"/>
          </w:tcPr>
          <w:p w14:paraId="74C0D641" w14:textId="0C6B36E3" w:rsidR="00A27D25" w:rsidRPr="00EC17DB" w:rsidRDefault="00A27D25" w:rsidP="00A27D25">
            <w:pPr>
              <w:suppressAutoHyphens w:val="0"/>
              <w:rPr>
                <w:rFonts w:ascii="Times New Roman" w:hAnsi="Times New Roman" w:cs="Times New Roman"/>
                <w:noProof/>
                <w:sz w:val="20"/>
                <w:szCs w:val="20"/>
                <w:lang w:val="en-IE"/>
              </w:rPr>
            </w:pPr>
            <w:r w:rsidRPr="00EC17DB">
              <w:rPr>
                <w:rFonts w:ascii="Times New Roman" w:hAnsi="Times New Roman" w:cs="Times New Roman"/>
                <w:noProof/>
                <w:sz w:val="20"/>
                <w:szCs w:val="20"/>
              </w:rPr>
              <w:t xml:space="preserve">Extension of </w:t>
            </w:r>
            <w:r w:rsidR="00FF4AF3" w:rsidRPr="00EC17DB">
              <w:rPr>
                <w:rFonts w:ascii="Times New Roman" w:hAnsi="Times New Roman" w:cs="Times New Roman"/>
                <w:noProof/>
                <w:sz w:val="20"/>
                <w:szCs w:val="20"/>
              </w:rPr>
              <w:t xml:space="preserve">the </w:t>
            </w:r>
            <w:r w:rsidRPr="00EC17DB">
              <w:rPr>
                <w:rFonts w:ascii="Times New Roman" w:hAnsi="Times New Roman" w:cs="Times New Roman"/>
                <w:noProof/>
                <w:sz w:val="20"/>
                <w:szCs w:val="20"/>
              </w:rPr>
              <w:t>existing SME fund</w:t>
            </w:r>
            <w:r w:rsidR="00C8535D" w:rsidRPr="00EC17DB">
              <w:rPr>
                <w:rFonts w:ascii="Times New Roman" w:hAnsi="Times New Roman" w:cs="Times New Roman"/>
                <w:noProof/>
                <w:sz w:val="20"/>
                <w:szCs w:val="20"/>
              </w:rPr>
              <w:t>, implemented by the EUIPO, for 2026 and possibly 2027</w:t>
            </w:r>
          </w:p>
        </w:tc>
        <w:tc>
          <w:tcPr>
            <w:tcW w:w="1843" w:type="dxa"/>
            <w:shd w:val="clear" w:color="auto" w:fill="C2D69B"/>
            <w:vAlign w:val="center"/>
          </w:tcPr>
          <w:p w14:paraId="24E87DFE" w14:textId="45A3B265" w:rsidR="00A27D25" w:rsidRPr="00EC17DB" w:rsidRDefault="00550D54" w:rsidP="00A27D25">
            <w:pPr>
              <w:suppressAutoHyphens w:val="0"/>
              <w:jc w:val="center"/>
              <w:rPr>
                <w:rFonts w:ascii="Times New Roman" w:hAnsi="Times New Roman" w:cs="Times New Roman"/>
                <w:noProof/>
                <w:sz w:val="20"/>
                <w:szCs w:val="20"/>
                <w:lang w:val="en-IE"/>
              </w:rPr>
            </w:pPr>
            <w:r w:rsidRPr="00EC17DB">
              <w:rPr>
                <w:rFonts w:ascii="Times New Roman" w:hAnsi="Times New Roman" w:cs="Times New Roman"/>
                <w:noProof/>
                <w:sz w:val="20"/>
                <w:szCs w:val="20"/>
              </w:rPr>
              <w:t>17</w:t>
            </w:r>
            <w:r w:rsidR="00A04C37" w:rsidRPr="00EC17DB">
              <w:rPr>
                <w:rFonts w:ascii="Times New Roman" w:hAnsi="Times New Roman" w:cs="Times New Roman"/>
                <w:noProof/>
                <w:sz w:val="20"/>
                <w:szCs w:val="20"/>
              </w:rPr>
              <w:t xml:space="preserve"> </w:t>
            </w:r>
            <w:r w:rsidRPr="00EC17DB">
              <w:rPr>
                <w:rFonts w:ascii="Times New Roman" w:hAnsi="Times New Roman" w:cs="Times New Roman"/>
                <w:noProof/>
                <w:sz w:val="20"/>
                <w:szCs w:val="20"/>
              </w:rPr>
              <w:t>September 2025</w:t>
            </w:r>
          </w:p>
        </w:tc>
      </w:tr>
      <w:tr w:rsidR="004A79F5" w:rsidRPr="004A79F5" w14:paraId="3027A5C8" w14:textId="77777777" w:rsidTr="006E0577">
        <w:trPr>
          <w:trHeight w:val="397"/>
        </w:trPr>
        <w:tc>
          <w:tcPr>
            <w:tcW w:w="936" w:type="dxa"/>
            <w:shd w:val="clear" w:color="auto" w:fill="C2D69B"/>
            <w:vAlign w:val="center"/>
          </w:tcPr>
          <w:p w14:paraId="67B00FCC" w14:textId="55E6955D" w:rsidR="00A27D25" w:rsidRPr="0065549F" w:rsidRDefault="00A27D25" w:rsidP="00A27D25">
            <w:pPr>
              <w:suppressAutoHyphens w:val="0"/>
              <w:jc w:val="center"/>
              <w:rPr>
                <w:rFonts w:ascii="Times New Roman" w:hAnsi="Times New Roman" w:cs="Times New Roman"/>
                <w:noProof/>
                <w:sz w:val="20"/>
                <w:szCs w:val="20"/>
              </w:rPr>
            </w:pPr>
            <w:r w:rsidRPr="0065549F">
              <w:rPr>
                <w:rFonts w:ascii="Times New Roman" w:hAnsi="Times New Roman" w:cs="Times New Roman"/>
                <w:noProof/>
                <w:sz w:val="20"/>
                <w:szCs w:val="20"/>
                <w:lang w:eastAsia="en-GB"/>
              </w:rPr>
              <w:drawing>
                <wp:inline distT="0" distB="0" distL="0" distR="0" wp14:anchorId="55415936" wp14:editId="470847CE">
                  <wp:extent cx="161925" cy="142875"/>
                  <wp:effectExtent l="0" t="0" r="9525" b="9525"/>
                  <wp:docPr id="11606356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p>
        </w:tc>
        <w:tc>
          <w:tcPr>
            <w:tcW w:w="6577" w:type="dxa"/>
            <w:tcBorders>
              <w:top w:val="nil"/>
              <w:left w:val="single" w:sz="4" w:space="0" w:color="auto"/>
              <w:bottom w:val="single" w:sz="4" w:space="0" w:color="auto"/>
              <w:right w:val="single" w:sz="4" w:space="0" w:color="auto"/>
            </w:tcBorders>
            <w:shd w:val="clear" w:color="auto" w:fill="C2D69B"/>
            <w:vAlign w:val="center"/>
          </w:tcPr>
          <w:p w14:paraId="685B048F" w14:textId="55C05041"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Commission Recommendation for a ‘Voluntary SME’ standard</w:t>
            </w:r>
            <w:r w:rsidR="009B64D0">
              <w:rPr>
                <w:rStyle w:val="EndnoteReference"/>
                <w:rFonts w:ascii="Times New Roman" w:hAnsi="Times New Roman" w:cs="Times New Roman"/>
                <w:noProof/>
                <w:sz w:val="20"/>
                <w:szCs w:val="20"/>
              </w:rPr>
              <w:endnoteReference w:id="80"/>
            </w:r>
          </w:p>
        </w:tc>
        <w:tc>
          <w:tcPr>
            <w:tcW w:w="1843" w:type="dxa"/>
            <w:shd w:val="clear" w:color="auto" w:fill="C2D69B"/>
            <w:vAlign w:val="center"/>
          </w:tcPr>
          <w:p w14:paraId="06CAE108"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30 July 2025</w:t>
            </w:r>
          </w:p>
        </w:tc>
      </w:tr>
      <w:tr w:rsidR="004A79F5" w:rsidRPr="004A79F5" w14:paraId="04CAEB64" w14:textId="77777777" w:rsidTr="006E0577">
        <w:trPr>
          <w:trHeight w:val="397"/>
        </w:trPr>
        <w:tc>
          <w:tcPr>
            <w:tcW w:w="936" w:type="dxa"/>
            <w:vAlign w:val="center"/>
          </w:tcPr>
          <w:p w14:paraId="7C0FB422"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017E6B53" w14:textId="77777777"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Development of voluntary streamlined approach to help SMEs demonstrate their sustainability efforts and improve their access to sustainable finance</w:t>
            </w:r>
          </w:p>
        </w:tc>
        <w:tc>
          <w:tcPr>
            <w:tcW w:w="1843" w:type="dxa"/>
            <w:vAlign w:val="center"/>
          </w:tcPr>
          <w:p w14:paraId="69E80313" w14:textId="5C1F6309" w:rsidR="00A27D25" w:rsidRPr="0065549F" w:rsidRDefault="004D1AA7" w:rsidP="00A27D25">
            <w:pPr>
              <w:suppressAutoHyphens w:val="0"/>
              <w:jc w:val="center"/>
              <w:rPr>
                <w:rFonts w:ascii="Times New Roman" w:hAnsi="Times New Roman" w:cs="Times New Roman"/>
                <w:noProof/>
                <w:sz w:val="20"/>
                <w:szCs w:val="20"/>
                <w:lang w:val="en-IE"/>
              </w:rPr>
            </w:pPr>
            <w:r>
              <w:rPr>
                <w:rFonts w:ascii="Times New Roman" w:hAnsi="Times New Roman" w:cs="Times New Roman"/>
                <w:noProof/>
                <w:sz w:val="20"/>
                <w:szCs w:val="20"/>
              </w:rPr>
              <w:t>Ongoing</w:t>
            </w:r>
          </w:p>
        </w:tc>
      </w:tr>
      <w:tr w:rsidR="004A79F5" w:rsidRPr="004A79F5" w14:paraId="20870077" w14:textId="77777777" w:rsidTr="006E0577">
        <w:trPr>
          <w:trHeight w:val="397"/>
        </w:trPr>
        <w:tc>
          <w:tcPr>
            <w:tcW w:w="936" w:type="dxa"/>
            <w:shd w:val="clear" w:color="auto" w:fill="95B3D7"/>
            <w:vAlign w:val="center"/>
          </w:tcPr>
          <w:p w14:paraId="77B50117" w14:textId="60B53E0C" w:rsidR="00A27D25" w:rsidRPr="00323814" w:rsidRDefault="009854DA" w:rsidP="00A27D25">
            <w:pPr>
              <w:suppressAutoHyphens w:val="0"/>
              <w:jc w:val="center"/>
              <w:rPr>
                <w:rFonts w:ascii="Times New Roman" w:hAnsi="Times New Roman" w:cs="Times New Roman"/>
                <w:noProof/>
                <w:lang w:val="en-IE"/>
              </w:rPr>
            </w:pPr>
            <w:r w:rsidRPr="00323814">
              <w:rPr>
                <w:rFonts w:ascii="Times New Roman" w:hAnsi="Times New Roman" w:cs="Times New Roman"/>
                <w:b/>
                <w:bCs/>
                <w:noProof/>
                <w:lang w:val="en-IE"/>
              </w:rPr>
              <w:t>Status</w:t>
            </w:r>
          </w:p>
        </w:tc>
        <w:tc>
          <w:tcPr>
            <w:tcW w:w="6577" w:type="dxa"/>
            <w:tcBorders>
              <w:top w:val="nil"/>
              <w:left w:val="single" w:sz="4" w:space="0" w:color="auto"/>
              <w:bottom w:val="single" w:sz="4" w:space="0" w:color="auto"/>
              <w:right w:val="single" w:sz="4" w:space="0" w:color="auto"/>
            </w:tcBorders>
            <w:shd w:val="clear" w:color="auto" w:fill="95B3D7"/>
            <w:vAlign w:val="center"/>
          </w:tcPr>
          <w:p w14:paraId="75F7BE2C" w14:textId="77777777" w:rsidR="00A27D25" w:rsidRPr="00323814" w:rsidRDefault="00A27D25" w:rsidP="00A27D25">
            <w:pPr>
              <w:suppressAutoHyphens w:val="0"/>
              <w:rPr>
                <w:rFonts w:ascii="Times New Roman" w:hAnsi="Times New Roman" w:cs="Times New Roman"/>
                <w:b/>
                <w:bCs/>
                <w:noProof/>
              </w:rPr>
            </w:pPr>
            <w:r w:rsidRPr="00323814">
              <w:rPr>
                <w:rFonts w:ascii="Times New Roman" w:hAnsi="Times New Roman" w:cs="Times New Roman"/>
                <w:b/>
                <w:bCs/>
                <w:noProof/>
              </w:rPr>
              <w:t>Chapter 4. Digitalising the Single Market</w:t>
            </w:r>
          </w:p>
        </w:tc>
        <w:tc>
          <w:tcPr>
            <w:tcW w:w="1843" w:type="dxa"/>
            <w:shd w:val="clear" w:color="auto" w:fill="95B3D7"/>
            <w:vAlign w:val="center"/>
          </w:tcPr>
          <w:p w14:paraId="3C4790B3" w14:textId="1FF45E73" w:rsidR="00A27D25" w:rsidRPr="00323814" w:rsidRDefault="00F54A6C" w:rsidP="00A27D25">
            <w:pPr>
              <w:suppressAutoHyphens w:val="0"/>
              <w:jc w:val="center"/>
              <w:rPr>
                <w:rFonts w:ascii="Times New Roman" w:hAnsi="Times New Roman" w:cs="Times New Roman"/>
                <w:noProof/>
              </w:rPr>
            </w:pPr>
            <w:r w:rsidRPr="00323814">
              <w:rPr>
                <w:rFonts w:ascii="Times New Roman" w:hAnsi="Times New Roman" w:cs="Times New Roman"/>
                <w:b/>
                <w:bCs/>
                <w:noProof/>
                <w:lang w:val="en-IE"/>
              </w:rPr>
              <w:t>Timeline</w:t>
            </w:r>
          </w:p>
        </w:tc>
      </w:tr>
      <w:tr w:rsidR="00993E87" w:rsidRPr="004A79F5" w14:paraId="17315386" w14:textId="77777777" w:rsidTr="00807325">
        <w:trPr>
          <w:trHeight w:val="397"/>
        </w:trPr>
        <w:tc>
          <w:tcPr>
            <w:tcW w:w="936" w:type="dxa"/>
            <w:shd w:val="clear" w:color="auto" w:fill="F9F9CF"/>
            <w:vAlign w:val="center"/>
          </w:tcPr>
          <w:p w14:paraId="76299C1C" w14:textId="2E8F8249"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23B785DA" wp14:editId="5296B1C5">
                  <wp:extent cx="209550" cy="209550"/>
                  <wp:effectExtent l="0" t="0" r="0" b="0"/>
                  <wp:docPr id="15422863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6577" w:type="dxa"/>
            <w:tcBorders>
              <w:top w:val="nil"/>
              <w:left w:val="single" w:sz="4" w:space="0" w:color="auto"/>
              <w:bottom w:val="single" w:sz="4" w:space="0" w:color="auto"/>
              <w:right w:val="single" w:sz="4" w:space="0" w:color="auto"/>
            </w:tcBorders>
            <w:shd w:val="clear" w:color="auto" w:fill="F9F9CF"/>
            <w:vAlign w:val="center"/>
          </w:tcPr>
          <w:p w14:paraId="3556D7EE" w14:textId="373C7BC1"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European Business Wallet</w:t>
            </w:r>
            <w:r w:rsidR="009B64D0">
              <w:rPr>
                <w:rStyle w:val="EndnoteReference"/>
                <w:rFonts w:ascii="Times New Roman" w:hAnsi="Times New Roman" w:cs="Times New Roman"/>
                <w:noProof/>
                <w:sz w:val="20"/>
                <w:szCs w:val="20"/>
              </w:rPr>
              <w:endnoteReference w:id="81"/>
            </w:r>
          </w:p>
        </w:tc>
        <w:tc>
          <w:tcPr>
            <w:tcW w:w="1843" w:type="dxa"/>
            <w:shd w:val="clear" w:color="auto" w:fill="F9F9CF"/>
            <w:vAlign w:val="center"/>
          </w:tcPr>
          <w:p w14:paraId="5FA6A5BE"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val="en-IE"/>
              </w:rPr>
              <w:t>19 November 2025</w:t>
            </w:r>
          </w:p>
        </w:tc>
      </w:tr>
      <w:tr w:rsidR="004A79F5" w:rsidRPr="004A79F5" w14:paraId="6D4A753E" w14:textId="77777777" w:rsidTr="006E0577">
        <w:trPr>
          <w:trHeight w:val="397"/>
        </w:trPr>
        <w:tc>
          <w:tcPr>
            <w:tcW w:w="936" w:type="dxa"/>
            <w:vAlign w:val="center"/>
          </w:tcPr>
          <w:p w14:paraId="5A5E0BED"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nil"/>
              <w:left w:val="single" w:sz="4" w:space="0" w:color="auto"/>
              <w:bottom w:val="nil"/>
              <w:right w:val="single" w:sz="4" w:space="0" w:color="auto"/>
            </w:tcBorders>
            <w:vAlign w:val="center"/>
          </w:tcPr>
          <w:p w14:paraId="64FC718A" w14:textId="082553FF" w:rsidR="00A27D25" w:rsidRPr="0065549F" w:rsidRDefault="00A27D25" w:rsidP="00A27D25">
            <w:pPr>
              <w:suppressAutoHyphens w:val="0"/>
              <w:rPr>
                <w:rFonts w:ascii="Times New Roman" w:hAnsi="Times New Roman" w:cs="Times New Roman"/>
                <w:noProof/>
                <w:sz w:val="20"/>
                <w:szCs w:val="20"/>
                <w:lang w:val="en-IE"/>
              </w:rPr>
            </w:pPr>
            <w:r w:rsidRPr="0065549F">
              <w:rPr>
                <w:rFonts w:ascii="Times New Roman" w:hAnsi="Times New Roman" w:cs="Times New Roman"/>
                <w:noProof/>
                <w:sz w:val="20"/>
                <w:szCs w:val="20"/>
              </w:rPr>
              <w:t>EU Digital Identity Wallets roll</w:t>
            </w:r>
            <w:r w:rsidR="006375F1">
              <w:rPr>
                <w:rFonts w:ascii="Times New Roman" w:hAnsi="Times New Roman" w:cs="Times New Roman"/>
                <w:noProof/>
                <w:sz w:val="20"/>
                <w:szCs w:val="20"/>
              </w:rPr>
              <w:t>-</w:t>
            </w:r>
            <w:r w:rsidRPr="0065549F">
              <w:rPr>
                <w:rFonts w:ascii="Times New Roman" w:hAnsi="Times New Roman" w:cs="Times New Roman"/>
                <w:noProof/>
                <w:sz w:val="20"/>
                <w:szCs w:val="20"/>
              </w:rPr>
              <w:t xml:space="preserve">out </w:t>
            </w:r>
          </w:p>
        </w:tc>
        <w:tc>
          <w:tcPr>
            <w:tcW w:w="1843" w:type="dxa"/>
            <w:vAlign w:val="center"/>
          </w:tcPr>
          <w:p w14:paraId="439CB14B"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Q4 2026</w:t>
            </w:r>
          </w:p>
        </w:tc>
      </w:tr>
      <w:tr w:rsidR="004A79F5" w:rsidRPr="004A79F5" w14:paraId="423BF00D" w14:textId="77777777" w:rsidTr="006E0577">
        <w:trPr>
          <w:trHeight w:val="397"/>
        </w:trPr>
        <w:tc>
          <w:tcPr>
            <w:tcW w:w="936" w:type="dxa"/>
            <w:tcBorders>
              <w:bottom w:val="single" w:sz="4" w:space="0" w:color="auto"/>
            </w:tcBorders>
            <w:vAlign w:val="center"/>
          </w:tcPr>
          <w:p w14:paraId="5C80B40C"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5088192F" w14:textId="77777777" w:rsidR="00A27D25" w:rsidRPr="0065549F" w:rsidRDefault="00A27D25" w:rsidP="00A27D2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rPr>
              <w:t>Revision of IMI Regulation</w:t>
            </w:r>
          </w:p>
        </w:tc>
        <w:tc>
          <w:tcPr>
            <w:tcW w:w="1843" w:type="dxa"/>
            <w:tcBorders>
              <w:bottom w:val="single" w:sz="4" w:space="0" w:color="auto"/>
            </w:tcBorders>
            <w:vAlign w:val="center"/>
          </w:tcPr>
          <w:p w14:paraId="103AFE56"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Q4 2026</w:t>
            </w:r>
          </w:p>
        </w:tc>
      </w:tr>
      <w:tr w:rsidR="004A79F5" w:rsidRPr="004A79F5" w14:paraId="2A1A9645" w14:textId="77777777" w:rsidTr="006E0577">
        <w:trPr>
          <w:trHeight w:val="397"/>
        </w:trPr>
        <w:tc>
          <w:tcPr>
            <w:tcW w:w="936" w:type="dxa"/>
            <w:tcBorders>
              <w:top w:val="single" w:sz="4" w:space="0" w:color="auto"/>
              <w:left w:val="single" w:sz="4" w:space="0" w:color="auto"/>
              <w:bottom w:val="single" w:sz="4" w:space="0" w:color="auto"/>
              <w:right w:val="single" w:sz="4" w:space="0" w:color="auto"/>
            </w:tcBorders>
            <w:shd w:val="clear" w:color="auto" w:fill="F9F9CF"/>
            <w:vAlign w:val="center"/>
          </w:tcPr>
          <w:p w14:paraId="1074EF27" w14:textId="3E5F2EEC"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7A2EA788" wp14:editId="6ADE0BDB">
                  <wp:extent cx="209550" cy="209550"/>
                  <wp:effectExtent l="0" t="0" r="0" b="0"/>
                  <wp:docPr id="10681837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6577" w:type="dxa"/>
            <w:tcBorders>
              <w:top w:val="single" w:sz="4" w:space="0" w:color="auto"/>
              <w:left w:val="single" w:sz="4" w:space="0" w:color="auto"/>
              <w:bottom w:val="single" w:sz="4" w:space="0" w:color="auto"/>
              <w:right w:val="single" w:sz="4" w:space="0" w:color="auto"/>
            </w:tcBorders>
            <w:shd w:val="clear" w:color="auto" w:fill="F9F9CF"/>
            <w:vAlign w:val="center"/>
          </w:tcPr>
          <w:p w14:paraId="71076922" w14:textId="69E9497C" w:rsidR="00A27D25" w:rsidRPr="0065549F" w:rsidRDefault="00A27D25" w:rsidP="00A27D2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rPr>
              <w:t xml:space="preserve">Digitalisation of declarations of conformity as part of </w:t>
            </w:r>
            <w:r w:rsidR="00AD2A03" w:rsidRPr="0065549F">
              <w:rPr>
                <w:rFonts w:ascii="Times New Roman" w:hAnsi="Times New Roman" w:cs="Times New Roman"/>
                <w:noProof/>
                <w:sz w:val="20"/>
                <w:szCs w:val="20"/>
              </w:rPr>
              <w:t>the simplification O</w:t>
            </w:r>
            <w:r w:rsidRPr="0065549F">
              <w:rPr>
                <w:rFonts w:ascii="Times New Roman" w:hAnsi="Times New Roman" w:cs="Times New Roman"/>
                <w:noProof/>
                <w:sz w:val="20"/>
                <w:szCs w:val="20"/>
              </w:rPr>
              <w:t xml:space="preserve">mnibus </w:t>
            </w:r>
            <w:r w:rsidR="00AD2A03" w:rsidRPr="0065549F">
              <w:rPr>
                <w:rFonts w:ascii="Times New Roman" w:hAnsi="Times New Roman" w:cs="Times New Roman"/>
                <w:noProof/>
                <w:sz w:val="20"/>
                <w:szCs w:val="20"/>
              </w:rPr>
              <w:t>IV</w:t>
            </w:r>
            <w:r w:rsidR="009B64D0">
              <w:rPr>
                <w:rStyle w:val="EndnoteReference"/>
                <w:rFonts w:ascii="Times New Roman" w:hAnsi="Times New Roman" w:cs="Times New Roman"/>
                <w:noProof/>
                <w:sz w:val="20"/>
                <w:szCs w:val="20"/>
              </w:rPr>
              <w:endnoteReference w:id="82"/>
            </w:r>
          </w:p>
        </w:tc>
        <w:tc>
          <w:tcPr>
            <w:tcW w:w="1843" w:type="dxa"/>
            <w:tcBorders>
              <w:top w:val="single" w:sz="4" w:space="0" w:color="auto"/>
              <w:left w:val="single" w:sz="4" w:space="0" w:color="auto"/>
              <w:bottom w:val="single" w:sz="4" w:space="0" w:color="auto"/>
              <w:right w:val="single" w:sz="4" w:space="0" w:color="auto"/>
            </w:tcBorders>
            <w:shd w:val="clear" w:color="auto" w:fill="F9F9CF"/>
            <w:vAlign w:val="center"/>
          </w:tcPr>
          <w:p w14:paraId="44591F82"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21 May 2025</w:t>
            </w:r>
          </w:p>
        </w:tc>
      </w:tr>
      <w:tr w:rsidR="004A79F5" w:rsidRPr="004A79F5" w14:paraId="36C51AB9" w14:textId="77777777" w:rsidTr="006E0577">
        <w:trPr>
          <w:trHeight w:val="397"/>
        </w:trPr>
        <w:tc>
          <w:tcPr>
            <w:tcW w:w="936" w:type="dxa"/>
            <w:tcBorders>
              <w:top w:val="single" w:sz="4" w:space="0" w:color="auto"/>
            </w:tcBorders>
            <w:vAlign w:val="center"/>
          </w:tcPr>
          <w:p w14:paraId="590398F3" w14:textId="77777777" w:rsidR="00A27D25" w:rsidRPr="0065549F" w:rsidRDefault="00A27D25" w:rsidP="00A27D25">
            <w:pPr>
              <w:suppressAutoHyphens w:val="0"/>
              <w:jc w:val="center"/>
              <w:rPr>
                <w:rFonts w:ascii="Times New Roman" w:hAnsi="Times New Roman" w:cs="Times New Roman"/>
                <w:noProof/>
                <w:sz w:val="20"/>
                <w:szCs w:val="20"/>
                <w:lang w:val="en-IE"/>
              </w:rPr>
            </w:pPr>
          </w:p>
        </w:tc>
        <w:tc>
          <w:tcPr>
            <w:tcW w:w="6577" w:type="dxa"/>
            <w:tcBorders>
              <w:top w:val="single" w:sz="4" w:space="0" w:color="auto"/>
              <w:left w:val="single" w:sz="4" w:space="0" w:color="auto"/>
              <w:bottom w:val="single" w:sz="4" w:space="0" w:color="auto"/>
              <w:right w:val="single" w:sz="4" w:space="0" w:color="auto"/>
            </w:tcBorders>
            <w:vAlign w:val="center"/>
          </w:tcPr>
          <w:p w14:paraId="7A0F91D8" w14:textId="77777777" w:rsidR="00A27D25" w:rsidRPr="0065549F" w:rsidRDefault="00A27D25" w:rsidP="00A27D2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rPr>
              <w:t>Revision of the EU acquis on e-Invoicing in public procurement</w:t>
            </w:r>
          </w:p>
        </w:tc>
        <w:tc>
          <w:tcPr>
            <w:tcW w:w="1843" w:type="dxa"/>
            <w:tcBorders>
              <w:top w:val="single" w:sz="4" w:space="0" w:color="auto"/>
            </w:tcBorders>
            <w:vAlign w:val="center"/>
          </w:tcPr>
          <w:p w14:paraId="425AF711"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Q4 2026</w:t>
            </w:r>
          </w:p>
        </w:tc>
      </w:tr>
      <w:tr w:rsidR="004A79F5" w:rsidRPr="004A79F5" w14:paraId="7D4633F7" w14:textId="77777777" w:rsidTr="006E0577">
        <w:trPr>
          <w:trHeight w:val="397"/>
        </w:trPr>
        <w:tc>
          <w:tcPr>
            <w:tcW w:w="936" w:type="dxa"/>
            <w:shd w:val="clear" w:color="auto" w:fill="95B3D7"/>
            <w:vAlign w:val="center"/>
          </w:tcPr>
          <w:p w14:paraId="429EF2FD" w14:textId="59CEF24A" w:rsidR="00A27D25" w:rsidRPr="00323814" w:rsidRDefault="009854DA" w:rsidP="00A27D25">
            <w:pPr>
              <w:suppressAutoHyphens w:val="0"/>
              <w:jc w:val="center"/>
              <w:rPr>
                <w:rFonts w:ascii="Times New Roman" w:hAnsi="Times New Roman" w:cs="Times New Roman"/>
                <w:noProof/>
                <w:lang w:val="en-IE"/>
              </w:rPr>
            </w:pPr>
            <w:r w:rsidRPr="00323814">
              <w:rPr>
                <w:rFonts w:ascii="Times New Roman" w:hAnsi="Times New Roman" w:cs="Times New Roman"/>
                <w:b/>
                <w:bCs/>
                <w:noProof/>
                <w:lang w:val="en-IE"/>
              </w:rPr>
              <w:t>Status</w:t>
            </w:r>
          </w:p>
        </w:tc>
        <w:tc>
          <w:tcPr>
            <w:tcW w:w="6577" w:type="dxa"/>
            <w:tcBorders>
              <w:top w:val="nil"/>
              <w:left w:val="single" w:sz="4" w:space="0" w:color="auto"/>
              <w:bottom w:val="single" w:sz="4" w:space="0" w:color="auto"/>
              <w:right w:val="single" w:sz="4" w:space="0" w:color="auto"/>
            </w:tcBorders>
            <w:shd w:val="clear" w:color="auto" w:fill="95B3D7"/>
            <w:vAlign w:val="center"/>
          </w:tcPr>
          <w:p w14:paraId="66DCAE32" w14:textId="77777777" w:rsidR="00A27D25" w:rsidRPr="00323814" w:rsidRDefault="00A27D25" w:rsidP="00A27D25">
            <w:pPr>
              <w:suppressAutoHyphens w:val="0"/>
              <w:rPr>
                <w:rFonts w:ascii="Times New Roman" w:hAnsi="Times New Roman" w:cs="Times New Roman"/>
                <w:b/>
                <w:bCs/>
                <w:noProof/>
              </w:rPr>
            </w:pPr>
            <w:r w:rsidRPr="00323814">
              <w:rPr>
                <w:rFonts w:ascii="Times New Roman" w:hAnsi="Times New Roman" w:cs="Times New Roman"/>
                <w:b/>
                <w:bCs/>
                <w:noProof/>
              </w:rPr>
              <w:t>Chapter 5. Enforcing respect of Single Market rules</w:t>
            </w:r>
          </w:p>
        </w:tc>
        <w:tc>
          <w:tcPr>
            <w:tcW w:w="1843" w:type="dxa"/>
            <w:shd w:val="clear" w:color="auto" w:fill="95B3D7"/>
            <w:vAlign w:val="center"/>
          </w:tcPr>
          <w:p w14:paraId="3B13AFA6" w14:textId="388A5BB6" w:rsidR="00A27D25" w:rsidRPr="00323814" w:rsidRDefault="00F54A6C" w:rsidP="00A27D25">
            <w:pPr>
              <w:suppressAutoHyphens w:val="0"/>
              <w:jc w:val="center"/>
              <w:rPr>
                <w:rFonts w:ascii="Times New Roman" w:hAnsi="Times New Roman" w:cs="Times New Roman"/>
                <w:noProof/>
              </w:rPr>
            </w:pPr>
            <w:r w:rsidRPr="00323814">
              <w:rPr>
                <w:rFonts w:ascii="Times New Roman" w:hAnsi="Times New Roman" w:cs="Times New Roman"/>
                <w:b/>
                <w:bCs/>
                <w:noProof/>
                <w:lang w:val="en-IE"/>
              </w:rPr>
              <w:t>Timeline</w:t>
            </w:r>
          </w:p>
        </w:tc>
      </w:tr>
      <w:tr w:rsidR="004A79F5" w:rsidRPr="004A79F5" w14:paraId="085554B5" w14:textId="77777777" w:rsidTr="006E0577">
        <w:trPr>
          <w:trHeight w:val="397"/>
        </w:trPr>
        <w:tc>
          <w:tcPr>
            <w:tcW w:w="936" w:type="dxa"/>
            <w:shd w:val="clear" w:color="auto" w:fill="C2D69B"/>
            <w:vAlign w:val="center"/>
          </w:tcPr>
          <w:p w14:paraId="09448192" w14:textId="2A09F8A1" w:rsidR="00A27D25" w:rsidRPr="0065549F" w:rsidRDefault="006F7BA2"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2D46899E" wp14:editId="50F9AEF6">
                  <wp:extent cx="161925" cy="142875"/>
                  <wp:effectExtent l="0" t="0" r="9525" b="9525"/>
                  <wp:docPr id="15136370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r:link="rId110"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p>
        </w:tc>
        <w:tc>
          <w:tcPr>
            <w:tcW w:w="6577" w:type="dxa"/>
            <w:tcBorders>
              <w:top w:val="nil"/>
              <w:left w:val="single" w:sz="4" w:space="0" w:color="auto"/>
              <w:bottom w:val="single" w:sz="4" w:space="0" w:color="auto"/>
              <w:right w:val="single" w:sz="4" w:space="0" w:color="auto"/>
            </w:tcBorders>
            <w:shd w:val="clear" w:color="auto" w:fill="C2D69B"/>
            <w:vAlign w:val="center"/>
          </w:tcPr>
          <w:p w14:paraId="242B74D0" w14:textId="77777777" w:rsidR="00A27D25" w:rsidRPr="0065549F" w:rsidRDefault="00A27D25" w:rsidP="00A27D2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rPr>
              <w:t>Strengthening of national SOLVIT centres and whole network</w:t>
            </w:r>
          </w:p>
        </w:tc>
        <w:tc>
          <w:tcPr>
            <w:tcW w:w="1843" w:type="dxa"/>
            <w:shd w:val="clear" w:color="auto" w:fill="C2D69B"/>
            <w:vAlign w:val="center"/>
          </w:tcPr>
          <w:p w14:paraId="322D20F0" w14:textId="45D4EF56"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Q4 2025</w:t>
            </w:r>
          </w:p>
        </w:tc>
      </w:tr>
      <w:tr w:rsidR="004A79F5" w:rsidRPr="004A79F5" w14:paraId="517164EE" w14:textId="77777777" w:rsidTr="006E0577">
        <w:trPr>
          <w:trHeight w:val="397"/>
        </w:trPr>
        <w:tc>
          <w:tcPr>
            <w:tcW w:w="936" w:type="dxa"/>
            <w:shd w:val="clear" w:color="auto" w:fill="C2D69B"/>
            <w:vAlign w:val="center"/>
          </w:tcPr>
          <w:p w14:paraId="4C9F5C19" w14:textId="05D171DF" w:rsidR="00A27D25" w:rsidRPr="0065549F" w:rsidRDefault="00591560"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1468EA7D" wp14:editId="17F8833F">
                  <wp:extent cx="161925" cy="142875"/>
                  <wp:effectExtent l="0" t="0" r="9525" b="9525"/>
                  <wp:docPr id="1438121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r:link="rId110"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p>
        </w:tc>
        <w:tc>
          <w:tcPr>
            <w:tcW w:w="6577" w:type="dxa"/>
            <w:tcBorders>
              <w:top w:val="nil"/>
              <w:left w:val="single" w:sz="4" w:space="0" w:color="auto"/>
              <w:bottom w:val="single" w:sz="4" w:space="0" w:color="auto"/>
              <w:right w:val="single" w:sz="4" w:space="0" w:color="auto"/>
            </w:tcBorders>
            <w:shd w:val="clear" w:color="auto" w:fill="C2D69B"/>
            <w:vAlign w:val="center"/>
          </w:tcPr>
          <w:p w14:paraId="189D1BB4" w14:textId="29D3102C" w:rsidR="00A27D25" w:rsidRPr="0065549F" w:rsidRDefault="00A27D25" w:rsidP="00A27D2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rPr>
              <w:t xml:space="preserve">Systematic follow-up by </w:t>
            </w:r>
            <w:r w:rsidR="007B7CE7" w:rsidRPr="0065549F">
              <w:rPr>
                <w:rFonts w:ascii="Times New Roman" w:hAnsi="Times New Roman" w:cs="Times New Roman"/>
                <w:noProof/>
                <w:sz w:val="20"/>
                <w:szCs w:val="20"/>
              </w:rPr>
              <w:t xml:space="preserve">the </w:t>
            </w:r>
            <w:r w:rsidRPr="0065549F">
              <w:rPr>
                <w:rFonts w:ascii="Times New Roman" w:hAnsi="Times New Roman" w:cs="Times New Roman"/>
                <w:noProof/>
                <w:sz w:val="20"/>
                <w:szCs w:val="20"/>
              </w:rPr>
              <w:t xml:space="preserve">Commission and </w:t>
            </w:r>
            <w:r w:rsidR="007B7CE7" w:rsidRPr="0065549F">
              <w:rPr>
                <w:rFonts w:ascii="Times New Roman" w:hAnsi="Times New Roman" w:cs="Times New Roman"/>
                <w:noProof/>
                <w:sz w:val="20"/>
                <w:szCs w:val="20"/>
              </w:rPr>
              <w:t xml:space="preserve">the Member States </w:t>
            </w:r>
            <w:r w:rsidRPr="0065549F">
              <w:rPr>
                <w:rFonts w:ascii="Times New Roman" w:hAnsi="Times New Roman" w:cs="Times New Roman"/>
                <w:noProof/>
                <w:sz w:val="20"/>
                <w:szCs w:val="20"/>
              </w:rPr>
              <w:t>on structural issues identified by SOLVIT and on barriers, where SMET efforts have not been successful</w:t>
            </w:r>
          </w:p>
        </w:tc>
        <w:tc>
          <w:tcPr>
            <w:tcW w:w="1843" w:type="dxa"/>
            <w:shd w:val="clear" w:color="auto" w:fill="C2D69B"/>
            <w:vAlign w:val="center"/>
          </w:tcPr>
          <w:p w14:paraId="5E3C7C17" w14:textId="7777777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rPr>
              <w:t>As of Q2 2025</w:t>
            </w:r>
          </w:p>
        </w:tc>
      </w:tr>
      <w:tr w:rsidR="004A79F5" w:rsidRPr="004A79F5" w14:paraId="6E687265" w14:textId="77777777" w:rsidTr="006E0577">
        <w:trPr>
          <w:trHeight w:val="397"/>
        </w:trPr>
        <w:tc>
          <w:tcPr>
            <w:tcW w:w="936" w:type="dxa"/>
            <w:shd w:val="clear" w:color="auto" w:fill="C2D69B"/>
            <w:vAlign w:val="center"/>
          </w:tcPr>
          <w:p w14:paraId="0639F1DB" w14:textId="344F54D7" w:rsidR="00A27D25" w:rsidRPr="0065549F" w:rsidRDefault="00A27D25" w:rsidP="00A27D25">
            <w:pPr>
              <w:suppressAutoHyphens w:val="0"/>
              <w:jc w:val="center"/>
              <w:rPr>
                <w:rFonts w:ascii="Times New Roman" w:hAnsi="Times New Roman" w:cs="Times New Roman"/>
                <w:noProof/>
                <w:sz w:val="20"/>
                <w:szCs w:val="20"/>
                <w:lang w:val="en-IE"/>
              </w:rPr>
            </w:pPr>
            <w:r w:rsidRPr="0065549F">
              <w:rPr>
                <w:rFonts w:ascii="Times New Roman" w:hAnsi="Times New Roman" w:cs="Times New Roman"/>
                <w:noProof/>
                <w:sz w:val="20"/>
                <w:szCs w:val="20"/>
                <w:lang w:eastAsia="en-GB"/>
              </w:rPr>
              <w:drawing>
                <wp:inline distT="0" distB="0" distL="0" distR="0" wp14:anchorId="6379CFB6" wp14:editId="53225C65">
                  <wp:extent cx="161925" cy="142875"/>
                  <wp:effectExtent l="0" t="0" r="9525" b="9525"/>
                  <wp:docPr id="11196142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p>
        </w:tc>
        <w:tc>
          <w:tcPr>
            <w:tcW w:w="6577" w:type="dxa"/>
            <w:tcBorders>
              <w:top w:val="single" w:sz="4" w:space="0" w:color="auto"/>
              <w:left w:val="single" w:sz="4" w:space="0" w:color="auto"/>
              <w:bottom w:val="single" w:sz="4" w:space="0" w:color="auto"/>
              <w:right w:val="single" w:sz="4" w:space="0" w:color="auto"/>
            </w:tcBorders>
            <w:shd w:val="clear" w:color="auto" w:fill="C2D69B"/>
            <w:vAlign w:val="center"/>
          </w:tcPr>
          <w:p w14:paraId="7800078B" w14:textId="485AAA7E" w:rsidR="00A27D25" w:rsidRPr="0065549F" w:rsidRDefault="00A27D25" w:rsidP="00A27D25">
            <w:pPr>
              <w:suppressAutoHyphens w:val="0"/>
              <w:rPr>
                <w:rFonts w:ascii="Times New Roman" w:hAnsi="Times New Roman" w:cs="Times New Roman"/>
                <w:noProof/>
                <w:sz w:val="20"/>
                <w:szCs w:val="20"/>
              </w:rPr>
            </w:pPr>
            <w:r w:rsidRPr="0065549F">
              <w:rPr>
                <w:rFonts w:ascii="Times New Roman" w:hAnsi="Times New Roman" w:cs="Times New Roman"/>
                <w:noProof/>
                <w:sz w:val="20"/>
                <w:szCs w:val="20"/>
              </w:rPr>
              <w:t>First Annual Single Market enforcement agenda</w:t>
            </w:r>
            <w:r w:rsidR="009B64D0">
              <w:rPr>
                <w:rStyle w:val="EndnoteReference"/>
                <w:rFonts w:ascii="Times New Roman" w:hAnsi="Times New Roman" w:cs="Times New Roman"/>
                <w:noProof/>
                <w:sz w:val="20"/>
                <w:szCs w:val="20"/>
              </w:rPr>
              <w:endnoteReference w:id="83"/>
            </w:r>
          </w:p>
        </w:tc>
        <w:tc>
          <w:tcPr>
            <w:tcW w:w="1843" w:type="dxa"/>
            <w:shd w:val="clear" w:color="auto" w:fill="C2D69B"/>
            <w:vAlign w:val="center"/>
          </w:tcPr>
          <w:p w14:paraId="342E470C" w14:textId="6EAD9001" w:rsidR="00A27D25" w:rsidRPr="0065549F" w:rsidRDefault="00835626" w:rsidP="00A27D25">
            <w:pPr>
              <w:suppressAutoHyphens w:val="0"/>
              <w:jc w:val="center"/>
              <w:rPr>
                <w:rFonts w:ascii="Times New Roman" w:hAnsi="Times New Roman" w:cs="Times New Roman"/>
                <w:noProof/>
                <w:sz w:val="20"/>
                <w:szCs w:val="20"/>
                <w:lang w:val="en-IE"/>
              </w:rPr>
            </w:pPr>
            <w:r w:rsidRPr="006E0577">
              <w:rPr>
                <w:rFonts w:ascii="Times New Roman" w:hAnsi="Times New Roman" w:cs="Times New Roman"/>
                <w:noProof/>
                <w:sz w:val="20"/>
                <w:szCs w:val="20"/>
              </w:rPr>
              <w:t>29 January 2026</w:t>
            </w:r>
          </w:p>
        </w:tc>
      </w:tr>
    </w:tbl>
    <w:p w14:paraId="3D1D3CD7" w14:textId="77777777" w:rsidR="000870B7" w:rsidRDefault="000870B7" w:rsidP="00334333">
      <w:pPr>
        <w:pStyle w:val="Source"/>
        <w:spacing w:after="0" w:line="250" w:lineRule="auto"/>
        <w:rPr>
          <w:noProof/>
          <w:color w:val="auto"/>
          <w:lang w:val="en-IE"/>
        </w:rPr>
      </w:pPr>
    </w:p>
    <w:tbl>
      <w:tblPr>
        <w:tblStyle w:val="TableGrid5"/>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4661"/>
      </w:tblGrid>
      <w:tr w:rsidR="008A0C9E" w:rsidRPr="00486446" w14:paraId="25696335" w14:textId="42FBF9D7" w:rsidTr="00F8235D">
        <w:tc>
          <w:tcPr>
            <w:tcW w:w="4661" w:type="dxa"/>
          </w:tcPr>
          <w:p w14:paraId="42CA9CF0" w14:textId="396D66AA" w:rsidR="008A0C9E" w:rsidRPr="00486446" w:rsidRDefault="008A0C9E" w:rsidP="007F4028">
            <w:pPr>
              <w:suppressAutoHyphens w:val="0"/>
              <w:ind w:left="464" w:hanging="464"/>
              <w:rPr>
                <w:rFonts w:ascii="Times New Roman" w:hAnsi="Times New Roman" w:cs="Times New Roman"/>
                <w:noProof/>
                <w:sz w:val="20"/>
                <w:szCs w:val="20"/>
              </w:rPr>
            </w:pPr>
            <w:r w:rsidRPr="00486446">
              <w:rPr>
                <w:rFonts w:ascii="Times New Roman" w:hAnsi="Times New Roman" w:cs="Times New Roman"/>
                <w:noProof/>
                <w:sz w:val="20"/>
                <w:szCs w:val="20"/>
                <w:lang w:eastAsia="en-GB"/>
              </w:rPr>
              <w:drawing>
                <wp:anchor distT="0" distB="0" distL="114300" distR="114300" simplePos="0" relativeHeight="251658241" behindDoc="0" locked="0" layoutInCell="1" allowOverlap="1" wp14:anchorId="570FB50E" wp14:editId="5F105E3E">
                  <wp:simplePos x="0" y="0"/>
                  <wp:positionH relativeFrom="column">
                    <wp:posOffset>0</wp:posOffset>
                  </wp:positionH>
                  <wp:positionV relativeFrom="paragraph">
                    <wp:posOffset>3258</wp:posOffset>
                  </wp:positionV>
                  <wp:extent cx="161925" cy="142875"/>
                  <wp:effectExtent l="0" t="0" r="9525" b="9525"/>
                  <wp:wrapSquare wrapText="bothSides"/>
                  <wp:docPr id="11959301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r:link="rId110"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446">
              <w:rPr>
                <w:rFonts w:ascii="Times New Roman" w:hAnsi="Times New Roman" w:cs="Times New Roman"/>
                <w:noProof/>
                <w:sz w:val="20"/>
                <w:szCs w:val="20"/>
              </w:rPr>
              <w:t xml:space="preserve"> </w:t>
            </w:r>
            <w:r w:rsidR="00997823">
              <w:rPr>
                <w:rFonts w:ascii="Times New Roman" w:hAnsi="Times New Roman" w:cs="Times New Roman"/>
                <w:noProof/>
                <w:sz w:val="20"/>
                <w:szCs w:val="20"/>
              </w:rPr>
              <w:t>Proposal adopted</w:t>
            </w:r>
            <w:r w:rsidR="007701AD">
              <w:rPr>
                <w:rFonts w:ascii="Times New Roman" w:hAnsi="Times New Roman" w:cs="Times New Roman"/>
                <w:noProof/>
                <w:sz w:val="20"/>
                <w:szCs w:val="20"/>
              </w:rPr>
              <w:t xml:space="preserve"> / </w:t>
            </w:r>
            <w:r w:rsidR="007B00AB" w:rsidRPr="007B00AB">
              <w:rPr>
                <w:rFonts w:ascii="Times New Roman" w:hAnsi="Times New Roman" w:cs="Times New Roman"/>
                <w:noProof/>
                <w:sz w:val="20"/>
                <w:szCs w:val="20"/>
              </w:rPr>
              <w:t xml:space="preserve">For legal </w:t>
            </w:r>
            <w:r w:rsidR="00CD41E9">
              <w:rPr>
                <w:rFonts w:ascii="Times New Roman" w:hAnsi="Times New Roman" w:cs="Times New Roman"/>
                <w:noProof/>
                <w:sz w:val="20"/>
                <w:szCs w:val="20"/>
              </w:rPr>
              <w:t>proposals</w:t>
            </w:r>
            <w:r w:rsidR="007B00AB" w:rsidRPr="007B00AB">
              <w:rPr>
                <w:rFonts w:ascii="Times New Roman" w:hAnsi="Times New Roman" w:cs="Times New Roman"/>
                <w:noProof/>
                <w:sz w:val="20"/>
                <w:szCs w:val="20"/>
              </w:rPr>
              <w:t xml:space="preserve">, </w:t>
            </w:r>
            <w:r w:rsidR="007F4028" w:rsidRPr="007F4028">
              <w:rPr>
                <w:rFonts w:ascii="Times New Roman" w:hAnsi="Times New Roman" w:cs="Times New Roman"/>
                <w:noProof/>
                <w:sz w:val="20"/>
                <w:szCs w:val="20"/>
              </w:rPr>
              <w:t>indicates adoption by both the European Parliament and the Counci</w:t>
            </w:r>
            <w:r w:rsidR="007B1F44">
              <w:rPr>
                <w:rFonts w:ascii="Times New Roman" w:hAnsi="Times New Roman" w:cs="Times New Roman"/>
                <w:noProof/>
                <w:sz w:val="20"/>
                <w:szCs w:val="20"/>
              </w:rPr>
              <w:t>l</w:t>
            </w:r>
          </w:p>
        </w:tc>
        <w:tc>
          <w:tcPr>
            <w:tcW w:w="4661" w:type="dxa"/>
          </w:tcPr>
          <w:p w14:paraId="71F37F59" w14:textId="77777777" w:rsidR="008A0C9E" w:rsidRPr="00486446" w:rsidRDefault="008A0C9E" w:rsidP="007F4028">
            <w:pPr>
              <w:suppressAutoHyphens w:val="0"/>
              <w:ind w:left="550" w:hanging="550"/>
              <w:rPr>
                <w:rFonts w:ascii="Times New Roman" w:hAnsi="Times New Roman" w:cs="Times New Roman"/>
                <w:noProof/>
                <w:sz w:val="20"/>
                <w:szCs w:val="20"/>
                <w:lang w:val="en-IE"/>
              </w:rPr>
            </w:pPr>
            <w:r w:rsidRPr="00486446">
              <w:rPr>
                <w:rFonts w:ascii="Times New Roman" w:hAnsi="Times New Roman" w:cs="Times New Roman"/>
                <w:noProof/>
                <w:sz w:val="20"/>
                <w:szCs w:val="20"/>
                <w:lang w:eastAsia="en-GB"/>
              </w:rPr>
              <w:drawing>
                <wp:anchor distT="0" distB="0" distL="114300" distR="114300" simplePos="0" relativeHeight="251658240" behindDoc="0" locked="0" layoutInCell="1" allowOverlap="1" wp14:anchorId="278BB0BE" wp14:editId="59E270DB">
                  <wp:simplePos x="0" y="0"/>
                  <wp:positionH relativeFrom="column">
                    <wp:posOffset>-414</wp:posOffset>
                  </wp:positionH>
                  <wp:positionV relativeFrom="paragraph">
                    <wp:posOffset>3258</wp:posOffset>
                  </wp:positionV>
                  <wp:extent cx="209550" cy="209550"/>
                  <wp:effectExtent l="0" t="0" r="0" b="0"/>
                  <wp:wrapSquare wrapText="bothSides"/>
                  <wp:docPr id="2054610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r:link="rId112"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446">
              <w:rPr>
                <w:rFonts w:ascii="Times New Roman" w:hAnsi="Times New Roman" w:cs="Times New Roman"/>
                <w:noProof/>
                <w:sz w:val="20"/>
                <w:szCs w:val="20"/>
                <w:lang w:val="en-IE"/>
              </w:rPr>
              <w:t xml:space="preserve"> Legal proposal presented by the Commission and currently under adoption by the European Parliament and the Council</w:t>
            </w:r>
          </w:p>
        </w:tc>
      </w:tr>
    </w:tbl>
    <w:p w14:paraId="75AE60D9" w14:textId="77777777" w:rsidR="00901942" w:rsidRDefault="00901942">
      <w:pPr>
        <w:suppressAutoHyphens w:val="0"/>
        <w:rPr>
          <w:rFonts w:ascii="Times New Roman" w:hAnsi="Times New Roman" w:cs="Times New Roman"/>
          <w:b/>
          <w:noProof/>
          <w:sz w:val="28"/>
          <w:szCs w:val="28"/>
          <w:lang w:val="en-IE"/>
        </w:rPr>
      </w:pPr>
    </w:p>
    <w:p w14:paraId="07997C12" w14:textId="77777777" w:rsidR="00B60FBA" w:rsidRDefault="00B60FBA">
      <w:pPr>
        <w:suppressAutoHyphens w:val="0"/>
        <w:rPr>
          <w:rFonts w:ascii="Times New Roman" w:hAnsi="Times New Roman" w:cs="Times New Roman"/>
          <w:b/>
          <w:noProof/>
          <w:sz w:val="28"/>
          <w:szCs w:val="28"/>
          <w:lang w:val="en-IE"/>
        </w:rPr>
      </w:pPr>
    </w:p>
    <w:p w14:paraId="3B3DB822" w14:textId="137A755F" w:rsidR="00901942" w:rsidRDefault="00901942">
      <w:pPr>
        <w:suppressAutoHyphens w:val="0"/>
        <w:rPr>
          <w:rFonts w:ascii="Times New Roman" w:hAnsi="Times New Roman" w:cs="Times New Roman"/>
          <w:b/>
          <w:noProof/>
          <w:sz w:val="28"/>
          <w:szCs w:val="28"/>
          <w:lang w:val="en-IE"/>
        </w:rPr>
        <w:sectPr w:rsidR="00901942" w:rsidSect="0069005D">
          <w:headerReference w:type="even" r:id="rId125"/>
          <w:headerReference w:type="default" r:id="rId126"/>
          <w:footerReference w:type="even" r:id="rId127"/>
          <w:footerReference w:type="default" r:id="rId128"/>
          <w:headerReference w:type="first" r:id="rId129"/>
          <w:footerReference w:type="first" r:id="rId130"/>
          <w:endnotePr>
            <w:numFmt w:val="decimal"/>
            <w:numRestart w:val="eachSect"/>
          </w:endnotePr>
          <w:type w:val="continuous"/>
          <w:pgSz w:w="11906" w:h="16838"/>
          <w:pgMar w:top="1440" w:right="1440" w:bottom="1418" w:left="1440" w:header="709" w:footer="147" w:gutter="0"/>
          <w:cols w:space="720"/>
        </w:sectPr>
      </w:pPr>
    </w:p>
    <w:p w14:paraId="7A3A2811" w14:textId="3118BE94" w:rsidR="002E6CD5" w:rsidRDefault="009260D7" w:rsidP="00A56BEA">
      <w:pPr>
        <w:pStyle w:val="Heading1"/>
        <w:spacing w:before="0" w:after="160" w:line="250" w:lineRule="auto"/>
        <w:rPr>
          <w:rFonts w:ascii="Times New Roman" w:hAnsi="Times New Roman"/>
          <w:b/>
          <w:noProof/>
          <w:sz w:val="28"/>
          <w:szCs w:val="28"/>
          <w:lang w:val="en-IE"/>
        </w:rPr>
      </w:pPr>
      <w:r>
        <w:rPr>
          <w:rFonts w:ascii="Times New Roman" w:hAnsi="Times New Roman"/>
          <w:b/>
          <w:noProof/>
          <w:sz w:val="28"/>
          <w:szCs w:val="28"/>
          <w:lang w:val="en-IE"/>
        </w:rPr>
        <w:br w:type="page"/>
      </w:r>
    </w:p>
    <w:p w14:paraId="6D57435C" w14:textId="77777777" w:rsidR="00A56BEA" w:rsidRPr="00BC048A" w:rsidRDefault="00A56BEA" w:rsidP="00A56BEA">
      <w:pPr>
        <w:pStyle w:val="Heading1"/>
        <w:spacing w:before="0" w:after="160" w:line="250" w:lineRule="auto"/>
        <w:rPr>
          <w:rFonts w:ascii="Times New Roman" w:hAnsi="Times New Roman"/>
          <w:b/>
          <w:bCs/>
          <w:noProof/>
          <w:color w:val="auto"/>
          <w:sz w:val="28"/>
          <w:szCs w:val="28"/>
        </w:rPr>
      </w:pPr>
      <w:bookmarkStart w:id="171" w:name="_Toc220103472"/>
      <w:r w:rsidRPr="00BC048A">
        <w:rPr>
          <w:rFonts w:ascii="Times New Roman" w:hAnsi="Times New Roman"/>
          <w:b/>
          <w:bCs/>
          <w:noProof/>
          <w:color w:val="auto"/>
          <w:sz w:val="28"/>
          <w:szCs w:val="28"/>
        </w:rPr>
        <w:t>Annex 3</w:t>
      </w:r>
      <w:bookmarkEnd w:id="171"/>
    </w:p>
    <w:p w14:paraId="47C00068" w14:textId="4850A4CC" w:rsidR="00A56BEA" w:rsidRPr="00BC048A" w:rsidRDefault="00A56BEA" w:rsidP="00A56BEA">
      <w:pPr>
        <w:pStyle w:val="Heading1"/>
        <w:spacing w:before="0" w:after="160" w:line="250" w:lineRule="auto"/>
        <w:rPr>
          <w:rFonts w:ascii="Times New Roman" w:hAnsi="Times New Roman"/>
          <w:b/>
          <w:bCs/>
          <w:noProof/>
          <w:color w:val="auto"/>
          <w:sz w:val="28"/>
          <w:szCs w:val="28"/>
        </w:rPr>
      </w:pPr>
      <w:bookmarkStart w:id="172" w:name="_Toc220103473"/>
      <w:r w:rsidRPr="00BC048A">
        <w:rPr>
          <w:rFonts w:ascii="Times New Roman" w:hAnsi="Times New Roman"/>
          <w:b/>
          <w:bCs/>
          <w:noProof/>
          <w:color w:val="auto"/>
          <w:sz w:val="28"/>
          <w:szCs w:val="28"/>
        </w:rPr>
        <w:t xml:space="preserve">Overview of </w:t>
      </w:r>
      <w:r>
        <w:rPr>
          <w:rFonts w:ascii="Times New Roman" w:hAnsi="Times New Roman"/>
          <w:b/>
          <w:bCs/>
          <w:noProof/>
          <w:color w:val="auto"/>
          <w:sz w:val="28"/>
          <w:szCs w:val="28"/>
        </w:rPr>
        <w:t>r</w:t>
      </w:r>
      <w:r w:rsidRPr="00BC048A">
        <w:rPr>
          <w:rFonts w:ascii="Times New Roman" w:hAnsi="Times New Roman"/>
          <w:b/>
          <w:bCs/>
          <w:noProof/>
          <w:color w:val="auto"/>
          <w:sz w:val="28"/>
          <w:szCs w:val="28"/>
        </w:rPr>
        <w:t xml:space="preserve">esilience </w:t>
      </w:r>
      <w:r>
        <w:rPr>
          <w:rFonts w:ascii="Times New Roman" w:hAnsi="Times New Roman"/>
          <w:b/>
          <w:bCs/>
          <w:noProof/>
          <w:color w:val="auto"/>
          <w:sz w:val="28"/>
          <w:szCs w:val="28"/>
        </w:rPr>
        <w:t>m</w:t>
      </w:r>
      <w:r w:rsidRPr="00BC048A">
        <w:rPr>
          <w:rFonts w:ascii="Times New Roman" w:hAnsi="Times New Roman"/>
          <w:b/>
          <w:bCs/>
          <w:noProof/>
          <w:color w:val="auto"/>
          <w:sz w:val="28"/>
          <w:szCs w:val="28"/>
        </w:rPr>
        <w:t xml:space="preserve">easures by </w:t>
      </w:r>
      <w:r>
        <w:rPr>
          <w:rFonts w:ascii="Times New Roman" w:hAnsi="Times New Roman"/>
          <w:b/>
          <w:bCs/>
          <w:noProof/>
          <w:color w:val="auto"/>
          <w:sz w:val="28"/>
          <w:szCs w:val="28"/>
        </w:rPr>
        <w:t>s</w:t>
      </w:r>
      <w:r w:rsidRPr="00BC048A">
        <w:rPr>
          <w:rFonts w:ascii="Times New Roman" w:hAnsi="Times New Roman"/>
          <w:b/>
          <w:bCs/>
          <w:noProof/>
          <w:color w:val="auto"/>
          <w:sz w:val="28"/>
          <w:szCs w:val="28"/>
        </w:rPr>
        <w:t xml:space="preserve">elected </w:t>
      </w:r>
      <w:r>
        <w:rPr>
          <w:rFonts w:ascii="Times New Roman" w:hAnsi="Times New Roman"/>
          <w:b/>
          <w:bCs/>
          <w:noProof/>
          <w:color w:val="auto"/>
          <w:sz w:val="28"/>
          <w:szCs w:val="28"/>
        </w:rPr>
        <w:t>g</w:t>
      </w:r>
      <w:r w:rsidRPr="00BC048A">
        <w:rPr>
          <w:rFonts w:ascii="Times New Roman" w:hAnsi="Times New Roman"/>
          <w:b/>
          <w:bCs/>
          <w:noProof/>
          <w:color w:val="auto"/>
          <w:sz w:val="28"/>
          <w:szCs w:val="28"/>
        </w:rPr>
        <w:t xml:space="preserve">lobal </w:t>
      </w:r>
      <w:r>
        <w:rPr>
          <w:rFonts w:ascii="Times New Roman" w:hAnsi="Times New Roman"/>
          <w:b/>
          <w:bCs/>
          <w:noProof/>
          <w:color w:val="auto"/>
          <w:sz w:val="28"/>
          <w:szCs w:val="28"/>
        </w:rPr>
        <w:t>p</w:t>
      </w:r>
      <w:r w:rsidRPr="00BC048A">
        <w:rPr>
          <w:rFonts w:ascii="Times New Roman" w:hAnsi="Times New Roman"/>
          <w:b/>
          <w:bCs/>
          <w:noProof/>
          <w:color w:val="auto"/>
          <w:sz w:val="28"/>
          <w:szCs w:val="28"/>
        </w:rPr>
        <w:t>layers</w:t>
      </w:r>
      <w:bookmarkEnd w:id="172"/>
      <w:r w:rsidRPr="00BC048A">
        <w:rPr>
          <w:rFonts w:ascii="Times New Roman" w:hAnsi="Times New Roman"/>
          <w:b/>
          <w:bCs/>
          <w:noProof/>
          <w:color w:val="auto"/>
          <w:sz w:val="28"/>
          <w:szCs w:val="28"/>
        </w:rPr>
        <w:t xml:space="preserve"> </w:t>
      </w:r>
    </w:p>
    <w:p w14:paraId="2BDC637C" w14:textId="77777777" w:rsidR="00A56BEA" w:rsidRPr="00BC048A" w:rsidRDefault="00A56BEA" w:rsidP="00A56BEA">
      <w:pPr>
        <w:spacing w:after="160" w:line="250" w:lineRule="auto"/>
        <w:rPr>
          <w:noProof/>
        </w:rPr>
      </w:pPr>
    </w:p>
    <w:p w14:paraId="40E14D62" w14:textId="77777777" w:rsidR="00A56BEA" w:rsidRPr="00BC048A" w:rsidRDefault="00A56BEA" w:rsidP="00A56BEA">
      <w:pPr>
        <w:pStyle w:val="Heading2"/>
        <w:numPr>
          <w:ilvl w:val="0"/>
          <w:numId w:val="35"/>
        </w:numPr>
        <w:spacing w:before="0" w:after="160" w:line="250" w:lineRule="auto"/>
        <w:rPr>
          <w:rFonts w:ascii="Times New Roman" w:hAnsi="Times New Roman"/>
          <w:b/>
          <w:bCs/>
          <w:noProof/>
          <w:color w:val="auto"/>
          <w:sz w:val="28"/>
          <w:szCs w:val="28"/>
        </w:rPr>
      </w:pPr>
      <w:bookmarkStart w:id="173" w:name="_Toc220103474"/>
      <w:r w:rsidRPr="00BC048A">
        <w:rPr>
          <w:rFonts w:ascii="Times New Roman" w:hAnsi="Times New Roman"/>
          <w:b/>
          <w:bCs/>
          <w:noProof/>
          <w:color w:val="auto"/>
          <w:sz w:val="28"/>
          <w:szCs w:val="28"/>
        </w:rPr>
        <w:t>Introduction</w:t>
      </w:r>
      <w:bookmarkEnd w:id="173"/>
      <w:r w:rsidRPr="00BC048A">
        <w:rPr>
          <w:rFonts w:ascii="Times New Roman" w:hAnsi="Times New Roman"/>
          <w:b/>
          <w:bCs/>
          <w:noProof/>
          <w:color w:val="auto"/>
          <w:sz w:val="28"/>
          <w:szCs w:val="28"/>
        </w:rPr>
        <w:t xml:space="preserve"> </w:t>
      </w:r>
    </w:p>
    <w:p w14:paraId="12F1FA18" w14:textId="77777777" w:rsidR="00267A77" w:rsidRPr="00BC048A" w:rsidRDefault="00267A77" w:rsidP="00267A77">
      <w:pPr>
        <w:spacing w:after="160" w:line="250" w:lineRule="auto"/>
        <w:jc w:val="both"/>
        <w:rPr>
          <w:rFonts w:ascii="Times New Roman" w:eastAsia="Times New Roman" w:hAnsi="Times New Roman" w:cs="Times New Roman"/>
          <w:noProof/>
          <w:sz w:val="24"/>
          <w:szCs w:val="24"/>
        </w:rPr>
      </w:pPr>
    </w:p>
    <w:p w14:paraId="68142769" w14:textId="38609592" w:rsidR="00267A77" w:rsidRPr="00BC048A" w:rsidRDefault="00267A77" w:rsidP="00267A77">
      <w:pPr>
        <w:spacing w:after="160" w:line="250" w:lineRule="auto"/>
        <w:jc w:val="both"/>
        <w:rPr>
          <w:rFonts w:ascii="Times New Roman" w:eastAsia="Times New Roman" w:hAnsi="Times New Roman" w:cs="Times New Roman"/>
          <w:noProof/>
          <w:sz w:val="24"/>
          <w:szCs w:val="24"/>
        </w:rPr>
      </w:pPr>
      <w:bookmarkStart w:id="174" w:name="_Hlk219738936"/>
      <w:r w:rsidRPr="00BC048A">
        <w:rPr>
          <w:rFonts w:ascii="Times New Roman" w:eastAsia="Times New Roman" w:hAnsi="Times New Roman" w:cs="Times New Roman"/>
          <w:b/>
          <w:noProof/>
          <w:sz w:val="24"/>
          <w:szCs w:val="24"/>
        </w:rPr>
        <w:t xml:space="preserve">In </w:t>
      </w:r>
      <w:r w:rsidRPr="00BC048A">
        <w:rPr>
          <w:rFonts w:ascii="Times New Roman" w:eastAsia="Times New Roman" w:hAnsi="Times New Roman" w:cs="Times New Roman"/>
          <w:b/>
          <w:bCs/>
          <w:noProof/>
          <w:sz w:val="24"/>
          <w:szCs w:val="24"/>
        </w:rPr>
        <w:t>2025</w:t>
      </w:r>
      <w:r w:rsidRPr="00BC048A">
        <w:rPr>
          <w:rFonts w:ascii="Times New Roman" w:eastAsia="Times New Roman" w:hAnsi="Times New Roman" w:cs="Times New Roman"/>
          <w:noProof/>
          <w:sz w:val="24"/>
          <w:szCs w:val="24"/>
        </w:rPr>
        <w:t xml:space="preserve">, </w:t>
      </w:r>
      <w:r w:rsidRPr="00BC048A">
        <w:rPr>
          <w:rFonts w:ascii="Times New Roman" w:eastAsia="Times New Roman" w:hAnsi="Times New Roman" w:cs="Times New Roman"/>
          <w:b/>
          <w:bCs/>
          <w:noProof/>
          <w:sz w:val="24"/>
          <w:szCs w:val="24"/>
        </w:rPr>
        <w:t>a significant number of the EU’s main trading partners announced policy measures and partnerships aimed at bolstering the resilience of supply chains</w:t>
      </w:r>
      <w:r w:rsidRPr="00BC048A">
        <w:rPr>
          <w:rFonts w:ascii="Times New Roman" w:eastAsia="Times New Roman" w:hAnsi="Times New Roman" w:cs="Times New Roman"/>
          <w:noProof/>
          <w:sz w:val="24"/>
          <w:szCs w:val="24"/>
        </w:rPr>
        <w:t xml:space="preserve">. The accompanying international annex provides a non-exhaustive list of such measures, which only partially capture the full range of resilience efforts undertaken by partner countries throughout the year. The range and substance of the measures found reflect a global </w:t>
      </w:r>
      <w:r>
        <w:rPr>
          <w:rFonts w:ascii="Times New Roman" w:eastAsia="Times New Roman" w:hAnsi="Times New Roman" w:cs="Times New Roman"/>
          <w:noProof/>
          <w:sz w:val="24"/>
          <w:szCs w:val="24"/>
        </w:rPr>
        <w:t>drive</w:t>
      </w:r>
      <w:r w:rsidRPr="00BC048A">
        <w:rPr>
          <w:rFonts w:ascii="Times New Roman" w:eastAsia="Times New Roman" w:hAnsi="Times New Roman" w:cs="Times New Roman"/>
          <w:noProof/>
          <w:sz w:val="24"/>
          <w:szCs w:val="24"/>
        </w:rPr>
        <w:t xml:space="preserve"> to </w:t>
      </w:r>
      <w:r>
        <w:rPr>
          <w:rFonts w:ascii="Times New Roman" w:eastAsia="Times New Roman" w:hAnsi="Times New Roman" w:cs="Times New Roman"/>
          <w:noProof/>
          <w:sz w:val="24"/>
          <w:szCs w:val="24"/>
        </w:rPr>
        <w:t>improve</w:t>
      </w:r>
      <w:r w:rsidRPr="00BC048A">
        <w:rPr>
          <w:rFonts w:ascii="Times New Roman" w:eastAsia="Times New Roman" w:hAnsi="Times New Roman" w:cs="Times New Roman"/>
          <w:noProof/>
          <w:sz w:val="24"/>
          <w:szCs w:val="24"/>
        </w:rPr>
        <w:t xml:space="preserve"> supply chain resilience and economic security. The </w:t>
      </w:r>
      <w:r>
        <w:rPr>
          <w:rFonts w:ascii="Times New Roman" w:eastAsia="Times New Roman" w:hAnsi="Times New Roman" w:cs="Times New Roman"/>
          <w:noProof/>
          <w:sz w:val="24"/>
          <w:szCs w:val="24"/>
        </w:rPr>
        <w:t xml:space="preserve">EU’s trading partners have </w:t>
      </w:r>
      <w:r w:rsidRPr="00BC048A">
        <w:rPr>
          <w:rFonts w:ascii="Times New Roman" w:eastAsia="Times New Roman" w:hAnsi="Times New Roman" w:cs="Times New Roman"/>
          <w:noProof/>
          <w:sz w:val="24"/>
          <w:szCs w:val="24"/>
        </w:rPr>
        <w:t>adopt</w:t>
      </w:r>
      <w:r>
        <w:rPr>
          <w:rFonts w:ascii="Times New Roman" w:eastAsia="Times New Roman" w:hAnsi="Times New Roman" w:cs="Times New Roman"/>
          <w:noProof/>
          <w:sz w:val="24"/>
          <w:szCs w:val="24"/>
        </w:rPr>
        <w:t xml:space="preserve">ed </w:t>
      </w:r>
      <w:r w:rsidRPr="00BC048A">
        <w:rPr>
          <w:rFonts w:ascii="Times New Roman" w:eastAsia="Times New Roman" w:hAnsi="Times New Roman" w:cs="Times New Roman"/>
          <w:noProof/>
          <w:sz w:val="24"/>
          <w:szCs w:val="24"/>
        </w:rPr>
        <w:t xml:space="preserve">these measures </w:t>
      </w:r>
      <w:r>
        <w:rPr>
          <w:rFonts w:ascii="Times New Roman" w:eastAsia="Times New Roman" w:hAnsi="Times New Roman" w:cs="Times New Roman"/>
          <w:noProof/>
          <w:sz w:val="24"/>
          <w:szCs w:val="24"/>
        </w:rPr>
        <w:t xml:space="preserve">in </w:t>
      </w:r>
      <w:r w:rsidRPr="00BC048A">
        <w:rPr>
          <w:rFonts w:ascii="Times New Roman" w:eastAsia="Times New Roman" w:hAnsi="Times New Roman" w:cs="Times New Roman"/>
          <w:noProof/>
          <w:sz w:val="24"/>
          <w:szCs w:val="24"/>
        </w:rPr>
        <w:t xml:space="preserve">response to recent global shifts in trade policies and economic strategies, particularly in the United States, and </w:t>
      </w:r>
      <w:r>
        <w:rPr>
          <w:rFonts w:ascii="Times New Roman" w:eastAsia="Times New Roman" w:hAnsi="Times New Roman" w:cs="Times New Roman"/>
          <w:noProof/>
          <w:sz w:val="24"/>
          <w:szCs w:val="24"/>
        </w:rPr>
        <w:t xml:space="preserve">to </w:t>
      </w:r>
      <w:r w:rsidRPr="00BC048A">
        <w:rPr>
          <w:rFonts w:ascii="Times New Roman" w:eastAsia="Times New Roman" w:hAnsi="Times New Roman" w:cs="Times New Roman"/>
          <w:noProof/>
          <w:sz w:val="24"/>
          <w:szCs w:val="24"/>
        </w:rPr>
        <w:t>the weaponisation of dependencies</w:t>
      </w:r>
      <w:r>
        <w:rPr>
          <w:rFonts w:ascii="Times New Roman" w:eastAsia="Times New Roman" w:hAnsi="Times New Roman" w:cs="Times New Roman"/>
          <w:noProof/>
          <w:sz w:val="24"/>
          <w:szCs w:val="24"/>
        </w:rPr>
        <w:t>,</w:t>
      </w:r>
      <w:r w:rsidRPr="00BC048A">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for example </w:t>
      </w:r>
      <w:r w:rsidRPr="00BC048A">
        <w:rPr>
          <w:rFonts w:ascii="Times New Roman" w:eastAsia="Times New Roman" w:hAnsi="Times New Roman" w:cs="Times New Roman"/>
          <w:noProof/>
          <w:sz w:val="24"/>
          <w:szCs w:val="24"/>
        </w:rPr>
        <w:t xml:space="preserve">export restrictions announced by China. </w:t>
      </w:r>
    </w:p>
    <w:p w14:paraId="6838D16E" w14:textId="6207B61E" w:rsidR="00267A77" w:rsidRPr="00BC048A" w:rsidRDefault="00267A77" w:rsidP="00267A77">
      <w:pPr>
        <w:spacing w:after="160" w:line="250" w:lineRule="auto"/>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noProof/>
          <w:sz w:val="24"/>
          <w:szCs w:val="24"/>
        </w:rPr>
        <w:t xml:space="preserve">The critical raw materials sector </w:t>
      </w:r>
      <w:r>
        <w:rPr>
          <w:rFonts w:ascii="Times New Roman" w:eastAsia="Times New Roman" w:hAnsi="Times New Roman" w:cs="Times New Roman"/>
          <w:noProof/>
          <w:sz w:val="24"/>
          <w:szCs w:val="24"/>
        </w:rPr>
        <w:t>i</w:t>
      </w:r>
      <w:r w:rsidRPr="00BC048A">
        <w:rPr>
          <w:rFonts w:ascii="Times New Roman" w:eastAsia="Times New Roman" w:hAnsi="Times New Roman" w:cs="Times New Roman"/>
          <w:noProof/>
          <w:sz w:val="24"/>
          <w:szCs w:val="24"/>
        </w:rPr>
        <w:t xml:space="preserve">s illustrative of the broader </w:t>
      </w:r>
      <w:r>
        <w:rPr>
          <w:rFonts w:ascii="Times New Roman" w:eastAsia="Times New Roman" w:hAnsi="Times New Roman" w:cs="Times New Roman"/>
          <w:noProof/>
          <w:sz w:val="24"/>
          <w:szCs w:val="24"/>
        </w:rPr>
        <w:t xml:space="preserve">action taken </w:t>
      </w:r>
      <w:r w:rsidRPr="00BC048A">
        <w:rPr>
          <w:rFonts w:ascii="Times New Roman" w:eastAsia="Times New Roman" w:hAnsi="Times New Roman" w:cs="Times New Roman"/>
          <w:noProof/>
          <w:sz w:val="24"/>
          <w:szCs w:val="24"/>
        </w:rPr>
        <w:t>to enhance supply chain resilience in 2025. Over the last 15 years, there has been an increase in restrictions within this sector</w:t>
      </w:r>
      <w:r w:rsidRPr="00EC17DB">
        <w:rPr>
          <w:rStyle w:val="FootnoteReference"/>
          <w:rFonts w:ascii="Times New Roman" w:eastAsia="Times New Roman" w:hAnsi="Times New Roman" w:cs="Times New Roman"/>
          <w:noProof/>
          <w:sz w:val="24"/>
          <w:szCs w:val="24"/>
        </w:rPr>
        <w:footnoteReference w:id="31"/>
      </w:r>
      <w:r w:rsidRPr="00BC048A">
        <w:rPr>
          <w:rFonts w:ascii="Times New Roman" w:eastAsia="Times New Roman" w:hAnsi="Times New Roman" w:cs="Times New Roman"/>
          <w:noProof/>
          <w:sz w:val="24"/>
          <w:szCs w:val="24"/>
        </w:rPr>
        <w:t xml:space="preserve">, largely driven by export restrictions on rare earth elements and microchips imposed by China, coupled with geopolitical shifts in the US. </w:t>
      </w:r>
    </w:p>
    <w:p w14:paraId="66C748DE" w14:textId="5CE274CA" w:rsidR="00267A77" w:rsidRPr="00BC048A" w:rsidRDefault="00267A77" w:rsidP="00267A77">
      <w:pPr>
        <w:spacing w:after="160" w:line="250" w:lineRule="auto"/>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b/>
          <w:bCs/>
          <w:noProof/>
          <w:sz w:val="24"/>
          <w:szCs w:val="24"/>
        </w:rPr>
        <w:t>Figure 1</w:t>
      </w:r>
      <w:r w:rsidRPr="00BC048A">
        <w:rPr>
          <w:rFonts w:ascii="Times New Roman" w:eastAsia="Times New Roman" w:hAnsi="Times New Roman" w:cs="Times New Roman"/>
          <w:noProof/>
          <w:sz w:val="24"/>
          <w:szCs w:val="24"/>
        </w:rPr>
        <w:t>: Number of exported raw material</w:t>
      </w:r>
      <w:r>
        <w:rPr>
          <w:rFonts w:ascii="Times New Roman" w:eastAsia="Times New Roman" w:hAnsi="Times New Roman" w:cs="Times New Roman"/>
          <w:noProof/>
          <w:sz w:val="24"/>
          <w:szCs w:val="24"/>
        </w:rPr>
        <w:t>s</w:t>
      </w:r>
      <w:r w:rsidRPr="00BC048A">
        <w:rPr>
          <w:rFonts w:ascii="Times New Roman" w:eastAsia="Times New Roman" w:hAnsi="Times New Roman" w:cs="Times New Roman"/>
          <w:noProof/>
          <w:sz w:val="24"/>
          <w:szCs w:val="24"/>
        </w:rPr>
        <w:t xml:space="preserve"> subject to at least one export restriction measure</w:t>
      </w:r>
    </w:p>
    <w:p w14:paraId="064359AC" w14:textId="77777777" w:rsidR="00267A77" w:rsidRPr="00BC048A" w:rsidRDefault="00267A77" w:rsidP="00267A77">
      <w:pPr>
        <w:spacing w:after="160" w:line="250" w:lineRule="auto"/>
        <w:jc w:val="center"/>
        <w:rPr>
          <w:rFonts w:ascii="Times New Roman" w:eastAsia="Times New Roman" w:hAnsi="Times New Roman" w:cs="Times New Roman"/>
          <w:noProof/>
        </w:rPr>
      </w:pPr>
      <w:r w:rsidRPr="00BC048A">
        <w:rPr>
          <w:rFonts w:ascii="Times New Roman" w:eastAsia="Times New Roman" w:hAnsi="Times New Roman" w:cs="Times New Roman"/>
          <w:noProof/>
          <w:lang w:eastAsia="en-GB"/>
        </w:rPr>
        <w:drawing>
          <wp:inline distT="0" distB="0" distL="0" distR="0" wp14:anchorId="082BE9AC" wp14:editId="17B033B8">
            <wp:extent cx="5731510" cy="2836697"/>
            <wp:effectExtent l="0" t="0" r="2540" b="1905"/>
            <wp:docPr id="544883267" name="Picture 2" descr="A graph of a growing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456782" name="Picture 2" descr="A graph of a growing graph&#10;&#10;AI-generated content may be incorrect."/>
                    <pic:cNvPicPr>
                      <a:picLocks noChangeAspect="1" noChangeArrowheads="1"/>
                    </pic:cNvPicPr>
                  </pic:nvPicPr>
                  <pic:blipFill rotWithShape="1">
                    <a:blip r:embed="rId131" cstate="print">
                      <a:extLst>
                        <a:ext uri="{28A0092B-C50C-407E-A947-70E740481C1C}">
                          <a14:useLocalDpi xmlns:a14="http://schemas.microsoft.com/office/drawing/2010/main" val="0"/>
                        </a:ext>
                      </a:extLst>
                    </a:blip>
                    <a:srcRect/>
                    <a:stretch/>
                  </pic:blipFill>
                  <pic:spPr bwMode="auto">
                    <a:xfrm>
                      <a:off x="0" y="0"/>
                      <a:ext cx="5731510" cy="2836697"/>
                    </a:xfrm>
                    <a:prstGeom prst="rect">
                      <a:avLst/>
                    </a:prstGeom>
                    <a:noFill/>
                    <a:ln>
                      <a:noFill/>
                    </a:ln>
                    <a:extLst>
                      <a:ext uri="{53640926-AAD7-44D8-BBD7-CCE9431645EC}">
                        <a14:shadowObscured xmlns:a14="http://schemas.microsoft.com/office/drawing/2010/main"/>
                      </a:ext>
                    </a:extLst>
                  </pic:spPr>
                </pic:pic>
              </a:graphicData>
            </a:graphic>
          </wp:inline>
        </w:drawing>
      </w:r>
    </w:p>
    <w:p w14:paraId="60D3D9F9" w14:textId="77777777" w:rsidR="00267A77" w:rsidRPr="00BC048A" w:rsidRDefault="00267A77" w:rsidP="00267A77">
      <w:pPr>
        <w:spacing w:after="160" w:line="250" w:lineRule="auto"/>
        <w:rPr>
          <w:rFonts w:ascii="Times New Roman" w:eastAsia="Times New Roman" w:hAnsi="Times New Roman" w:cs="Times New Roman"/>
          <w:noProof/>
          <w:sz w:val="20"/>
          <w:szCs w:val="20"/>
        </w:rPr>
      </w:pPr>
      <w:r w:rsidRPr="00BC048A">
        <w:rPr>
          <w:rFonts w:ascii="Times New Roman" w:eastAsia="Times New Roman" w:hAnsi="Times New Roman" w:cs="Times New Roman"/>
          <w:noProof/>
          <w:sz w:val="20"/>
          <w:szCs w:val="20"/>
        </w:rPr>
        <w:t xml:space="preserve">Source: </w:t>
      </w:r>
      <w:hyperlink r:id="rId132" w:history="1">
        <w:r w:rsidRPr="00B53C1F">
          <w:rPr>
            <w:rStyle w:val="Hyperlink"/>
            <w:rFonts w:ascii="Times New Roman" w:eastAsia="Times New Roman" w:hAnsi="Times New Roman" w:cs="Times New Roman"/>
            <w:noProof/>
            <w:sz w:val="20"/>
            <w:szCs w:val="20"/>
          </w:rPr>
          <w:t>OECD Report on Economic Security in a Changing World</w:t>
        </w:r>
      </w:hyperlink>
    </w:p>
    <w:p w14:paraId="3A5E1207" w14:textId="54CA4A46" w:rsidR="00267A77" w:rsidRPr="00BC048A" w:rsidRDefault="00267A77" w:rsidP="00267A77">
      <w:pPr>
        <w:spacing w:after="160" w:line="250" w:lineRule="auto"/>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noProof/>
          <w:sz w:val="24"/>
          <w:szCs w:val="24"/>
        </w:rPr>
        <w:t>This trend extends beyond the critical raw materials sector. Recent years have seen a proliferation of policies aimed at strengthening supply chain resilience</w:t>
      </w:r>
      <w:r w:rsidRPr="00EC17DB">
        <w:rPr>
          <w:rStyle w:val="FootnoteReference"/>
          <w:rFonts w:ascii="Times New Roman" w:eastAsia="Times New Roman" w:hAnsi="Times New Roman" w:cs="Times New Roman"/>
          <w:noProof/>
          <w:sz w:val="24"/>
          <w:szCs w:val="24"/>
        </w:rPr>
        <w:footnoteReference w:id="32"/>
      </w:r>
      <w:r w:rsidRPr="00BC048A">
        <w:rPr>
          <w:rFonts w:ascii="Times New Roman" w:eastAsia="Times New Roman" w:hAnsi="Times New Roman" w:cs="Times New Roman"/>
          <w:noProof/>
          <w:sz w:val="24"/>
          <w:szCs w:val="24"/>
        </w:rPr>
        <w:t xml:space="preserve">. This emphasises the importance of deepening our understanding of policy developments in this area, and the urgent need for the EU to develop a foreign policy that aligns with its </w:t>
      </w:r>
      <w:r w:rsidR="00682506">
        <w:rPr>
          <w:rFonts w:ascii="Times New Roman" w:eastAsia="Times New Roman" w:hAnsi="Times New Roman" w:cs="Times New Roman"/>
          <w:noProof/>
          <w:sz w:val="24"/>
          <w:szCs w:val="24"/>
        </w:rPr>
        <w:t>S</w:t>
      </w:r>
      <w:r w:rsidRPr="00BC048A">
        <w:rPr>
          <w:rFonts w:ascii="Times New Roman" w:eastAsia="Times New Roman" w:hAnsi="Times New Roman" w:cs="Times New Roman"/>
          <w:noProof/>
          <w:sz w:val="24"/>
          <w:szCs w:val="24"/>
        </w:rPr>
        <w:t xml:space="preserve">ingle </w:t>
      </w:r>
      <w:r w:rsidR="00682506">
        <w:rPr>
          <w:rFonts w:ascii="Times New Roman" w:eastAsia="Times New Roman" w:hAnsi="Times New Roman" w:cs="Times New Roman"/>
          <w:noProof/>
          <w:sz w:val="24"/>
          <w:szCs w:val="24"/>
        </w:rPr>
        <w:t>M</w:t>
      </w:r>
      <w:r w:rsidRPr="00BC048A">
        <w:rPr>
          <w:rFonts w:ascii="Times New Roman" w:eastAsia="Times New Roman" w:hAnsi="Times New Roman" w:cs="Times New Roman"/>
          <w:noProof/>
          <w:sz w:val="24"/>
          <w:szCs w:val="24"/>
        </w:rPr>
        <w:t>arket.</w:t>
      </w:r>
    </w:p>
    <w:p w14:paraId="45E677F3" w14:textId="0DD1BCA2" w:rsidR="00267A77" w:rsidRPr="00BC048A" w:rsidRDefault="00267A77" w:rsidP="00267A77">
      <w:pPr>
        <w:spacing w:after="160" w:line="250" w:lineRule="auto"/>
        <w:jc w:val="both"/>
        <w:rPr>
          <w:rFonts w:ascii="Times New Roman" w:hAnsi="Times New Roman" w:cs="Times New Roman"/>
          <w:noProof/>
          <w:sz w:val="24"/>
          <w:szCs w:val="24"/>
        </w:rPr>
      </w:pPr>
      <w:r w:rsidRPr="00BC048A">
        <w:rPr>
          <w:rFonts w:ascii="Times New Roman" w:hAnsi="Times New Roman" w:cs="Times New Roman"/>
          <w:b/>
          <w:bCs/>
          <w:noProof/>
          <w:sz w:val="24"/>
          <w:szCs w:val="24"/>
        </w:rPr>
        <w:t>Figure 2</w:t>
      </w:r>
      <w:r w:rsidRPr="00BC048A">
        <w:rPr>
          <w:rFonts w:ascii="Times New Roman" w:hAnsi="Times New Roman" w:cs="Times New Roman"/>
          <w:noProof/>
          <w:sz w:val="24"/>
          <w:szCs w:val="24"/>
        </w:rPr>
        <w:t xml:space="preserve">: Number of trade policy measures and </w:t>
      </w:r>
      <w:r>
        <w:rPr>
          <w:rFonts w:ascii="Times New Roman" w:hAnsi="Times New Roman" w:cs="Times New Roman"/>
          <w:noProof/>
          <w:sz w:val="24"/>
          <w:szCs w:val="24"/>
        </w:rPr>
        <w:t>rationale, by year</w:t>
      </w:r>
    </w:p>
    <w:p w14:paraId="35948436" w14:textId="77777777" w:rsidR="00267A77" w:rsidRPr="00BC048A" w:rsidRDefault="00267A77" w:rsidP="00267A77">
      <w:pPr>
        <w:spacing w:after="160" w:line="250" w:lineRule="auto"/>
        <w:jc w:val="center"/>
        <w:rPr>
          <w:rFonts w:ascii="Times New Roman" w:eastAsia="Times New Roman" w:hAnsi="Times New Roman" w:cs="Times New Roman"/>
          <w:noProof/>
        </w:rPr>
      </w:pPr>
      <w:r w:rsidRPr="00BC048A">
        <w:rPr>
          <w:rFonts w:ascii="Times New Roman" w:eastAsia="Times New Roman" w:hAnsi="Times New Roman" w:cs="Times New Roman"/>
          <w:noProof/>
          <w:lang w:eastAsia="en-GB"/>
        </w:rPr>
        <w:drawing>
          <wp:inline distT="0" distB="0" distL="0" distR="0" wp14:anchorId="5DBCD137" wp14:editId="2FB30DBD">
            <wp:extent cx="5731510" cy="2850084"/>
            <wp:effectExtent l="0" t="0" r="2540" b="7620"/>
            <wp:docPr id="647133197" name="Picture 1" descr="A graph of a graph showing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866432" name="Picture 1" descr="A graph of a graph showing different colored lines&#10;&#10;AI-generated content may be incorrect."/>
                    <pic:cNvPicPr/>
                  </pic:nvPicPr>
                  <pic:blipFill rotWithShape="1">
                    <a:blip r:embed="rId133"/>
                    <a:srcRect t="8026"/>
                    <a:stretch/>
                  </pic:blipFill>
                  <pic:spPr bwMode="auto">
                    <a:xfrm>
                      <a:off x="0" y="0"/>
                      <a:ext cx="5731510" cy="2850084"/>
                    </a:xfrm>
                    <a:prstGeom prst="rect">
                      <a:avLst/>
                    </a:prstGeom>
                    <a:ln>
                      <a:noFill/>
                    </a:ln>
                    <a:extLst>
                      <a:ext uri="{53640926-AAD7-44D8-BBD7-CCE9431645EC}">
                        <a14:shadowObscured xmlns:a14="http://schemas.microsoft.com/office/drawing/2010/main"/>
                      </a:ext>
                    </a:extLst>
                  </pic:spPr>
                </pic:pic>
              </a:graphicData>
            </a:graphic>
          </wp:inline>
        </w:drawing>
      </w:r>
    </w:p>
    <w:p w14:paraId="1DA0EAC7" w14:textId="77777777" w:rsidR="00267A77" w:rsidRPr="00BC048A" w:rsidRDefault="00267A77" w:rsidP="00267A77">
      <w:pPr>
        <w:spacing w:after="160" w:line="250" w:lineRule="auto"/>
        <w:rPr>
          <w:rFonts w:ascii="Times New Roman" w:hAnsi="Times New Roman" w:cs="Times New Roman"/>
          <w:noProof/>
          <w:sz w:val="24"/>
          <w:szCs w:val="24"/>
        </w:rPr>
      </w:pPr>
      <w:r w:rsidRPr="00BC048A">
        <w:rPr>
          <w:rFonts w:ascii="Times New Roman" w:hAnsi="Times New Roman" w:cs="Times New Roman"/>
          <w:noProof/>
          <w:sz w:val="20"/>
          <w:szCs w:val="20"/>
        </w:rPr>
        <w:t xml:space="preserve">Source: </w:t>
      </w:r>
      <w:hyperlink r:id="rId134" w:history="1">
        <w:r w:rsidRPr="00B53C1F">
          <w:rPr>
            <w:rStyle w:val="Hyperlink"/>
            <w:rFonts w:ascii="Times New Roman" w:eastAsia="Times New Roman" w:hAnsi="Times New Roman" w:cs="Times New Roman"/>
            <w:noProof/>
            <w:sz w:val="20"/>
            <w:szCs w:val="20"/>
          </w:rPr>
          <w:t>IMF Working Paper on Industrial Policy since the Great Financial Crisis</w:t>
        </w:r>
      </w:hyperlink>
      <w:r w:rsidRPr="00BC048A">
        <w:rPr>
          <w:rStyle w:val="FootnoteReference"/>
          <w:noProof/>
        </w:rPr>
        <w:footnoteReference w:id="33"/>
      </w:r>
    </w:p>
    <w:p w14:paraId="415BA1FE" w14:textId="1E4E6636" w:rsidR="00267A77" w:rsidRPr="00BC048A" w:rsidRDefault="00267A77" w:rsidP="00267A77">
      <w:pPr>
        <w:spacing w:after="160" w:line="250" w:lineRule="auto"/>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noProof/>
          <w:sz w:val="24"/>
          <w:szCs w:val="24"/>
        </w:rPr>
        <w:t>Th</w:t>
      </w:r>
      <w:r>
        <w:rPr>
          <w:rFonts w:ascii="Times New Roman" w:eastAsia="Times New Roman" w:hAnsi="Times New Roman" w:cs="Times New Roman"/>
          <w:noProof/>
          <w:sz w:val="24"/>
          <w:szCs w:val="24"/>
        </w:rPr>
        <w:t>e</w:t>
      </w:r>
      <w:r w:rsidRPr="00BC048A">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aim of this </w:t>
      </w:r>
      <w:r w:rsidRPr="00BC048A">
        <w:rPr>
          <w:rFonts w:ascii="Times New Roman" w:eastAsia="Times New Roman" w:hAnsi="Times New Roman" w:cs="Times New Roman"/>
          <w:noProof/>
          <w:sz w:val="24"/>
          <w:szCs w:val="24"/>
        </w:rPr>
        <w:t xml:space="preserve">Annex </w:t>
      </w:r>
      <w:r>
        <w:rPr>
          <w:rFonts w:ascii="Times New Roman" w:eastAsia="Times New Roman" w:hAnsi="Times New Roman" w:cs="Times New Roman"/>
          <w:noProof/>
          <w:sz w:val="24"/>
          <w:szCs w:val="24"/>
        </w:rPr>
        <w:t xml:space="preserve">is </w:t>
      </w:r>
      <w:r w:rsidRPr="00BC048A">
        <w:rPr>
          <w:rFonts w:ascii="Times New Roman" w:eastAsia="Times New Roman" w:hAnsi="Times New Roman" w:cs="Times New Roman"/>
          <w:noProof/>
          <w:sz w:val="24"/>
          <w:szCs w:val="24"/>
        </w:rPr>
        <w:t xml:space="preserve">to give a non-exhaustive </w:t>
      </w:r>
      <w:r w:rsidRPr="00BC048A">
        <w:rPr>
          <w:rFonts w:ascii="Times New Roman" w:eastAsia="Times New Roman" w:hAnsi="Times New Roman" w:cs="Times New Roman"/>
          <w:b/>
          <w:noProof/>
          <w:sz w:val="24"/>
          <w:szCs w:val="24"/>
        </w:rPr>
        <w:t>picture</w:t>
      </w:r>
      <w:r w:rsidRPr="00EC17DB">
        <w:rPr>
          <w:rStyle w:val="FootnoteReference"/>
          <w:rFonts w:ascii="Times New Roman" w:eastAsia="Times New Roman" w:hAnsi="Times New Roman" w:cs="Times New Roman"/>
          <w:bCs/>
          <w:noProof/>
          <w:sz w:val="24"/>
          <w:szCs w:val="24"/>
        </w:rPr>
        <w:footnoteReference w:id="34"/>
      </w:r>
      <w:r w:rsidRPr="00BC048A">
        <w:rPr>
          <w:rFonts w:ascii="Times New Roman" w:eastAsia="Times New Roman" w:hAnsi="Times New Roman" w:cs="Times New Roman"/>
          <w:noProof/>
          <w:sz w:val="24"/>
          <w:szCs w:val="24"/>
        </w:rPr>
        <w:t xml:space="preserve">[2] </w:t>
      </w:r>
      <w:r w:rsidRPr="00BC048A">
        <w:rPr>
          <w:rFonts w:ascii="Times New Roman" w:eastAsia="Times New Roman" w:hAnsi="Times New Roman" w:cs="Times New Roman"/>
          <w:b/>
          <w:noProof/>
          <w:sz w:val="24"/>
          <w:szCs w:val="24"/>
        </w:rPr>
        <w:t xml:space="preserve">of the main policy measures and international partnerships </w:t>
      </w:r>
      <w:r w:rsidRPr="00EC17DB">
        <w:rPr>
          <w:rFonts w:ascii="Times New Roman" w:eastAsia="Times New Roman" w:hAnsi="Times New Roman" w:cs="Times New Roman"/>
          <w:bCs/>
          <w:noProof/>
          <w:sz w:val="24"/>
          <w:szCs w:val="24"/>
        </w:rPr>
        <w:t>adopted</w:t>
      </w:r>
      <w:r w:rsidRPr="00BC048A">
        <w:rPr>
          <w:rFonts w:ascii="Times New Roman" w:eastAsia="Times New Roman" w:hAnsi="Times New Roman" w:cs="Times New Roman"/>
          <w:noProof/>
          <w:sz w:val="24"/>
          <w:szCs w:val="24"/>
        </w:rPr>
        <w:t xml:space="preserve"> by some of the EU’s main international partners to reduce their strategic dependencies and </w:t>
      </w:r>
      <w:r>
        <w:rPr>
          <w:rFonts w:ascii="Times New Roman" w:eastAsia="Times New Roman" w:hAnsi="Times New Roman" w:cs="Times New Roman"/>
          <w:noProof/>
          <w:sz w:val="24"/>
          <w:szCs w:val="24"/>
        </w:rPr>
        <w:t xml:space="preserve">to </w:t>
      </w:r>
      <w:r w:rsidRPr="00BC048A">
        <w:rPr>
          <w:rFonts w:ascii="Times New Roman" w:eastAsia="Times New Roman" w:hAnsi="Times New Roman" w:cs="Times New Roman"/>
          <w:noProof/>
          <w:sz w:val="24"/>
          <w:szCs w:val="24"/>
        </w:rPr>
        <w:t xml:space="preserve">make their supply chains more resilient, especially in view of the digital and green transitions. </w:t>
      </w:r>
    </w:p>
    <w:p w14:paraId="736274F9" w14:textId="0F5DAE14" w:rsidR="00267A77" w:rsidRPr="00BC048A" w:rsidRDefault="00267A77" w:rsidP="00267A77">
      <w:pPr>
        <w:spacing w:after="160" w:line="250" w:lineRule="auto"/>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noProof/>
          <w:sz w:val="24"/>
          <w:szCs w:val="24"/>
        </w:rPr>
        <w:t>Gaining a better understanding of the me</w:t>
      </w:r>
      <w:r>
        <w:rPr>
          <w:rFonts w:ascii="Times New Roman" w:eastAsia="Times New Roman" w:hAnsi="Times New Roman" w:cs="Times New Roman"/>
          <w:noProof/>
          <w:sz w:val="24"/>
          <w:szCs w:val="24"/>
        </w:rPr>
        <w:t>thod</w:t>
      </w:r>
      <w:r w:rsidRPr="00BC048A">
        <w:rPr>
          <w:rFonts w:ascii="Times New Roman" w:eastAsia="Times New Roman" w:hAnsi="Times New Roman" w:cs="Times New Roman"/>
          <w:noProof/>
          <w:sz w:val="24"/>
          <w:szCs w:val="24"/>
        </w:rPr>
        <w:t xml:space="preserve">s </w:t>
      </w:r>
      <w:r>
        <w:rPr>
          <w:rFonts w:ascii="Times New Roman" w:eastAsia="Times New Roman" w:hAnsi="Times New Roman" w:cs="Times New Roman"/>
          <w:noProof/>
          <w:sz w:val="24"/>
          <w:szCs w:val="24"/>
        </w:rPr>
        <w:t>us</w:t>
      </w:r>
      <w:r w:rsidRPr="00BC048A">
        <w:rPr>
          <w:rFonts w:ascii="Times New Roman" w:eastAsia="Times New Roman" w:hAnsi="Times New Roman" w:cs="Times New Roman"/>
          <w:noProof/>
          <w:sz w:val="24"/>
          <w:szCs w:val="24"/>
        </w:rPr>
        <w:t xml:space="preserve">ed by these key international partners to strengthen their supply chains can help the EU to safeguard its critical supply chains and </w:t>
      </w:r>
      <w:r>
        <w:rPr>
          <w:rFonts w:ascii="Times New Roman" w:eastAsia="Times New Roman" w:hAnsi="Times New Roman" w:cs="Times New Roman"/>
          <w:noProof/>
          <w:sz w:val="24"/>
          <w:szCs w:val="24"/>
        </w:rPr>
        <w:t>increase</w:t>
      </w:r>
      <w:r w:rsidRPr="00BC048A">
        <w:rPr>
          <w:rFonts w:ascii="Times New Roman" w:eastAsia="Times New Roman" w:hAnsi="Times New Roman" w:cs="Times New Roman"/>
          <w:noProof/>
          <w:sz w:val="24"/>
          <w:szCs w:val="24"/>
        </w:rPr>
        <w:t xml:space="preserve"> its open strategic autonomy. </w:t>
      </w:r>
      <w:r>
        <w:rPr>
          <w:rFonts w:ascii="Times New Roman" w:eastAsia="Times New Roman" w:hAnsi="Times New Roman" w:cs="Times New Roman"/>
          <w:noProof/>
          <w:sz w:val="24"/>
          <w:szCs w:val="24"/>
        </w:rPr>
        <w:t>The information in this Annex also</w:t>
      </w:r>
      <w:r w:rsidRPr="00BC048A">
        <w:rPr>
          <w:rFonts w:ascii="Times New Roman" w:eastAsia="Times New Roman" w:hAnsi="Times New Roman" w:cs="Times New Roman"/>
          <w:noProof/>
          <w:sz w:val="24"/>
          <w:szCs w:val="24"/>
        </w:rPr>
        <w:t xml:space="preserve"> sheds light on measures that could potentially expose EU supply chains to risks by, for example, encouraging delocalisation and future disinvestment decisions. </w:t>
      </w:r>
    </w:p>
    <w:p w14:paraId="232E5D49" w14:textId="006B31A8" w:rsidR="00267A77" w:rsidRPr="00BC048A" w:rsidRDefault="00267A77" w:rsidP="00267A77">
      <w:pPr>
        <w:spacing w:after="160" w:line="250" w:lineRule="auto"/>
        <w:jc w:val="both"/>
        <w:rPr>
          <w:rFonts w:ascii="Times New Roman" w:eastAsia="Times New Roman" w:hAnsi="Times New Roman" w:cs="Times New Roman"/>
          <w:b/>
          <w:noProof/>
          <w:sz w:val="24"/>
          <w:szCs w:val="24"/>
        </w:rPr>
      </w:pPr>
      <w:r w:rsidRPr="00BC048A">
        <w:rPr>
          <w:rFonts w:ascii="Times New Roman" w:eastAsia="Times New Roman" w:hAnsi="Times New Roman" w:cs="Times New Roman"/>
          <w:noProof/>
          <w:sz w:val="24"/>
          <w:szCs w:val="24"/>
        </w:rPr>
        <w:t>In this 2025 edition, the inventory below lists the main resilience measures taken by some of the EU’s main trading partners (the United States, the United Kingdom, Canada, Japan, China, Singapore, the Republic of Korea, India, Australia, Brazil, South Africa, Vietnam and Taiwan) that the Commission is aware of at the time of adoptin</w:t>
      </w:r>
      <w:r>
        <w:rPr>
          <w:rFonts w:ascii="Times New Roman" w:eastAsia="Times New Roman" w:hAnsi="Times New Roman" w:cs="Times New Roman"/>
          <w:noProof/>
          <w:sz w:val="24"/>
          <w:szCs w:val="24"/>
        </w:rPr>
        <w:t>g</w:t>
      </w:r>
      <w:r w:rsidRPr="00BC048A">
        <w:rPr>
          <w:rFonts w:ascii="Times New Roman" w:eastAsia="Times New Roman" w:hAnsi="Times New Roman" w:cs="Times New Roman"/>
          <w:noProof/>
          <w:sz w:val="24"/>
          <w:szCs w:val="24"/>
        </w:rPr>
        <w:t xml:space="preserve"> this document</w:t>
      </w:r>
      <w:r>
        <w:rPr>
          <w:rFonts w:ascii="Times New Roman" w:eastAsia="Times New Roman" w:hAnsi="Times New Roman" w:cs="Times New Roman"/>
          <w:noProof/>
          <w:sz w:val="24"/>
          <w:szCs w:val="24"/>
        </w:rPr>
        <w:t>,</w:t>
      </w:r>
      <w:r w:rsidRPr="00BC048A">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reflecting </w:t>
      </w:r>
      <w:r w:rsidRPr="00BC048A">
        <w:rPr>
          <w:rFonts w:ascii="Times New Roman" w:eastAsia="Times New Roman" w:hAnsi="Times New Roman" w:cs="Times New Roman"/>
          <w:noProof/>
          <w:sz w:val="24"/>
          <w:szCs w:val="24"/>
        </w:rPr>
        <w:t xml:space="preserve">the level of information </w:t>
      </w:r>
      <w:r>
        <w:rPr>
          <w:rFonts w:ascii="Times New Roman" w:eastAsia="Times New Roman" w:hAnsi="Times New Roman" w:cs="Times New Roman"/>
          <w:noProof/>
          <w:sz w:val="24"/>
          <w:szCs w:val="24"/>
        </w:rPr>
        <w:t xml:space="preserve">available </w:t>
      </w:r>
      <w:r w:rsidRPr="00BC048A">
        <w:rPr>
          <w:rFonts w:ascii="Times New Roman" w:eastAsia="Times New Roman" w:hAnsi="Times New Roman" w:cs="Times New Roman"/>
          <w:noProof/>
          <w:sz w:val="24"/>
          <w:szCs w:val="24"/>
        </w:rPr>
        <w:t xml:space="preserve">for each partner. Therefore, </w:t>
      </w:r>
      <w:r w:rsidRPr="00BC048A">
        <w:rPr>
          <w:rFonts w:ascii="Times New Roman" w:eastAsia="Times New Roman" w:hAnsi="Times New Roman" w:cs="Times New Roman"/>
          <w:b/>
          <w:noProof/>
          <w:sz w:val="24"/>
          <w:szCs w:val="24"/>
        </w:rPr>
        <w:t>the actual number of resilience measures adopted by international partners could be far greater.</w:t>
      </w:r>
    </w:p>
    <w:p w14:paraId="44BD717E" w14:textId="72BB8D2F" w:rsidR="00267A77" w:rsidRPr="00BC048A" w:rsidRDefault="00267A77" w:rsidP="00267A77">
      <w:pPr>
        <w:spacing w:after="160" w:line="250" w:lineRule="auto"/>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noProof/>
          <w:sz w:val="24"/>
          <w:szCs w:val="24"/>
        </w:rPr>
        <w:t xml:space="preserve">After examining the collected data, the </w:t>
      </w:r>
      <w:r>
        <w:rPr>
          <w:rFonts w:ascii="Times New Roman" w:eastAsia="Times New Roman" w:hAnsi="Times New Roman" w:cs="Times New Roman"/>
          <w:noProof/>
          <w:sz w:val="24"/>
          <w:szCs w:val="24"/>
        </w:rPr>
        <w:t xml:space="preserve">Commission has classified the </w:t>
      </w:r>
      <w:r w:rsidRPr="00BC048A">
        <w:rPr>
          <w:rFonts w:ascii="Times New Roman" w:eastAsia="Times New Roman" w:hAnsi="Times New Roman" w:cs="Times New Roman"/>
          <w:noProof/>
          <w:sz w:val="24"/>
          <w:szCs w:val="24"/>
        </w:rPr>
        <w:t xml:space="preserve">measures taken by these </w:t>
      </w:r>
      <w:r>
        <w:rPr>
          <w:rFonts w:ascii="Times New Roman" w:eastAsia="Times New Roman" w:hAnsi="Times New Roman" w:cs="Times New Roman"/>
          <w:noProof/>
          <w:sz w:val="24"/>
          <w:szCs w:val="24"/>
        </w:rPr>
        <w:t xml:space="preserve">trading partners </w:t>
      </w:r>
      <w:r w:rsidRPr="00BC048A">
        <w:rPr>
          <w:rFonts w:ascii="Times New Roman" w:eastAsia="Times New Roman" w:hAnsi="Times New Roman" w:cs="Times New Roman"/>
          <w:noProof/>
          <w:sz w:val="24"/>
          <w:szCs w:val="24"/>
        </w:rPr>
        <w:t xml:space="preserve">into six specific categories </w:t>
      </w:r>
      <w:r>
        <w:rPr>
          <w:rFonts w:ascii="Times New Roman" w:eastAsia="Times New Roman" w:hAnsi="Times New Roman" w:cs="Times New Roman"/>
          <w:noProof/>
          <w:sz w:val="24"/>
          <w:szCs w:val="24"/>
        </w:rPr>
        <w:t xml:space="preserve">with </w:t>
      </w:r>
      <w:r w:rsidRPr="00BC048A">
        <w:rPr>
          <w:rFonts w:ascii="Times New Roman" w:eastAsia="Times New Roman" w:hAnsi="Times New Roman" w:cs="Times New Roman"/>
          <w:noProof/>
          <w:sz w:val="24"/>
          <w:szCs w:val="24"/>
        </w:rPr>
        <w:t xml:space="preserve">a more detailed description provided for the most recently adopted measures. </w:t>
      </w:r>
      <w:r>
        <w:rPr>
          <w:rFonts w:ascii="Times New Roman" w:eastAsia="Times New Roman" w:hAnsi="Times New Roman" w:cs="Times New Roman"/>
          <w:noProof/>
          <w:sz w:val="24"/>
          <w:szCs w:val="24"/>
        </w:rPr>
        <w:t>I</w:t>
      </w:r>
      <w:r w:rsidRPr="00BC048A">
        <w:rPr>
          <w:rFonts w:ascii="Times New Roman" w:eastAsia="Times New Roman" w:hAnsi="Times New Roman" w:cs="Times New Roman"/>
          <w:noProof/>
          <w:sz w:val="24"/>
          <w:szCs w:val="24"/>
        </w:rPr>
        <w:t xml:space="preserve">n each category and for each international partner, </w:t>
      </w:r>
      <w:r>
        <w:rPr>
          <w:rFonts w:ascii="Times New Roman" w:eastAsia="Times New Roman" w:hAnsi="Times New Roman" w:cs="Times New Roman"/>
          <w:noProof/>
          <w:sz w:val="24"/>
          <w:szCs w:val="24"/>
        </w:rPr>
        <w:t xml:space="preserve">the </w:t>
      </w:r>
      <w:r w:rsidRPr="00BC048A">
        <w:rPr>
          <w:rFonts w:ascii="Times New Roman" w:eastAsia="Times New Roman" w:hAnsi="Times New Roman" w:cs="Times New Roman"/>
          <w:noProof/>
          <w:sz w:val="24"/>
          <w:szCs w:val="24"/>
        </w:rPr>
        <w:t xml:space="preserve">measures </w:t>
      </w:r>
      <w:r>
        <w:rPr>
          <w:rFonts w:ascii="Times New Roman" w:eastAsia="Times New Roman" w:hAnsi="Times New Roman" w:cs="Times New Roman"/>
          <w:noProof/>
          <w:sz w:val="24"/>
          <w:szCs w:val="24"/>
        </w:rPr>
        <w:t xml:space="preserve">are </w:t>
      </w:r>
      <w:r w:rsidRPr="00BC048A">
        <w:rPr>
          <w:rFonts w:ascii="Times New Roman" w:eastAsia="Times New Roman" w:hAnsi="Times New Roman" w:cs="Times New Roman"/>
          <w:noProof/>
          <w:sz w:val="24"/>
          <w:szCs w:val="24"/>
        </w:rPr>
        <w:t xml:space="preserve">listed and grouped thematically whenever possible – from broader, usually cross-sectoral measures to sector- or product-specific </w:t>
      </w:r>
      <w:r>
        <w:rPr>
          <w:rFonts w:ascii="Times New Roman" w:eastAsia="Times New Roman" w:hAnsi="Times New Roman" w:cs="Times New Roman"/>
          <w:noProof/>
          <w:sz w:val="24"/>
          <w:szCs w:val="24"/>
        </w:rPr>
        <w:t>measures, for example:</w:t>
      </w:r>
    </w:p>
    <w:p w14:paraId="32B7BC8D" w14:textId="202431D9" w:rsidR="00267A77" w:rsidRPr="00BC048A" w:rsidRDefault="00267A77" w:rsidP="00267A77">
      <w:pPr>
        <w:spacing w:after="0" w:line="250" w:lineRule="auto"/>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noProof/>
          <w:sz w:val="24"/>
          <w:szCs w:val="24"/>
        </w:rPr>
        <w:t>1.</w:t>
      </w:r>
      <w:r w:rsidRPr="00BC048A">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i</w:t>
      </w:r>
      <w:r w:rsidRPr="00BC048A">
        <w:rPr>
          <w:rFonts w:ascii="Times New Roman" w:eastAsia="Times New Roman" w:hAnsi="Times New Roman" w:cs="Times New Roman"/>
          <w:noProof/>
          <w:sz w:val="24"/>
          <w:szCs w:val="24"/>
        </w:rPr>
        <w:t>ndustrial strategies, regulatory measures and crisis preparedness</w:t>
      </w:r>
      <w:r>
        <w:rPr>
          <w:rFonts w:ascii="Times New Roman" w:eastAsia="Times New Roman" w:hAnsi="Times New Roman" w:cs="Times New Roman"/>
          <w:noProof/>
          <w:sz w:val="24"/>
          <w:szCs w:val="24"/>
        </w:rPr>
        <w:t>;</w:t>
      </w:r>
    </w:p>
    <w:p w14:paraId="4DC93587" w14:textId="2799095B" w:rsidR="00267A77" w:rsidRPr="00BC048A" w:rsidRDefault="00267A77" w:rsidP="00267A77">
      <w:pPr>
        <w:spacing w:after="0" w:line="250" w:lineRule="auto"/>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noProof/>
          <w:sz w:val="24"/>
          <w:szCs w:val="24"/>
        </w:rPr>
        <w:t>2.</w:t>
      </w:r>
      <w:r w:rsidRPr="00BC048A">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f</w:t>
      </w:r>
      <w:r w:rsidRPr="00BC048A">
        <w:rPr>
          <w:rFonts w:ascii="Times New Roman" w:eastAsia="Times New Roman" w:hAnsi="Times New Roman" w:cs="Times New Roman"/>
          <w:noProof/>
          <w:sz w:val="24"/>
          <w:szCs w:val="24"/>
        </w:rPr>
        <w:t>inancial and fiscal support (including R&amp;D)</w:t>
      </w:r>
      <w:r>
        <w:rPr>
          <w:rFonts w:ascii="Times New Roman" w:eastAsia="Times New Roman" w:hAnsi="Times New Roman" w:cs="Times New Roman"/>
          <w:noProof/>
          <w:sz w:val="24"/>
          <w:szCs w:val="24"/>
        </w:rPr>
        <w:t>;</w:t>
      </w:r>
    </w:p>
    <w:p w14:paraId="3B1760BF" w14:textId="3508B263" w:rsidR="00267A77" w:rsidRPr="00BC048A" w:rsidRDefault="00267A77" w:rsidP="00267A77">
      <w:pPr>
        <w:spacing w:after="0" w:line="250" w:lineRule="auto"/>
        <w:ind w:left="720" w:hanging="720"/>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noProof/>
          <w:sz w:val="24"/>
          <w:szCs w:val="24"/>
        </w:rPr>
        <w:t>3.</w:t>
      </w:r>
      <w:r w:rsidRPr="00BC048A">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p</w:t>
      </w:r>
      <w:r w:rsidRPr="00BC048A">
        <w:rPr>
          <w:rFonts w:ascii="Times New Roman" w:eastAsia="Times New Roman" w:hAnsi="Times New Roman" w:cs="Times New Roman"/>
          <w:noProof/>
          <w:sz w:val="24"/>
          <w:szCs w:val="24"/>
        </w:rPr>
        <w:t>ublic procurement and prioritisation mechanisms of domestic supply of goods and services</w:t>
      </w:r>
      <w:r>
        <w:rPr>
          <w:rFonts w:ascii="Times New Roman" w:eastAsia="Times New Roman" w:hAnsi="Times New Roman" w:cs="Times New Roman"/>
          <w:noProof/>
          <w:sz w:val="24"/>
          <w:szCs w:val="24"/>
        </w:rPr>
        <w:t>;</w:t>
      </w:r>
      <w:r w:rsidRPr="00BC048A">
        <w:rPr>
          <w:rFonts w:ascii="Times New Roman" w:eastAsia="Times New Roman" w:hAnsi="Times New Roman" w:cs="Times New Roman"/>
          <w:noProof/>
          <w:sz w:val="24"/>
          <w:szCs w:val="24"/>
        </w:rPr>
        <w:t xml:space="preserve"> </w:t>
      </w:r>
    </w:p>
    <w:p w14:paraId="0AE75E06" w14:textId="29B06100" w:rsidR="00267A77" w:rsidRPr="00E2270F" w:rsidRDefault="00267A77" w:rsidP="00267A77">
      <w:pPr>
        <w:spacing w:after="0" w:line="250" w:lineRule="auto"/>
        <w:ind w:left="720" w:hanging="720"/>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noProof/>
          <w:sz w:val="24"/>
          <w:szCs w:val="24"/>
        </w:rPr>
        <w:t>4.</w:t>
      </w:r>
      <w:r w:rsidRPr="00BC048A">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t</w:t>
      </w:r>
      <w:r w:rsidRPr="00BC048A">
        <w:rPr>
          <w:rFonts w:ascii="Times New Roman" w:eastAsia="Times New Roman" w:hAnsi="Times New Roman" w:cs="Times New Roman"/>
          <w:noProof/>
          <w:sz w:val="24"/>
          <w:szCs w:val="24"/>
        </w:rPr>
        <w:t>rade toolbox (i.e. tariffs, export restrictions, anti-coercion measures, foreign direct investment control, etc</w:t>
      </w:r>
      <w:r w:rsidRPr="00E2270F">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w:t>
      </w:r>
    </w:p>
    <w:p w14:paraId="690ECF77" w14:textId="6E85F917" w:rsidR="00267A77" w:rsidRPr="00BC048A" w:rsidRDefault="00267A77" w:rsidP="00267A77">
      <w:pPr>
        <w:spacing w:after="160" w:line="250" w:lineRule="auto"/>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noProof/>
          <w:sz w:val="24"/>
          <w:szCs w:val="24"/>
        </w:rPr>
        <w:t>5.</w:t>
      </w:r>
      <w:r w:rsidRPr="00BC048A">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i</w:t>
      </w:r>
      <w:r w:rsidRPr="00BC048A">
        <w:rPr>
          <w:rFonts w:ascii="Times New Roman" w:eastAsia="Times New Roman" w:hAnsi="Times New Roman" w:cs="Times New Roman"/>
          <w:noProof/>
          <w:sz w:val="24"/>
          <w:szCs w:val="24"/>
        </w:rPr>
        <w:t xml:space="preserve">nternational deals and partnerships. </w:t>
      </w:r>
    </w:p>
    <w:p w14:paraId="7839E66A" w14:textId="0A83252D" w:rsidR="00267A77" w:rsidRPr="00BC048A" w:rsidRDefault="00267A77" w:rsidP="00267A77">
      <w:pPr>
        <w:spacing w:after="160" w:line="250" w:lineRule="auto"/>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noProof/>
          <w:sz w:val="24"/>
          <w:szCs w:val="24"/>
        </w:rPr>
        <w:t xml:space="preserve">These categories have been chosen as they mirror </w:t>
      </w:r>
      <w:r>
        <w:rPr>
          <w:rFonts w:ascii="Times New Roman" w:eastAsia="Times New Roman" w:hAnsi="Times New Roman" w:cs="Times New Roman"/>
          <w:noProof/>
          <w:sz w:val="24"/>
          <w:szCs w:val="24"/>
        </w:rPr>
        <w:t xml:space="preserve">the </w:t>
      </w:r>
      <w:r w:rsidRPr="00BC048A">
        <w:rPr>
          <w:rFonts w:ascii="Times New Roman" w:eastAsia="Times New Roman" w:hAnsi="Times New Roman" w:cs="Times New Roman"/>
          <w:noProof/>
          <w:sz w:val="24"/>
          <w:szCs w:val="24"/>
        </w:rPr>
        <w:t xml:space="preserve">policy instruments </w:t>
      </w:r>
      <w:r>
        <w:rPr>
          <w:rFonts w:ascii="Times New Roman" w:eastAsia="Times New Roman" w:hAnsi="Times New Roman" w:cs="Times New Roman"/>
          <w:noProof/>
          <w:sz w:val="24"/>
          <w:szCs w:val="24"/>
        </w:rPr>
        <w:t xml:space="preserve">used </w:t>
      </w:r>
      <w:r w:rsidRPr="00BC048A">
        <w:rPr>
          <w:rFonts w:ascii="Times New Roman" w:eastAsia="Times New Roman" w:hAnsi="Times New Roman" w:cs="Times New Roman"/>
          <w:noProof/>
          <w:sz w:val="24"/>
          <w:szCs w:val="24"/>
        </w:rPr>
        <w:t>internally and externally by the EU to make supply chains more resilient and diverse and to anticipate, prepare for and respond to disruptions. Their scope is deliberately granular to easily classify and regroup together non-EU countr</w:t>
      </w:r>
      <w:r>
        <w:rPr>
          <w:rFonts w:ascii="Times New Roman" w:eastAsia="Times New Roman" w:hAnsi="Times New Roman" w:cs="Times New Roman"/>
          <w:noProof/>
          <w:sz w:val="24"/>
          <w:szCs w:val="24"/>
        </w:rPr>
        <w:t>y</w:t>
      </w:r>
      <w:r w:rsidRPr="00BC048A">
        <w:rPr>
          <w:rFonts w:ascii="Times New Roman" w:eastAsia="Times New Roman" w:hAnsi="Times New Roman" w:cs="Times New Roman"/>
          <w:noProof/>
          <w:sz w:val="24"/>
          <w:szCs w:val="24"/>
        </w:rPr>
        <w:t xml:space="preserve"> measures according to each policy’s rationale and objectives. </w:t>
      </w:r>
    </w:p>
    <w:p w14:paraId="604956B5" w14:textId="2B644532" w:rsidR="00267A77" w:rsidRPr="00BC048A" w:rsidRDefault="00267A77" w:rsidP="00267A77">
      <w:pPr>
        <w:spacing w:after="160" w:line="25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w:t>
      </w:r>
      <w:r w:rsidRPr="00BC048A">
        <w:rPr>
          <w:rFonts w:ascii="Times New Roman" w:eastAsia="Times New Roman" w:hAnsi="Times New Roman" w:cs="Times New Roman"/>
          <w:noProof/>
          <w:sz w:val="24"/>
          <w:szCs w:val="24"/>
        </w:rPr>
        <w:t>he evidence collected in this non-exhaustive annex</w:t>
      </w:r>
      <w:r>
        <w:rPr>
          <w:rFonts w:ascii="Times New Roman" w:eastAsia="Times New Roman" w:hAnsi="Times New Roman" w:cs="Times New Roman"/>
          <w:noProof/>
          <w:sz w:val="24"/>
          <w:szCs w:val="24"/>
        </w:rPr>
        <w:t xml:space="preserve"> shows that</w:t>
      </w:r>
      <w:r w:rsidRPr="00BC048A">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the EU’s main partners have announced </w:t>
      </w:r>
      <w:r w:rsidRPr="00BC048A">
        <w:rPr>
          <w:rFonts w:ascii="Times New Roman" w:eastAsia="Times New Roman" w:hAnsi="Times New Roman" w:cs="Times New Roman"/>
          <w:b/>
          <w:noProof/>
          <w:sz w:val="24"/>
          <w:szCs w:val="24"/>
        </w:rPr>
        <w:t>a significant number of new international partnerships and agreements</w:t>
      </w:r>
      <w:r w:rsidRPr="00BC048A">
        <w:rPr>
          <w:rFonts w:ascii="Times New Roman" w:eastAsia="Times New Roman" w:hAnsi="Times New Roman" w:cs="Times New Roman"/>
          <w:noProof/>
          <w:sz w:val="24"/>
          <w:szCs w:val="24"/>
        </w:rPr>
        <w:t>. The</w:t>
      </w:r>
      <w:r>
        <w:rPr>
          <w:rFonts w:ascii="Times New Roman" w:eastAsia="Times New Roman" w:hAnsi="Times New Roman" w:cs="Times New Roman"/>
          <w:noProof/>
          <w:sz w:val="24"/>
          <w:szCs w:val="24"/>
        </w:rPr>
        <w:t xml:space="preserve">y </w:t>
      </w:r>
      <w:r w:rsidRPr="00BC048A">
        <w:rPr>
          <w:rFonts w:ascii="Times New Roman" w:eastAsia="Times New Roman" w:hAnsi="Times New Roman" w:cs="Times New Roman"/>
          <w:noProof/>
          <w:sz w:val="24"/>
          <w:szCs w:val="24"/>
        </w:rPr>
        <w:t>focus</w:t>
      </w:r>
      <w:r>
        <w:rPr>
          <w:rFonts w:ascii="Times New Roman" w:eastAsia="Times New Roman" w:hAnsi="Times New Roman" w:cs="Times New Roman"/>
          <w:noProof/>
          <w:sz w:val="24"/>
          <w:szCs w:val="24"/>
        </w:rPr>
        <w:t xml:space="preserve"> not only </w:t>
      </w:r>
      <w:r w:rsidRPr="00BC048A">
        <w:rPr>
          <w:rFonts w:ascii="Times New Roman" w:eastAsia="Times New Roman" w:hAnsi="Times New Roman" w:cs="Times New Roman"/>
          <w:noProof/>
          <w:sz w:val="24"/>
          <w:szCs w:val="24"/>
        </w:rPr>
        <w:t xml:space="preserve">on trade and market access but also </w:t>
      </w:r>
      <w:r>
        <w:rPr>
          <w:rFonts w:ascii="Times New Roman" w:eastAsia="Times New Roman" w:hAnsi="Times New Roman" w:cs="Times New Roman"/>
          <w:noProof/>
          <w:sz w:val="24"/>
          <w:szCs w:val="24"/>
        </w:rPr>
        <w:t>o</w:t>
      </w:r>
      <w:r w:rsidRPr="00BC048A">
        <w:rPr>
          <w:rFonts w:ascii="Times New Roman" w:eastAsia="Times New Roman" w:hAnsi="Times New Roman" w:cs="Times New Roman"/>
          <w:noProof/>
          <w:sz w:val="24"/>
          <w:szCs w:val="24"/>
        </w:rPr>
        <w:t xml:space="preserve">n specific sectors such as critical raw materials, clean energy and AI. In addition, several new trade measures have been introduced, including stricter foreign investment screenings, tariff quotas on strategic sectors, as well as the initiation of anti-dumping investigations. The adoption of these measures reflects the changing dynamics in geopolitics and international trade. </w:t>
      </w:r>
    </w:p>
    <w:p w14:paraId="789054A9" w14:textId="5571C75E" w:rsidR="00267A77" w:rsidRPr="00BC048A" w:rsidRDefault="00267A77" w:rsidP="00267A77">
      <w:pPr>
        <w:spacing w:after="160" w:line="250" w:lineRule="auto"/>
        <w:jc w:val="both"/>
        <w:rPr>
          <w:rFonts w:ascii="Times New Roman" w:eastAsia="Times New Roman" w:hAnsi="Times New Roman" w:cs="Times New Roman"/>
          <w:noProof/>
          <w:sz w:val="24"/>
          <w:szCs w:val="24"/>
        </w:rPr>
      </w:pPr>
      <w:r w:rsidRPr="00BC048A">
        <w:rPr>
          <w:rFonts w:ascii="Times New Roman" w:eastAsia="Times New Roman" w:hAnsi="Times New Roman" w:cs="Times New Roman"/>
          <w:noProof/>
          <w:sz w:val="24"/>
          <w:szCs w:val="24"/>
        </w:rPr>
        <w:t xml:space="preserve">In parallel, </w:t>
      </w:r>
      <w:r w:rsidRPr="00BC048A">
        <w:rPr>
          <w:rFonts w:ascii="Times New Roman" w:eastAsia="Times New Roman" w:hAnsi="Times New Roman" w:cs="Times New Roman"/>
          <w:b/>
          <w:noProof/>
          <w:sz w:val="24"/>
          <w:szCs w:val="24"/>
        </w:rPr>
        <w:t>several trading partners have implemented policies to support their domestic industries, notably through public procurement</w:t>
      </w:r>
      <w:r w:rsidRPr="00BC048A">
        <w:rPr>
          <w:rFonts w:ascii="Times New Roman" w:eastAsia="Times New Roman" w:hAnsi="Times New Roman" w:cs="Times New Roman"/>
          <w:noProof/>
          <w:sz w:val="24"/>
          <w:szCs w:val="24"/>
        </w:rPr>
        <w:t xml:space="preserve">. These </w:t>
      </w:r>
      <w:r>
        <w:rPr>
          <w:rFonts w:ascii="Times New Roman" w:eastAsia="Times New Roman" w:hAnsi="Times New Roman" w:cs="Times New Roman"/>
          <w:noProof/>
          <w:sz w:val="24"/>
          <w:szCs w:val="24"/>
        </w:rPr>
        <w:t xml:space="preserve">policy measures </w:t>
      </w:r>
      <w:r w:rsidRPr="00BC048A">
        <w:rPr>
          <w:rFonts w:ascii="Times New Roman" w:eastAsia="Times New Roman" w:hAnsi="Times New Roman" w:cs="Times New Roman"/>
          <w:noProof/>
          <w:sz w:val="24"/>
          <w:szCs w:val="24"/>
        </w:rPr>
        <w:t>include public investments and prioritis</w:t>
      </w:r>
      <w:r>
        <w:rPr>
          <w:rFonts w:ascii="Times New Roman" w:eastAsia="Times New Roman" w:hAnsi="Times New Roman" w:cs="Times New Roman"/>
          <w:noProof/>
          <w:sz w:val="24"/>
          <w:szCs w:val="24"/>
        </w:rPr>
        <w:t xml:space="preserve">ing </w:t>
      </w:r>
      <w:r w:rsidRPr="00BC048A">
        <w:rPr>
          <w:rFonts w:ascii="Times New Roman" w:eastAsia="Times New Roman" w:hAnsi="Times New Roman" w:cs="Times New Roman"/>
          <w:noProof/>
          <w:sz w:val="24"/>
          <w:szCs w:val="24"/>
        </w:rPr>
        <w:t xml:space="preserve">supply in strategic sectors, such as energy-intensive industries like steel. In this context, international partners have adopted additional domestic measures such as financial support, </w:t>
      </w:r>
      <w:r>
        <w:rPr>
          <w:rFonts w:ascii="Times New Roman" w:eastAsia="Times New Roman" w:hAnsi="Times New Roman" w:cs="Times New Roman"/>
          <w:noProof/>
          <w:sz w:val="24"/>
          <w:szCs w:val="24"/>
        </w:rPr>
        <w:t>fast-track</w:t>
      </w:r>
      <w:r w:rsidRPr="00BC048A">
        <w:rPr>
          <w:rFonts w:ascii="Times New Roman" w:eastAsia="Times New Roman" w:hAnsi="Times New Roman" w:cs="Times New Roman"/>
          <w:noProof/>
          <w:sz w:val="24"/>
          <w:szCs w:val="24"/>
        </w:rPr>
        <w:t xml:space="preserve"> regulatory permitting a</w:t>
      </w:r>
      <w:r>
        <w:rPr>
          <w:rFonts w:ascii="Times New Roman" w:eastAsia="Times New Roman" w:hAnsi="Times New Roman" w:cs="Times New Roman"/>
          <w:noProof/>
          <w:sz w:val="24"/>
          <w:szCs w:val="24"/>
        </w:rPr>
        <w:t xml:space="preserve">nd </w:t>
      </w:r>
      <w:r w:rsidRPr="00BC048A">
        <w:rPr>
          <w:rFonts w:ascii="Times New Roman" w:eastAsia="Times New Roman" w:hAnsi="Times New Roman" w:cs="Times New Roman"/>
          <w:noProof/>
          <w:sz w:val="24"/>
          <w:szCs w:val="24"/>
        </w:rPr>
        <w:t xml:space="preserve">improved crisis preparedness </w:t>
      </w:r>
      <w:r>
        <w:rPr>
          <w:rFonts w:ascii="Times New Roman" w:eastAsia="Times New Roman" w:hAnsi="Times New Roman" w:cs="Times New Roman"/>
          <w:noProof/>
          <w:sz w:val="24"/>
          <w:szCs w:val="24"/>
        </w:rPr>
        <w:t xml:space="preserve">by stepping up the </w:t>
      </w:r>
      <w:r w:rsidRPr="00BC048A">
        <w:rPr>
          <w:rFonts w:ascii="Times New Roman" w:eastAsia="Times New Roman" w:hAnsi="Times New Roman" w:cs="Times New Roman"/>
          <w:noProof/>
          <w:sz w:val="24"/>
          <w:szCs w:val="24"/>
        </w:rPr>
        <w:t>monitoring and stockpiling of critical minerals.</w:t>
      </w:r>
    </w:p>
    <w:p w14:paraId="540CE1B6" w14:textId="77777777" w:rsidR="00267A77" w:rsidRPr="00BC048A" w:rsidRDefault="00267A77" w:rsidP="00267A77">
      <w:pPr>
        <w:tabs>
          <w:tab w:val="left" w:pos="1161"/>
        </w:tabs>
        <w:spacing w:after="160" w:line="250" w:lineRule="auto"/>
        <w:jc w:val="both"/>
        <w:rPr>
          <w:rFonts w:ascii="Times New Roman" w:eastAsia="Times New Roman" w:hAnsi="Times New Roman" w:cs="Times New Roman"/>
          <w:noProof/>
          <w:sz w:val="24"/>
          <w:szCs w:val="24"/>
        </w:rPr>
      </w:pPr>
    </w:p>
    <w:p w14:paraId="0D3BE8F3" w14:textId="77777777" w:rsidR="00267A77" w:rsidRPr="00BC048A" w:rsidRDefault="00267A77" w:rsidP="00267A77">
      <w:pPr>
        <w:pStyle w:val="Heading2"/>
        <w:numPr>
          <w:ilvl w:val="0"/>
          <w:numId w:val="35"/>
        </w:numPr>
        <w:spacing w:before="0" w:after="160" w:line="250" w:lineRule="auto"/>
        <w:rPr>
          <w:rFonts w:ascii="Times New Roman" w:hAnsi="Times New Roman"/>
          <w:b/>
          <w:bCs/>
          <w:noProof/>
          <w:color w:val="auto"/>
          <w:sz w:val="28"/>
          <w:szCs w:val="28"/>
        </w:rPr>
      </w:pPr>
      <w:bookmarkStart w:id="175" w:name="_Toc185525773"/>
      <w:bookmarkStart w:id="176" w:name="_Toc214539706"/>
      <w:bookmarkStart w:id="177" w:name="_Toc215659802"/>
      <w:bookmarkStart w:id="178" w:name="_Toc220103475"/>
      <w:r w:rsidRPr="00BC048A">
        <w:rPr>
          <w:rFonts w:ascii="Times New Roman" w:hAnsi="Times New Roman"/>
          <w:b/>
          <w:bCs/>
          <w:noProof/>
          <w:color w:val="auto"/>
          <w:sz w:val="28"/>
          <w:szCs w:val="28"/>
        </w:rPr>
        <w:t>Overview of resilience measures by category and by countries</w:t>
      </w:r>
      <w:bookmarkEnd w:id="175"/>
      <w:bookmarkEnd w:id="176"/>
      <w:bookmarkEnd w:id="177"/>
      <w:bookmarkEnd w:id="178"/>
    </w:p>
    <w:p w14:paraId="4E645FFC" w14:textId="77777777" w:rsidR="00267A77" w:rsidRPr="00BC048A" w:rsidRDefault="00267A77" w:rsidP="00267A77">
      <w:pPr>
        <w:spacing w:after="160" w:line="250" w:lineRule="auto"/>
        <w:jc w:val="both"/>
        <w:rPr>
          <w:rFonts w:ascii="Times New Roman" w:hAnsi="Times New Roman" w:cs="Times New Roman"/>
          <w:noProof/>
          <w:sz w:val="24"/>
          <w:szCs w:val="24"/>
        </w:rPr>
      </w:pPr>
    </w:p>
    <w:p w14:paraId="7BC318BD" w14:textId="77777777" w:rsidR="00267A77" w:rsidRPr="00BC048A" w:rsidRDefault="00267A77" w:rsidP="00267A77">
      <w:pPr>
        <w:pStyle w:val="Heading3"/>
        <w:spacing w:before="0" w:after="160" w:line="250" w:lineRule="auto"/>
        <w:rPr>
          <w:rFonts w:ascii="Times New Roman" w:hAnsi="Times New Roman"/>
          <w:b/>
          <w:noProof/>
          <w:color w:val="auto"/>
        </w:rPr>
      </w:pPr>
      <w:bookmarkStart w:id="179" w:name="_Toc214539707"/>
      <w:bookmarkStart w:id="180" w:name="_Toc215659803"/>
      <w:bookmarkStart w:id="181" w:name="_Toc220103476"/>
      <w:bookmarkStart w:id="182" w:name="_Toc185237908"/>
      <w:bookmarkStart w:id="183" w:name="_Toc185239911"/>
      <w:bookmarkStart w:id="184" w:name="_Toc185264678"/>
      <w:bookmarkStart w:id="185" w:name="_Toc185525774"/>
      <w:r w:rsidRPr="00BC048A">
        <w:rPr>
          <w:rFonts w:ascii="Times New Roman" w:hAnsi="Times New Roman"/>
          <w:b/>
          <w:noProof/>
          <w:color w:val="auto"/>
        </w:rPr>
        <w:t>2.1 Industrial strategies, regulatory measures and crisis preparedness</w:t>
      </w:r>
      <w:bookmarkEnd w:id="179"/>
      <w:bookmarkEnd w:id="180"/>
      <w:bookmarkEnd w:id="181"/>
      <w:r w:rsidRPr="00BC048A">
        <w:rPr>
          <w:rFonts w:ascii="Times New Roman" w:hAnsi="Times New Roman"/>
          <w:b/>
          <w:noProof/>
          <w:color w:val="auto"/>
        </w:rPr>
        <w:t xml:space="preserve"> </w:t>
      </w:r>
      <w:bookmarkStart w:id="186" w:name="_Toc185237909"/>
      <w:bookmarkStart w:id="187" w:name="_Toc185239912"/>
      <w:bookmarkStart w:id="188" w:name="_Toc185264679"/>
      <w:bookmarkEnd w:id="182"/>
      <w:bookmarkEnd w:id="183"/>
      <w:bookmarkEnd w:id="184"/>
      <w:bookmarkEnd w:id="185"/>
    </w:p>
    <w:p w14:paraId="069914D5" w14:textId="77777777" w:rsidR="00267A77" w:rsidRPr="00BC048A" w:rsidRDefault="00267A77" w:rsidP="00267A77">
      <w:pPr>
        <w:pStyle w:val="Title3"/>
        <w:spacing w:after="160" w:line="250" w:lineRule="auto"/>
        <w:ind w:left="0"/>
        <w:rPr>
          <w:rFonts w:eastAsia="Times New Roman"/>
          <w:b w:val="0"/>
          <w:bCs w:val="0"/>
          <w:noProof/>
          <w:szCs w:val="24"/>
          <w:lang w:val="en-GB"/>
        </w:rPr>
      </w:pPr>
      <w:bookmarkStart w:id="189" w:name="_Toc185525775"/>
      <w:bookmarkStart w:id="190" w:name="_Toc214539708"/>
      <w:bookmarkStart w:id="191" w:name="_Toc215659804"/>
      <w:bookmarkStart w:id="192" w:name="_Toc220103477"/>
      <w:r w:rsidRPr="00BC048A">
        <w:rPr>
          <w:rStyle w:val="Heading4Char"/>
          <w:rFonts w:ascii="Times New Roman" w:hAnsi="Times New Roman" w:cs="Times New Roman"/>
          <w:b w:val="0"/>
          <w:bCs w:val="0"/>
          <w:noProof/>
          <w:color w:val="auto"/>
          <w:lang w:val="en-GB"/>
        </w:rPr>
        <w:t>United States</w:t>
      </w:r>
      <w:bookmarkEnd w:id="186"/>
      <w:bookmarkEnd w:id="187"/>
      <w:bookmarkEnd w:id="188"/>
      <w:bookmarkEnd w:id="189"/>
      <w:r w:rsidRPr="00BC048A">
        <w:rPr>
          <w:b w:val="0"/>
          <w:bCs w:val="0"/>
          <w:noProof/>
          <w:szCs w:val="24"/>
          <w:lang w:val="en-GB"/>
        </w:rPr>
        <w:t xml:space="preserve"> </w:t>
      </w:r>
      <w:r w:rsidRPr="00BC048A">
        <w:rPr>
          <w:rFonts w:eastAsia="Franklin Gothic Book"/>
          <w:b w:val="0"/>
          <w:bCs w:val="0"/>
          <w:noProof/>
          <w:szCs w:val="24"/>
          <w:lang w:val="en-GB" w:eastAsia="en-GB"/>
        </w:rPr>
        <mc:AlternateContent>
          <mc:Choice Requires="wps">
            <w:drawing>
              <wp:inline distT="0" distB="0" distL="0" distR="0" wp14:anchorId="0322CE93" wp14:editId="7B5C332D">
                <wp:extent cx="147711" cy="138093"/>
                <wp:effectExtent l="0" t="0" r="5080" b="0"/>
                <wp:docPr id="1817960804"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Y7tFUkkGAABJBg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" w14:anchorId="0E3B37ED">
                <v:fill type="frame" o:title="" recolor="t" rotate="t" r:id="rId19"/>
                <v:stroke joinstyle="miter"/>
                <w10:anchorlock/>
              </v:oval>
            </w:pict>
          </mc:Fallback>
        </mc:AlternateContent>
      </w:r>
      <w:bookmarkEnd w:id="190"/>
      <w:bookmarkEnd w:id="191"/>
      <w:bookmarkEnd w:id="192"/>
    </w:p>
    <w:p w14:paraId="39C0E0C2" w14:textId="5559B7EC"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November 2025, the United States published an updated List of Critical Minerals. The new list includes 60 mineral commodities, of which </w:t>
      </w:r>
      <w:r>
        <w:rPr>
          <w:rFonts w:eastAsia="Times New Roman" w:cs="Times New Roman"/>
          <w:noProof/>
          <w:sz w:val="24"/>
          <w:szCs w:val="24"/>
          <w:lang w:val="en-GB"/>
        </w:rPr>
        <w:t>10</w:t>
      </w:r>
      <w:r w:rsidRPr="00BC048A">
        <w:rPr>
          <w:rFonts w:eastAsia="Times New Roman" w:cs="Times New Roman"/>
          <w:noProof/>
          <w:sz w:val="24"/>
          <w:szCs w:val="24"/>
          <w:lang w:val="en-GB"/>
        </w:rPr>
        <w:t xml:space="preserve"> were new additions to the previous </w:t>
      </w:r>
      <w:r>
        <w:rPr>
          <w:rFonts w:eastAsia="Times New Roman" w:cs="Times New Roman"/>
          <w:noProof/>
          <w:sz w:val="24"/>
          <w:szCs w:val="24"/>
          <w:lang w:val="en-GB"/>
        </w:rPr>
        <w:t>list</w:t>
      </w:r>
      <w:r w:rsidRPr="00BC048A">
        <w:rPr>
          <w:rFonts w:eastAsia="Times New Roman" w:cs="Times New Roman"/>
          <w:noProof/>
          <w:sz w:val="24"/>
          <w:szCs w:val="24"/>
          <w:lang w:val="en-GB"/>
        </w:rPr>
        <w:t>. Some minerals were included based on the results of the economic effects assessment</w:t>
      </w:r>
      <w:r>
        <w:rPr>
          <w:rFonts w:eastAsia="Times New Roman" w:cs="Times New Roman"/>
          <w:noProof/>
          <w:sz w:val="24"/>
          <w:szCs w:val="24"/>
          <w:lang w:val="en-GB"/>
        </w:rPr>
        <w:t>;</w:t>
      </w:r>
      <w:r w:rsidRPr="00BC048A">
        <w:rPr>
          <w:rFonts w:eastAsia="Times New Roman" w:cs="Times New Roman"/>
          <w:noProof/>
          <w:sz w:val="24"/>
          <w:szCs w:val="24"/>
          <w:lang w:val="en-GB"/>
        </w:rPr>
        <w:t xml:space="preserve"> others were included because of the potential for a single point of failure within the domestic supply chain and based on a qualitative evaluation. </w:t>
      </w:r>
    </w:p>
    <w:p w14:paraId="377B40DA" w14:textId="5C6D5D84"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October 2025, the US Department of Defence announced plans to acquire up to USD</w:t>
      </w:r>
      <w:r>
        <w:rPr>
          <w:rFonts w:eastAsia="Times New Roman" w:cs="Times New Roman"/>
          <w:noProof/>
          <w:sz w:val="24"/>
          <w:szCs w:val="24"/>
          <w:lang w:val="en-GB"/>
        </w:rPr>
        <w:t> </w:t>
      </w:r>
      <w:r w:rsidRPr="00BC048A">
        <w:rPr>
          <w:rFonts w:eastAsia="Times New Roman" w:cs="Times New Roman"/>
          <w:noProof/>
          <w:sz w:val="24"/>
          <w:szCs w:val="24"/>
          <w:lang w:val="en-GB"/>
        </w:rPr>
        <w:t xml:space="preserve">1 billion worth of critical minerals, including cobalt, antimony and rare earth elements. The </w:t>
      </w:r>
      <w:r>
        <w:rPr>
          <w:rFonts w:eastAsia="Times New Roman" w:cs="Times New Roman"/>
          <w:noProof/>
          <w:sz w:val="24"/>
          <w:szCs w:val="24"/>
          <w:lang w:val="en-GB"/>
        </w:rPr>
        <w:t>plan</w:t>
      </w:r>
      <w:r w:rsidRPr="00BC048A">
        <w:rPr>
          <w:rFonts w:eastAsia="Times New Roman" w:cs="Times New Roman"/>
          <w:noProof/>
          <w:sz w:val="24"/>
          <w:szCs w:val="24"/>
          <w:lang w:val="en-GB"/>
        </w:rPr>
        <w:t xml:space="preserve"> aims to mitigate supply chain vulnerabilities and ensure the availability of essential materials for defence and advanced technologies. </w:t>
      </w:r>
    </w:p>
    <w:p w14:paraId="0E73C4E3" w14:textId="6A47F9DC"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October 2025, the US Department of Energy released its Fusion Science and Technology Roadmap, a national strategy to accelerate the </w:t>
      </w:r>
      <w:r>
        <w:rPr>
          <w:rFonts w:eastAsia="Times New Roman" w:cs="Times New Roman"/>
          <w:noProof/>
          <w:sz w:val="24"/>
          <w:szCs w:val="24"/>
          <w:lang w:val="en-GB"/>
        </w:rPr>
        <w:t xml:space="preserve">domestic </w:t>
      </w:r>
      <w:r w:rsidRPr="00BC048A">
        <w:rPr>
          <w:rFonts w:eastAsia="Times New Roman" w:cs="Times New Roman"/>
          <w:noProof/>
          <w:sz w:val="24"/>
          <w:szCs w:val="24"/>
          <w:lang w:val="en-GB"/>
        </w:rPr>
        <w:t>development and commercialisation of fusion energy. The roadmap focuses on i) building critical infrastructure to close fusion materials and technology gaps; ii) innovating through advanced research, high-performance computing and artificial intelligence; and iii) grow</w:t>
      </w:r>
      <w:r>
        <w:rPr>
          <w:rFonts w:eastAsia="Times New Roman" w:cs="Times New Roman"/>
          <w:noProof/>
          <w:sz w:val="24"/>
          <w:szCs w:val="24"/>
          <w:lang w:val="en-GB"/>
        </w:rPr>
        <w:t>ing</w:t>
      </w:r>
      <w:r w:rsidRPr="00BC048A">
        <w:rPr>
          <w:rFonts w:eastAsia="Times New Roman" w:cs="Times New Roman"/>
          <w:noProof/>
          <w:sz w:val="24"/>
          <w:szCs w:val="24"/>
          <w:lang w:val="en-GB"/>
        </w:rPr>
        <w:t xml:space="preserve"> the US fusion ecosystem through public-private partnerships, regional manufacturing hubs and workforce development.</w:t>
      </w:r>
    </w:p>
    <w:p w14:paraId="0A54FC34" w14:textId="6F78941C"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August 2025, </w:t>
      </w:r>
      <w:r w:rsidR="008B48B8">
        <w:rPr>
          <w:rFonts w:eastAsia="Times New Roman" w:cs="Times New Roman"/>
          <w:noProof/>
          <w:sz w:val="24"/>
          <w:szCs w:val="24"/>
          <w:lang w:val="en-GB"/>
        </w:rPr>
        <w:t xml:space="preserve">the US </w:t>
      </w:r>
      <w:r w:rsidRPr="00BC048A">
        <w:rPr>
          <w:rFonts w:eastAsia="Times New Roman" w:cs="Times New Roman"/>
          <w:noProof/>
          <w:sz w:val="24"/>
          <w:szCs w:val="24"/>
          <w:lang w:val="en-GB"/>
        </w:rPr>
        <w:t xml:space="preserve">President signed an Executive Order on </w:t>
      </w:r>
      <w:r>
        <w:rPr>
          <w:rFonts w:eastAsia="Times New Roman" w:cs="Times New Roman"/>
          <w:noProof/>
          <w:sz w:val="24"/>
          <w:szCs w:val="24"/>
          <w:lang w:val="en-GB"/>
        </w:rPr>
        <w:t>‘</w:t>
      </w:r>
      <w:r w:rsidRPr="00BC048A">
        <w:rPr>
          <w:rFonts w:eastAsia="Times New Roman" w:cs="Times New Roman"/>
          <w:noProof/>
          <w:sz w:val="24"/>
          <w:szCs w:val="24"/>
          <w:lang w:val="en-GB"/>
        </w:rPr>
        <w:t>Unleashing American Energy</w:t>
      </w:r>
      <w:r>
        <w:rPr>
          <w:rFonts w:eastAsia="Times New Roman" w:cs="Times New Roman"/>
          <w:noProof/>
          <w:sz w:val="24"/>
          <w:szCs w:val="24"/>
          <w:lang w:val="en-GB"/>
        </w:rPr>
        <w:t>’</w:t>
      </w:r>
      <w:r w:rsidRPr="00BC048A">
        <w:rPr>
          <w:rFonts w:eastAsia="Times New Roman" w:cs="Times New Roman"/>
          <w:noProof/>
          <w:sz w:val="24"/>
          <w:szCs w:val="24"/>
          <w:lang w:val="en-GB"/>
        </w:rPr>
        <w:t xml:space="preserve"> to review, rescind or revise regulations that unduly burden domestic energy and mineral production and expedite </w:t>
      </w:r>
      <w:r>
        <w:rPr>
          <w:rFonts w:eastAsia="Times New Roman" w:cs="Times New Roman"/>
          <w:noProof/>
          <w:sz w:val="24"/>
          <w:szCs w:val="24"/>
          <w:lang w:val="en-GB"/>
        </w:rPr>
        <w:t xml:space="preserve">the </w:t>
      </w:r>
      <w:r w:rsidRPr="00BC048A">
        <w:rPr>
          <w:rFonts w:eastAsia="Times New Roman" w:cs="Times New Roman"/>
          <w:noProof/>
          <w:sz w:val="24"/>
          <w:szCs w:val="24"/>
          <w:lang w:val="en-GB"/>
        </w:rPr>
        <w:t xml:space="preserve">permitting of energy and infrastructure production. The </w:t>
      </w:r>
      <w:r>
        <w:rPr>
          <w:rFonts w:eastAsia="Times New Roman" w:cs="Times New Roman"/>
          <w:noProof/>
          <w:sz w:val="24"/>
          <w:szCs w:val="24"/>
          <w:lang w:val="en-GB"/>
        </w:rPr>
        <w:t>E</w:t>
      </w:r>
      <w:r w:rsidRPr="00BC048A">
        <w:rPr>
          <w:rFonts w:eastAsia="Times New Roman" w:cs="Times New Roman"/>
          <w:noProof/>
          <w:sz w:val="24"/>
          <w:szCs w:val="24"/>
          <w:lang w:val="en-GB"/>
        </w:rPr>
        <w:t xml:space="preserve">xecutive </w:t>
      </w:r>
      <w:r>
        <w:rPr>
          <w:rFonts w:eastAsia="Times New Roman" w:cs="Times New Roman"/>
          <w:noProof/>
          <w:sz w:val="24"/>
          <w:szCs w:val="24"/>
          <w:lang w:val="en-GB"/>
        </w:rPr>
        <w:t>O</w:t>
      </w:r>
      <w:r w:rsidRPr="00BC048A">
        <w:rPr>
          <w:rFonts w:eastAsia="Times New Roman" w:cs="Times New Roman"/>
          <w:noProof/>
          <w:sz w:val="24"/>
          <w:szCs w:val="24"/>
          <w:lang w:val="en-GB"/>
        </w:rPr>
        <w:t>rder also annul</w:t>
      </w:r>
      <w:r>
        <w:rPr>
          <w:rFonts w:eastAsia="Times New Roman" w:cs="Times New Roman"/>
          <w:noProof/>
          <w:sz w:val="24"/>
          <w:szCs w:val="24"/>
          <w:lang w:val="en-GB"/>
        </w:rPr>
        <w:t xml:space="preserve">s </w:t>
      </w:r>
      <w:r w:rsidRPr="00BC048A">
        <w:rPr>
          <w:rFonts w:eastAsia="Times New Roman" w:cs="Times New Roman"/>
          <w:noProof/>
          <w:sz w:val="24"/>
          <w:szCs w:val="24"/>
          <w:lang w:val="en-GB"/>
        </w:rPr>
        <w:t xml:space="preserve">previous Executive Orders related to climate policy, including state waivers and subsidies aimed at encouraging EV purchases. It states that the US should encourage energy exploration and production on federal lands, boosting US leadership in critical minerals and ensuring a reliable supply of energy. </w:t>
      </w:r>
    </w:p>
    <w:p w14:paraId="795C1228" w14:textId="4626698D" w:rsidR="00267A77" w:rsidRPr="00BC048A" w:rsidRDefault="00267A77" w:rsidP="00267A77">
      <w:pPr>
        <w:pStyle w:val="ListParagraph"/>
        <w:numPr>
          <w:ilvl w:val="0"/>
          <w:numId w:val="38"/>
        </w:numPr>
        <w:spacing w:line="250" w:lineRule="auto"/>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August 2025, the US announced the creation of a stockpile of pharmaceutical drugs and a critical drugs list. Executive Order 14336 on Ensuring American Pharmaceutical Supply Chain Resilience by Filling the Strategic Active Pharmaceutical Ingredients Reserve seeks to strengthen the resilience of the US pharmaceutical supply chain by stockpiling </w:t>
      </w:r>
      <w:r>
        <w:rPr>
          <w:rFonts w:eastAsia="Times New Roman" w:cs="Times New Roman"/>
          <w:noProof/>
          <w:sz w:val="24"/>
          <w:szCs w:val="24"/>
          <w:lang w:val="en-GB"/>
        </w:rPr>
        <w:t>a</w:t>
      </w:r>
      <w:r w:rsidRPr="00BC048A">
        <w:rPr>
          <w:rFonts w:eastAsia="Times New Roman" w:cs="Times New Roman"/>
          <w:noProof/>
          <w:sz w:val="24"/>
          <w:szCs w:val="24"/>
          <w:lang w:val="en-GB"/>
        </w:rPr>
        <w:t xml:space="preserve">ctive </w:t>
      </w:r>
      <w:r>
        <w:rPr>
          <w:rFonts w:eastAsia="Times New Roman" w:cs="Times New Roman"/>
          <w:noProof/>
          <w:sz w:val="24"/>
          <w:szCs w:val="24"/>
          <w:lang w:val="en-GB"/>
        </w:rPr>
        <w:t>p</w:t>
      </w:r>
      <w:r w:rsidRPr="00BC048A">
        <w:rPr>
          <w:rFonts w:eastAsia="Times New Roman" w:cs="Times New Roman"/>
          <w:noProof/>
          <w:sz w:val="24"/>
          <w:szCs w:val="24"/>
          <w:lang w:val="en-GB"/>
        </w:rPr>
        <w:t xml:space="preserve">harmaceutical </w:t>
      </w:r>
      <w:r>
        <w:rPr>
          <w:rFonts w:eastAsia="Times New Roman" w:cs="Times New Roman"/>
          <w:noProof/>
          <w:sz w:val="24"/>
          <w:szCs w:val="24"/>
          <w:lang w:val="en-GB"/>
        </w:rPr>
        <w:t>i</w:t>
      </w:r>
      <w:r w:rsidRPr="00BC048A">
        <w:rPr>
          <w:rFonts w:eastAsia="Times New Roman" w:cs="Times New Roman"/>
          <w:noProof/>
          <w:sz w:val="24"/>
          <w:szCs w:val="24"/>
          <w:lang w:val="en-GB"/>
        </w:rPr>
        <w:t xml:space="preserve">ngredients (APIs) for essential medicines within the Strategic Active Pharmaceutical Ingredients Reserve and promoting the domestic production and procurement of these APIs. Under the </w:t>
      </w:r>
      <w:r>
        <w:rPr>
          <w:rFonts w:eastAsia="Times New Roman" w:cs="Times New Roman"/>
          <w:noProof/>
          <w:sz w:val="24"/>
          <w:szCs w:val="24"/>
          <w:lang w:val="en-GB"/>
        </w:rPr>
        <w:t>O</w:t>
      </w:r>
      <w:r w:rsidRPr="00BC048A">
        <w:rPr>
          <w:rFonts w:eastAsia="Times New Roman" w:cs="Times New Roman"/>
          <w:noProof/>
          <w:sz w:val="24"/>
          <w:szCs w:val="24"/>
          <w:lang w:val="en-GB"/>
        </w:rPr>
        <w:t xml:space="preserve">rder, the Office of the Assistant Secretary for Preparedness and Response within the Department of Health and Human Services is </w:t>
      </w:r>
      <w:r>
        <w:rPr>
          <w:rFonts w:eastAsia="Times New Roman" w:cs="Times New Roman"/>
          <w:noProof/>
          <w:sz w:val="24"/>
          <w:szCs w:val="24"/>
          <w:lang w:val="en-GB"/>
        </w:rPr>
        <w:t xml:space="preserve">tasked with </w:t>
      </w:r>
      <w:r w:rsidRPr="00BC048A">
        <w:rPr>
          <w:rFonts w:eastAsia="Times New Roman" w:cs="Times New Roman"/>
          <w:noProof/>
          <w:sz w:val="24"/>
          <w:szCs w:val="24"/>
          <w:lang w:val="en-GB"/>
        </w:rPr>
        <w:t>d</w:t>
      </w:r>
      <w:r>
        <w:rPr>
          <w:rFonts w:eastAsia="Times New Roman" w:cs="Times New Roman"/>
          <w:noProof/>
          <w:sz w:val="24"/>
          <w:szCs w:val="24"/>
          <w:lang w:val="en-GB"/>
        </w:rPr>
        <w:t xml:space="preserve">rawing up </w:t>
      </w:r>
      <w:r w:rsidRPr="00BC048A">
        <w:rPr>
          <w:rFonts w:eastAsia="Times New Roman" w:cs="Times New Roman"/>
          <w:noProof/>
          <w:sz w:val="24"/>
          <w:szCs w:val="24"/>
          <w:lang w:val="en-GB"/>
        </w:rPr>
        <w:t>a list of approximately 26 critical drugs deemed essential to national health and security.</w:t>
      </w:r>
    </w:p>
    <w:p w14:paraId="5C317C5E" w14:textId="45DE73F0" w:rsidR="00267A77" w:rsidRPr="00BC048A" w:rsidRDefault="00267A77" w:rsidP="00267A77">
      <w:pPr>
        <w:pStyle w:val="ListParagraph"/>
        <w:numPr>
          <w:ilvl w:val="0"/>
          <w:numId w:val="38"/>
        </w:numPr>
        <w:spacing w:line="250" w:lineRule="auto"/>
        <w:contextualSpacing w:val="0"/>
        <w:jc w:val="both"/>
        <w:rPr>
          <w:rStyle w:val="Heading4Char"/>
          <w:rFonts w:ascii="Times New Roman" w:eastAsia="Times New Roman" w:hAnsi="Times New Roman" w:cs="Times New Roman"/>
          <w:i w:val="0"/>
          <w:iCs w:val="0"/>
          <w:noProof/>
          <w:color w:val="auto"/>
          <w:sz w:val="24"/>
          <w:szCs w:val="24"/>
          <w:lang w:val="en-GB"/>
        </w:rPr>
      </w:pPr>
      <w:r w:rsidRPr="00BC048A">
        <w:rPr>
          <w:rFonts w:eastAsia="Times New Roman" w:cs="Times New Roman"/>
          <w:noProof/>
          <w:sz w:val="24"/>
          <w:szCs w:val="24"/>
          <w:lang w:val="en-GB"/>
        </w:rPr>
        <w:t>In July 2025, the Department of Interior announced the launch of a programme to map mining waste deposits to recover critical minerals – including rare earth elements (REEs), germanium, tellurium, antimony, and zinc – from mine waste, coal refuse and abandoned uranium sites. The programme follows the US Department of the Interior’s Order No</w:t>
      </w:r>
      <w:r>
        <w:rPr>
          <w:rFonts w:eastAsia="Times New Roman" w:cs="Times New Roman"/>
          <w:noProof/>
          <w:sz w:val="24"/>
          <w:szCs w:val="24"/>
          <w:lang w:val="en-GB"/>
        </w:rPr>
        <w:t> </w:t>
      </w:r>
      <w:r w:rsidRPr="00BC048A">
        <w:rPr>
          <w:rFonts w:eastAsia="Times New Roman" w:cs="Times New Roman"/>
          <w:noProof/>
          <w:sz w:val="24"/>
          <w:szCs w:val="24"/>
          <w:lang w:val="en-GB"/>
        </w:rPr>
        <w:t>3436 which seeks to accelerate the extraction of critical and strategic minerals from mine waste across the United States.</w:t>
      </w:r>
      <w:bookmarkStart w:id="193" w:name="_Toc185237910"/>
      <w:bookmarkStart w:id="194" w:name="_Toc185239913"/>
      <w:bookmarkStart w:id="195" w:name="_Toc185264680"/>
      <w:bookmarkStart w:id="196" w:name="_Toc185525776"/>
      <w:bookmarkStart w:id="197" w:name="_Toc214539709"/>
    </w:p>
    <w:p w14:paraId="717D1B74" w14:textId="77777777" w:rsidR="00267A77" w:rsidRPr="00BC048A" w:rsidRDefault="00267A77" w:rsidP="00267A77">
      <w:pPr>
        <w:pStyle w:val="Title3"/>
        <w:spacing w:after="160" w:line="250" w:lineRule="auto"/>
        <w:ind w:left="0"/>
        <w:rPr>
          <w:b w:val="0"/>
          <w:bCs w:val="0"/>
          <w:noProof/>
          <w:szCs w:val="24"/>
          <w:lang w:val="en-GB"/>
        </w:rPr>
      </w:pPr>
      <w:bookmarkStart w:id="198" w:name="_Toc215659805"/>
      <w:bookmarkStart w:id="199" w:name="_Toc220103478"/>
      <w:r w:rsidRPr="00BC048A">
        <w:rPr>
          <w:rStyle w:val="Heading4Char"/>
          <w:rFonts w:ascii="Times New Roman" w:hAnsi="Times New Roman" w:cs="Times New Roman"/>
          <w:b w:val="0"/>
          <w:bCs w:val="0"/>
          <w:noProof/>
          <w:color w:val="auto"/>
          <w:lang w:val="en-GB"/>
        </w:rPr>
        <w:t>United Kingdom</w:t>
      </w:r>
      <w:bookmarkEnd w:id="193"/>
      <w:bookmarkEnd w:id="194"/>
      <w:bookmarkEnd w:id="195"/>
      <w:bookmarkEnd w:id="196"/>
      <w:r w:rsidRPr="00BC048A">
        <w:rPr>
          <w:b w:val="0"/>
          <w:bCs w:val="0"/>
          <w:noProof/>
          <w:szCs w:val="24"/>
          <w:lang w:val="en-GB"/>
        </w:rPr>
        <w:t xml:space="preserve"> </w:t>
      </w:r>
      <w:r w:rsidRPr="00BC048A">
        <w:rPr>
          <w:rFonts w:eastAsia="Franklin Gothic Book"/>
          <w:b w:val="0"/>
          <w:bCs w:val="0"/>
          <w:noProof/>
          <w:szCs w:val="24"/>
          <w:lang w:val="en-GB" w:eastAsia="en-GB"/>
        </w:rPr>
        <w:drawing>
          <wp:inline distT="0" distB="0" distL="0" distR="0" wp14:anchorId="79FFABD4" wp14:editId="606FF00E">
            <wp:extent cx="133350" cy="133350"/>
            <wp:effectExtent l="0" t="0" r="0" b="0"/>
            <wp:docPr id="2094920812" name="Picture 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497296" name="Picture 7" descr="Pic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bookmarkEnd w:id="197"/>
      <w:bookmarkEnd w:id="198"/>
      <w:bookmarkEnd w:id="199"/>
    </w:p>
    <w:p w14:paraId="67933443" w14:textId="3997214A"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June 2025, the UK Department for Business and Trade published the UK’s Modern Industrial Strategy </w:t>
      </w:r>
      <w:r>
        <w:rPr>
          <w:rFonts w:eastAsia="Times New Roman" w:cs="Times New Roman"/>
          <w:noProof/>
          <w:sz w:val="24"/>
          <w:szCs w:val="24"/>
          <w:lang w:val="en-GB"/>
        </w:rPr>
        <w:t xml:space="preserve">for </w:t>
      </w:r>
      <w:r w:rsidRPr="00BC048A">
        <w:rPr>
          <w:rFonts w:eastAsia="Times New Roman" w:cs="Times New Roman"/>
          <w:noProof/>
          <w:sz w:val="24"/>
          <w:szCs w:val="24"/>
          <w:lang w:val="en-GB"/>
        </w:rPr>
        <w:t xml:space="preserve">2025. The actions mentioned in the strategy include cutting electricity costs, reducing grid connection times, providing finance for innovative business, enhancing investor support </w:t>
      </w:r>
      <w:r>
        <w:rPr>
          <w:rFonts w:eastAsia="Times New Roman" w:cs="Times New Roman"/>
          <w:noProof/>
          <w:sz w:val="24"/>
          <w:szCs w:val="24"/>
          <w:lang w:val="en-GB"/>
        </w:rPr>
        <w:t xml:space="preserve">to </w:t>
      </w:r>
      <w:r w:rsidRPr="00BC048A">
        <w:rPr>
          <w:rFonts w:eastAsia="Times New Roman" w:cs="Times New Roman"/>
          <w:noProof/>
          <w:sz w:val="24"/>
          <w:szCs w:val="24"/>
          <w:lang w:val="en-GB"/>
        </w:rPr>
        <w:t xml:space="preserve">meet </w:t>
      </w:r>
      <w:r>
        <w:rPr>
          <w:rFonts w:eastAsia="Times New Roman" w:cs="Times New Roman"/>
          <w:noProof/>
          <w:sz w:val="24"/>
          <w:szCs w:val="24"/>
          <w:lang w:val="en-GB"/>
        </w:rPr>
        <w:t xml:space="preserve">business demand for </w:t>
      </w:r>
      <w:r w:rsidRPr="00BC048A">
        <w:rPr>
          <w:rFonts w:eastAsia="Times New Roman" w:cs="Times New Roman"/>
          <w:noProof/>
          <w:sz w:val="24"/>
          <w:szCs w:val="24"/>
          <w:lang w:val="en-GB"/>
        </w:rPr>
        <w:t>skill</w:t>
      </w:r>
      <w:r>
        <w:rPr>
          <w:rFonts w:eastAsia="Times New Roman" w:cs="Times New Roman"/>
          <w:noProof/>
          <w:sz w:val="24"/>
          <w:szCs w:val="24"/>
          <w:lang w:val="en-GB"/>
        </w:rPr>
        <w:t>s</w:t>
      </w:r>
      <w:r w:rsidRPr="00BC048A">
        <w:rPr>
          <w:rFonts w:eastAsia="Times New Roman" w:cs="Times New Roman"/>
          <w:noProof/>
          <w:sz w:val="24"/>
          <w:szCs w:val="24"/>
          <w:lang w:val="en-GB"/>
        </w:rPr>
        <w:t xml:space="preserve">, simplifying regulation, boosting research and development (R&amp;D) sending and deepening economic cooperation with partners. It focuses on eight key sectors: advanced manufacturing, clean energy industries, creative industries, defence, digital and technologies, financial services, life sciences, and professional and business services. It consists of a 10-year plan to make it quicker and easier to invest and expand in a more competitive, secure and resilient economy. Following the strategy’s launch, in August and September 2025, six </w:t>
      </w:r>
      <w:r>
        <w:rPr>
          <w:rFonts w:eastAsia="Times New Roman" w:cs="Times New Roman"/>
          <w:noProof/>
          <w:sz w:val="24"/>
          <w:szCs w:val="24"/>
          <w:lang w:val="en-GB"/>
        </w:rPr>
        <w:t>s</w:t>
      </w:r>
      <w:r w:rsidRPr="00BC048A">
        <w:rPr>
          <w:rFonts w:eastAsia="Times New Roman" w:cs="Times New Roman"/>
          <w:noProof/>
          <w:sz w:val="24"/>
          <w:szCs w:val="24"/>
          <w:lang w:val="en-GB"/>
        </w:rPr>
        <w:t xml:space="preserve">ector </w:t>
      </w:r>
      <w:r>
        <w:rPr>
          <w:rFonts w:eastAsia="Times New Roman" w:cs="Times New Roman"/>
          <w:noProof/>
          <w:sz w:val="24"/>
          <w:szCs w:val="24"/>
          <w:lang w:val="en-GB"/>
        </w:rPr>
        <w:t>p</w:t>
      </w:r>
      <w:r w:rsidRPr="00BC048A">
        <w:rPr>
          <w:rFonts w:eastAsia="Times New Roman" w:cs="Times New Roman"/>
          <w:noProof/>
          <w:sz w:val="24"/>
          <w:szCs w:val="24"/>
          <w:lang w:val="en-GB"/>
        </w:rPr>
        <w:t xml:space="preserve">lans were published </w:t>
      </w:r>
      <w:r>
        <w:rPr>
          <w:rFonts w:eastAsia="Times New Roman" w:cs="Times New Roman"/>
          <w:noProof/>
          <w:sz w:val="24"/>
          <w:szCs w:val="24"/>
          <w:lang w:val="en-GB"/>
        </w:rPr>
        <w:t xml:space="preserve">for </w:t>
      </w:r>
      <w:r w:rsidRPr="00BC048A">
        <w:rPr>
          <w:rFonts w:eastAsia="Times New Roman" w:cs="Times New Roman"/>
          <w:noProof/>
          <w:sz w:val="24"/>
          <w:szCs w:val="24"/>
          <w:lang w:val="en-GB"/>
        </w:rPr>
        <w:t xml:space="preserve">the advanced manufacturing sector, clean energy industries, creative industries, digital and technologies sector, life sciences sector, and professional and business services sector. </w:t>
      </w:r>
    </w:p>
    <w:p w14:paraId="1548E9C0" w14:textId="7A901E38" w:rsidR="00267A77"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February 2025, the UK announced the Plan for Steel, including financial support </w:t>
      </w:r>
      <w:r>
        <w:rPr>
          <w:rFonts w:eastAsia="Times New Roman" w:cs="Times New Roman"/>
          <w:noProof/>
          <w:sz w:val="24"/>
          <w:szCs w:val="24"/>
          <w:lang w:val="en-GB"/>
        </w:rPr>
        <w:t>f</w:t>
      </w:r>
      <w:r w:rsidRPr="00BC048A">
        <w:rPr>
          <w:rFonts w:eastAsia="Times New Roman" w:cs="Times New Roman"/>
          <w:noProof/>
          <w:sz w:val="24"/>
          <w:szCs w:val="24"/>
          <w:lang w:val="en-GB"/>
        </w:rPr>
        <w:t>o</w:t>
      </w:r>
      <w:r>
        <w:rPr>
          <w:rFonts w:eastAsia="Times New Roman" w:cs="Times New Roman"/>
          <w:noProof/>
          <w:sz w:val="24"/>
          <w:szCs w:val="24"/>
          <w:lang w:val="en-GB"/>
        </w:rPr>
        <w:t>r</w:t>
      </w:r>
      <w:r w:rsidRPr="00BC048A">
        <w:rPr>
          <w:rFonts w:eastAsia="Times New Roman" w:cs="Times New Roman"/>
          <w:noProof/>
          <w:sz w:val="24"/>
          <w:szCs w:val="24"/>
          <w:lang w:val="en-GB"/>
        </w:rPr>
        <w:t xml:space="preserve"> the sector. The</w:t>
      </w:r>
      <w:r>
        <w:rPr>
          <w:rFonts w:eastAsia="Times New Roman" w:cs="Times New Roman"/>
          <w:noProof/>
          <w:sz w:val="24"/>
          <w:szCs w:val="24"/>
          <w:lang w:val="en-GB"/>
        </w:rPr>
        <w:t xml:space="preserve"> aim of the</w:t>
      </w:r>
      <w:r w:rsidRPr="00BC048A">
        <w:rPr>
          <w:rFonts w:eastAsia="Times New Roman" w:cs="Times New Roman"/>
          <w:noProof/>
          <w:sz w:val="24"/>
          <w:szCs w:val="24"/>
          <w:lang w:val="en-GB"/>
        </w:rPr>
        <w:t xml:space="preserve"> Plan is </w:t>
      </w:r>
      <w:r>
        <w:rPr>
          <w:rFonts w:eastAsia="Times New Roman" w:cs="Times New Roman"/>
          <w:noProof/>
          <w:sz w:val="24"/>
          <w:szCs w:val="24"/>
          <w:lang w:val="en-GB"/>
        </w:rPr>
        <w:t xml:space="preserve">to set out </w:t>
      </w:r>
      <w:r w:rsidRPr="00BC048A">
        <w:rPr>
          <w:rFonts w:eastAsia="Times New Roman" w:cs="Times New Roman"/>
          <w:noProof/>
          <w:sz w:val="24"/>
          <w:szCs w:val="24"/>
          <w:lang w:val="en-GB"/>
        </w:rPr>
        <w:t>a clear and long-term vision for the steel industry. While the full details are still being developed, the government has committed up to GBP</w:t>
      </w:r>
      <w:r>
        <w:rPr>
          <w:rFonts w:eastAsia="Times New Roman" w:cs="Times New Roman"/>
          <w:noProof/>
          <w:sz w:val="24"/>
          <w:szCs w:val="24"/>
          <w:lang w:val="en-GB"/>
        </w:rPr>
        <w:t> </w:t>
      </w:r>
      <w:r w:rsidRPr="00BC048A">
        <w:rPr>
          <w:rFonts w:eastAsia="Times New Roman" w:cs="Times New Roman"/>
          <w:noProof/>
          <w:sz w:val="24"/>
          <w:szCs w:val="24"/>
          <w:lang w:val="en-GB"/>
        </w:rPr>
        <w:t>2.5 billion in support through the National Wealth Fund and other channels.</w:t>
      </w:r>
      <w:bookmarkStart w:id="200" w:name="_Toc185237911"/>
      <w:bookmarkStart w:id="201" w:name="_Toc185239914"/>
      <w:bookmarkStart w:id="202" w:name="_Toc185264681"/>
      <w:bookmarkStart w:id="203" w:name="_Toc185525777"/>
      <w:bookmarkStart w:id="204" w:name="_Toc214539710"/>
      <w:bookmarkStart w:id="205" w:name="_Hlk213417867"/>
    </w:p>
    <w:p w14:paraId="293C2472" w14:textId="77777777" w:rsidR="00267A77" w:rsidRPr="00EC17DB" w:rsidRDefault="00267A77" w:rsidP="00EC17DB">
      <w:pPr>
        <w:spacing w:line="250" w:lineRule="auto"/>
        <w:ind w:left="357"/>
        <w:jc w:val="both"/>
        <w:rPr>
          <w:rFonts w:eastAsia="Times New Roman" w:cs="Times New Roman"/>
          <w:noProof/>
          <w:sz w:val="24"/>
          <w:szCs w:val="24"/>
        </w:rPr>
      </w:pPr>
    </w:p>
    <w:p w14:paraId="034EFE03" w14:textId="77777777" w:rsidR="00267A77" w:rsidRPr="00BC048A" w:rsidRDefault="00267A77" w:rsidP="00267A77">
      <w:pPr>
        <w:pStyle w:val="Title3"/>
        <w:spacing w:after="160" w:line="250" w:lineRule="auto"/>
        <w:ind w:left="0"/>
        <w:rPr>
          <w:b w:val="0"/>
          <w:bCs w:val="0"/>
          <w:noProof/>
          <w:szCs w:val="24"/>
          <w:lang w:val="en-GB"/>
        </w:rPr>
      </w:pPr>
      <w:bookmarkStart w:id="206" w:name="_Toc215659806"/>
      <w:bookmarkStart w:id="207" w:name="_Toc220103479"/>
      <w:r w:rsidRPr="00BC048A">
        <w:rPr>
          <w:rStyle w:val="Heading4Char"/>
          <w:rFonts w:ascii="Times New Roman" w:hAnsi="Times New Roman" w:cs="Times New Roman"/>
          <w:b w:val="0"/>
          <w:bCs w:val="0"/>
          <w:noProof/>
          <w:color w:val="auto"/>
          <w:lang w:val="en-GB"/>
        </w:rPr>
        <w:t>Japan</w:t>
      </w:r>
      <w:bookmarkEnd w:id="200"/>
      <w:bookmarkEnd w:id="201"/>
      <w:bookmarkEnd w:id="202"/>
      <w:bookmarkEnd w:id="203"/>
      <w:r w:rsidRPr="00BC048A">
        <w:rPr>
          <w:b w:val="0"/>
          <w:bCs w:val="0"/>
          <w:noProof/>
          <w:szCs w:val="24"/>
          <w:lang w:val="en-GB"/>
        </w:rPr>
        <w:t xml:space="preserve"> </w:t>
      </w:r>
      <w:r w:rsidRPr="00BC048A">
        <w:rPr>
          <w:b w:val="0"/>
          <w:bCs w:val="0"/>
          <w:noProof/>
          <w:szCs w:val="24"/>
          <w:lang w:val="en-GB" w:eastAsia="en-GB"/>
        </w:rPr>
        <w:drawing>
          <wp:inline distT="0" distB="0" distL="0" distR="0" wp14:anchorId="415935A8" wp14:editId="166C4F71">
            <wp:extent cx="146050" cy="146050"/>
            <wp:effectExtent l="0" t="0" r="6350" b="6350"/>
            <wp:docPr id="5210477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bookmarkEnd w:id="204"/>
      <w:bookmarkEnd w:id="206"/>
      <w:bookmarkEnd w:id="207"/>
    </w:p>
    <w:p w14:paraId="08736F57" w14:textId="42491A67"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November 2025, Japan launched the Japan Growth Strategy Headquarters, a policy command centre which aims to revitalise the country’s industrial base and economy with public-private investment. The Headquarters </w:t>
      </w:r>
      <w:r>
        <w:rPr>
          <w:rFonts w:eastAsia="Times New Roman" w:cs="Times New Roman"/>
          <w:noProof/>
          <w:sz w:val="24"/>
          <w:szCs w:val="24"/>
          <w:lang w:val="en-GB"/>
        </w:rPr>
        <w:t xml:space="preserve">focuses on </w:t>
      </w:r>
      <w:r w:rsidRPr="00BC048A">
        <w:rPr>
          <w:rFonts w:eastAsia="Times New Roman" w:cs="Times New Roman"/>
          <w:noProof/>
          <w:sz w:val="24"/>
          <w:szCs w:val="24"/>
          <w:lang w:val="en-GB"/>
        </w:rPr>
        <w:t>17 strategic sectors, including AI, semiconductors, energy security and defence</w:t>
      </w:r>
      <w:r>
        <w:rPr>
          <w:rFonts w:eastAsia="Times New Roman" w:cs="Times New Roman"/>
          <w:noProof/>
          <w:sz w:val="24"/>
          <w:szCs w:val="24"/>
          <w:lang w:val="en-GB"/>
        </w:rPr>
        <w:t>.</w:t>
      </w:r>
      <w:r w:rsidRPr="00BC048A">
        <w:rPr>
          <w:rFonts w:eastAsia="Times New Roman" w:cs="Times New Roman"/>
          <w:noProof/>
          <w:sz w:val="24"/>
          <w:szCs w:val="24"/>
          <w:lang w:val="en-GB"/>
        </w:rPr>
        <w:t xml:space="preserve"> </w:t>
      </w:r>
      <w:r>
        <w:rPr>
          <w:rFonts w:eastAsia="Times New Roman" w:cs="Times New Roman"/>
          <w:noProof/>
          <w:sz w:val="24"/>
          <w:szCs w:val="24"/>
          <w:lang w:val="en-GB"/>
        </w:rPr>
        <w:t xml:space="preserve">It </w:t>
      </w:r>
      <w:r w:rsidRPr="00BC048A">
        <w:rPr>
          <w:rFonts w:eastAsia="Times New Roman" w:cs="Times New Roman"/>
          <w:noProof/>
          <w:sz w:val="24"/>
          <w:szCs w:val="24"/>
          <w:lang w:val="en-GB"/>
        </w:rPr>
        <w:t>is composed of Japan’s Prime Minister, government officials and 12 private-sector exp</w:t>
      </w:r>
      <w:r>
        <w:rPr>
          <w:rFonts w:eastAsia="Times New Roman" w:cs="Times New Roman"/>
          <w:noProof/>
          <w:sz w:val="24"/>
          <w:szCs w:val="24"/>
          <w:lang w:val="en-GB"/>
        </w:rPr>
        <w:t>e</w:t>
      </w:r>
      <w:r w:rsidRPr="00BC048A">
        <w:rPr>
          <w:rFonts w:eastAsia="Times New Roman" w:cs="Times New Roman"/>
          <w:noProof/>
          <w:sz w:val="24"/>
          <w:szCs w:val="24"/>
          <w:lang w:val="en-GB"/>
        </w:rPr>
        <w:t xml:space="preserve">rts. </w:t>
      </w:r>
    </w:p>
    <w:bookmarkEnd w:id="205"/>
    <w:p w14:paraId="4F832390" w14:textId="5A96A997" w:rsidR="00267A77" w:rsidRPr="00BC048A" w:rsidRDefault="00267A77" w:rsidP="00267A77">
      <w:pPr>
        <w:pStyle w:val="ListParagraph"/>
        <w:numPr>
          <w:ilvl w:val="0"/>
          <w:numId w:val="38"/>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In May 2025, the Economic Security Action Plan (launched in 2022) was revised adding five new critical areas to monitor in relation to national security and competitiveness</w:t>
      </w:r>
      <w:r>
        <w:rPr>
          <w:rFonts w:eastAsia="Times New Roman" w:cs="Times New Roman"/>
          <w:noProof/>
          <w:sz w:val="24"/>
          <w:szCs w:val="24"/>
          <w:lang w:val="en-GB"/>
        </w:rPr>
        <w:t>.</w:t>
      </w:r>
      <w:r w:rsidRPr="00BC048A">
        <w:rPr>
          <w:rFonts w:eastAsia="Times New Roman" w:cs="Times New Roman"/>
          <w:noProof/>
          <w:sz w:val="24"/>
          <w:szCs w:val="24"/>
          <w:lang w:val="en-GB"/>
        </w:rPr>
        <w:t xml:space="preserve"> </w:t>
      </w:r>
      <w:r>
        <w:rPr>
          <w:rFonts w:eastAsia="Times New Roman" w:cs="Times New Roman"/>
          <w:noProof/>
          <w:sz w:val="24"/>
          <w:szCs w:val="24"/>
          <w:lang w:val="en-GB"/>
        </w:rPr>
        <w:t xml:space="preserve">The new areas are </w:t>
      </w:r>
      <w:r w:rsidRPr="00BC048A">
        <w:rPr>
          <w:rFonts w:eastAsia="Times New Roman" w:cs="Times New Roman"/>
          <w:noProof/>
          <w:sz w:val="24"/>
          <w:szCs w:val="24"/>
          <w:lang w:val="en-GB"/>
        </w:rPr>
        <w:t xml:space="preserve">fusion energy, manufacturing technologies for nuclear-related materials, satellites and rockets, undersea cables, and industrial-use data. </w:t>
      </w:r>
    </w:p>
    <w:p w14:paraId="74F83CAB" w14:textId="60F4DE0B"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February 2025, the Japanese government decided to revise the legal guidelines of the Economic Security Promotion Act (ESPA), which allows the government to temporarily take over critical factories of goods such as semiconductors during emergencies. The new rule could also come into play if a domestic company, influenced by foreign interests, were to attempt a takeover aimed at acquiring sensitive manufacturing technologies.</w:t>
      </w:r>
      <w:bookmarkStart w:id="208" w:name="_Toc185237913"/>
      <w:bookmarkStart w:id="209" w:name="_Toc185239916"/>
      <w:bookmarkStart w:id="210" w:name="_Toc185264683"/>
      <w:bookmarkStart w:id="211" w:name="_Toc185525779"/>
      <w:bookmarkStart w:id="212" w:name="_Toc214539711"/>
    </w:p>
    <w:p w14:paraId="723C5638" w14:textId="77777777" w:rsidR="00267A77" w:rsidRPr="00BC048A" w:rsidRDefault="00267A77" w:rsidP="00267A77">
      <w:pPr>
        <w:pStyle w:val="Title3"/>
        <w:spacing w:after="160" w:line="250" w:lineRule="auto"/>
        <w:ind w:left="0"/>
        <w:rPr>
          <w:b w:val="0"/>
          <w:bCs w:val="0"/>
          <w:noProof/>
          <w:szCs w:val="24"/>
          <w:lang w:val="en-GB"/>
        </w:rPr>
      </w:pPr>
      <w:bookmarkStart w:id="213" w:name="_Toc215659807"/>
      <w:bookmarkStart w:id="214" w:name="_Toc220103480"/>
      <w:r w:rsidRPr="00BC048A">
        <w:rPr>
          <w:rStyle w:val="Heading4Char"/>
          <w:rFonts w:ascii="Times New Roman" w:hAnsi="Times New Roman" w:cs="Times New Roman"/>
          <w:b w:val="0"/>
          <w:bCs w:val="0"/>
          <w:noProof/>
          <w:color w:val="auto"/>
          <w:lang w:val="en-GB"/>
        </w:rPr>
        <w:t>Republic of Korea</w:t>
      </w:r>
      <w:bookmarkEnd w:id="208"/>
      <w:bookmarkEnd w:id="209"/>
      <w:bookmarkEnd w:id="210"/>
      <w:bookmarkEnd w:id="211"/>
      <w:r w:rsidRPr="00BC048A">
        <w:rPr>
          <w:b w:val="0"/>
          <w:bCs w:val="0"/>
          <w:noProof/>
          <w:szCs w:val="24"/>
          <w:lang w:val="en-GB"/>
        </w:rPr>
        <w:t xml:space="preserve"> </w:t>
      </w:r>
      <w:r w:rsidRPr="00BC048A">
        <w:rPr>
          <w:b w:val="0"/>
          <w:bCs w:val="0"/>
          <w:noProof/>
          <w:szCs w:val="24"/>
          <w:lang w:val="en-GB" w:eastAsia="en-GB"/>
        </w:rPr>
        <w:drawing>
          <wp:inline distT="0" distB="0" distL="0" distR="0" wp14:anchorId="54305A9F" wp14:editId="5E1164EB">
            <wp:extent cx="133350" cy="133350"/>
            <wp:effectExtent l="0" t="0" r="0" b="0"/>
            <wp:docPr id="7808129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bookmarkEnd w:id="212"/>
      <w:bookmarkEnd w:id="213"/>
      <w:bookmarkEnd w:id="214"/>
    </w:p>
    <w:p w14:paraId="0FC483FB" w14:textId="2CF7442F" w:rsidR="00267A77" w:rsidRPr="00BC048A" w:rsidRDefault="00267A77" w:rsidP="00267A77">
      <w:pPr>
        <w:pStyle w:val="ListParagraph"/>
        <w:numPr>
          <w:ilvl w:val="0"/>
          <w:numId w:val="38"/>
        </w:numPr>
        <w:spacing w:line="250" w:lineRule="auto"/>
        <w:contextualSpacing w:val="0"/>
        <w:jc w:val="both"/>
        <w:rPr>
          <w:rFonts w:eastAsia="Times New Roman"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February 2025</w:t>
      </w:r>
      <w:r w:rsidRPr="00BC048A">
        <w:rPr>
          <w:rFonts w:cs="Times New Roman"/>
          <w:noProof/>
          <w:sz w:val="24"/>
          <w:szCs w:val="24"/>
          <w:lang w:val="en-GB"/>
        </w:rPr>
        <w:t xml:space="preserve">, the </w:t>
      </w:r>
      <w:r w:rsidRPr="00BC048A">
        <w:rPr>
          <w:rFonts w:eastAsia="Times New Roman" w:cs="Times New Roman"/>
          <w:noProof/>
          <w:sz w:val="24"/>
          <w:szCs w:val="24"/>
          <w:lang w:val="en-GB"/>
        </w:rPr>
        <w:t>Special Act on National Resource Security</w:t>
      </w:r>
      <w:r w:rsidRPr="00BC048A">
        <w:rPr>
          <w:rFonts w:cs="Times New Roman"/>
          <w:noProof/>
          <w:sz w:val="24"/>
          <w:szCs w:val="24"/>
          <w:lang w:val="en-GB"/>
        </w:rPr>
        <w:t xml:space="preserve"> came into force. It aims to </w:t>
      </w:r>
      <w:r>
        <w:rPr>
          <w:rFonts w:cs="Times New Roman"/>
          <w:noProof/>
          <w:sz w:val="24"/>
          <w:szCs w:val="24"/>
          <w:lang w:val="en-GB"/>
        </w:rPr>
        <w:t>put in place</w:t>
      </w:r>
      <w:r w:rsidRPr="00BC048A">
        <w:rPr>
          <w:rFonts w:eastAsia="Times New Roman" w:cs="Times New Roman"/>
          <w:noProof/>
          <w:sz w:val="24"/>
          <w:szCs w:val="24"/>
          <w:lang w:val="en-GB"/>
        </w:rPr>
        <w:t xml:space="preserve"> early warning systems, manage the supply and demand for essential resources, and develop crisis response frameworks</w:t>
      </w:r>
      <w:r w:rsidRPr="00BC048A">
        <w:rPr>
          <w:rFonts w:cs="Times New Roman"/>
          <w:noProof/>
          <w:sz w:val="24"/>
          <w:szCs w:val="24"/>
          <w:lang w:val="en-GB"/>
        </w:rPr>
        <w:t xml:space="preserve"> in order to tackle resource security challenges. More specifically, the Act outlines the creation of a Resource Security Council, chaired by the Minister of Trade, Industry, and Energy, to coordinate policy efforts; mandates the implementation of an early warning system to track and address resource security threats; requires designated organisations to stockpile key resources; authorises emergency actions such as price controls and resource allocation during crises; and requires the formulation of crisis response manuals alongside regular training exercises.</w:t>
      </w:r>
      <w:bookmarkStart w:id="215" w:name="_Toc185237914"/>
      <w:bookmarkStart w:id="216" w:name="_Toc185239917"/>
      <w:bookmarkStart w:id="217" w:name="_Toc185264684"/>
      <w:bookmarkStart w:id="218" w:name="_Toc185525780"/>
      <w:bookmarkStart w:id="219" w:name="_Toc214539712"/>
    </w:p>
    <w:p w14:paraId="0107DB60" w14:textId="77777777" w:rsidR="00267A77" w:rsidRPr="00BC048A" w:rsidRDefault="00267A77" w:rsidP="00267A77">
      <w:pPr>
        <w:pStyle w:val="Title3"/>
        <w:spacing w:after="160" w:line="250" w:lineRule="auto"/>
        <w:ind w:left="0"/>
        <w:rPr>
          <w:b w:val="0"/>
          <w:bCs w:val="0"/>
          <w:noProof/>
          <w:szCs w:val="24"/>
          <w:lang w:val="en-GB"/>
        </w:rPr>
      </w:pPr>
      <w:bookmarkStart w:id="220" w:name="_Toc215659808"/>
      <w:bookmarkStart w:id="221" w:name="_Toc220103481"/>
      <w:r w:rsidRPr="00BC048A">
        <w:rPr>
          <w:rStyle w:val="Heading4Char"/>
          <w:rFonts w:ascii="Times New Roman" w:hAnsi="Times New Roman" w:cs="Times New Roman"/>
          <w:b w:val="0"/>
          <w:bCs w:val="0"/>
          <w:noProof/>
          <w:color w:val="auto"/>
          <w:lang w:val="en-GB"/>
        </w:rPr>
        <w:t>Singapore</w:t>
      </w:r>
      <w:bookmarkEnd w:id="215"/>
      <w:bookmarkEnd w:id="216"/>
      <w:bookmarkEnd w:id="217"/>
      <w:bookmarkEnd w:id="218"/>
      <w:r w:rsidRPr="00BC048A">
        <w:rPr>
          <w:b w:val="0"/>
          <w:bCs w:val="0"/>
          <w:noProof/>
          <w:szCs w:val="24"/>
          <w:lang w:val="en-GB"/>
        </w:rPr>
        <w:t xml:space="preserve"> </w:t>
      </w:r>
      <w:r w:rsidRPr="00BC048A">
        <w:rPr>
          <w:rFonts w:eastAsia="Franklin Gothic Book"/>
          <w:b w:val="0"/>
          <w:bCs w:val="0"/>
          <w:noProof/>
          <w:szCs w:val="24"/>
          <w:lang w:val="en-GB" w:eastAsia="en-GB"/>
        </w:rPr>
        <mc:AlternateContent>
          <mc:Choice Requires="wps">
            <w:drawing>
              <wp:inline distT="0" distB="0" distL="0" distR="0" wp14:anchorId="5C597F6F" wp14:editId="355AE6FC">
                <wp:extent cx="147711" cy="138093"/>
                <wp:effectExtent l="0" t="0" r="5080" b="0"/>
                <wp:docPr id="2131913086"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23"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JapSjPoEAAD6BA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&#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" w14:anchorId="72211C47">
                <v:fill type="frame" o:title="" recolor="t" rotate="t" r:id="rId24"/>
                <v:stroke joinstyle="miter"/>
                <w10:anchorlock/>
              </v:oval>
            </w:pict>
          </mc:Fallback>
        </mc:AlternateContent>
      </w:r>
      <w:bookmarkEnd w:id="219"/>
      <w:bookmarkEnd w:id="220"/>
      <w:bookmarkEnd w:id="221"/>
    </w:p>
    <w:p w14:paraId="7A0C5F7F" w14:textId="7FD6DD7F" w:rsidR="00267A77" w:rsidRPr="000E65BC" w:rsidRDefault="00267A77" w:rsidP="00B53C1F">
      <w:pPr>
        <w:pStyle w:val="ListParagraph"/>
        <w:numPr>
          <w:ilvl w:val="0"/>
          <w:numId w:val="38"/>
        </w:numPr>
        <w:spacing w:line="250" w:lineRule="auto"/>
        <w:contextualSpacing w:val="0"/>
        <w:jc w:val="both"/>
        <w:rPr>
          <w:rFonts w:eastAsia="Times New Roman" w:cs="Times New Roman"/>
          <w:noProof/>
          <w:sz w:val="24"/>
          <w:szCs w:val="24"/>
        </w:rPr>
      </w:pPr>
      <w:r w:rsidRPr="00BC048A">
        <w:rPr>
          <w:rFonts w:cs="Times New Roman"/>
          <w:noProof/>
          <w:sz w:val="24"/>
          <w:szCs w:val="24"/>
          <w:lang w:val="en-GB"/>
        </w:rPr>
        <w:t>In</w:t>
      </w:r>
      <w:r w:rsidRPr="00BC048A">
        <w:rPr>
          <w:rFonts w:eastAsia="Times New Roman" w:cs="Times New Roman"/>
          <w:noProof/>
          <w:sz w:val="24"/>
          <w:szCs w:val="24"/>
          <w:lang w:val="en-GB"/>
        </w:rPr>
        <w:t xml:space="preserve"> April 2025</w:t>
      </w:r>
      <w:r w:rsidRPr="00BC048A">
        <w:rPr>
          <w:rFonts w:cs="Times New Roman"/>
          <w:noProof/>
          <w:sz w:val="24"/>
          <w:szCs w:val="24"/>
          <w:lang w:val="en-GB"/>
        </w:rPr>
        <w:t xml:space="preserve">, the </w:t>
      </w:r>
      <w:hyperlink r:id="rId135" w:history="1">
        <w:r w:rsidRPr="00BC048A">
          <w:rPr>
            <w:rFonts w:eastAsia="Times New Roman" w:cs="Times New Roman"/>
            <w:noProof/>
            <w:sz w:val="24"/>
            <w:szCs w:val="24"/>
            <w:lang w:val="en-GB"/>
          </w:rPr>
          <w:t>Singapore Economic Resilience Task</w:t>
        </w:r>
        <w:r>
          <w:rPr>
            <w:rFonts w:eastAsia="Times New Roman" w:cs="Times New Roman"/>
            <w:noProof/>
            <w:sz w:val="24"/>
            <w:szCs w:val="24"/>
            <w:lang w:val="en-GB"/>
          </w:rPr>
          <w:t xml:space="preserve"> </w:t>
        </w:r>
        <w:r w:rsidRPr="00BC048A">
          <w:rPr>
            <w:rFonts w:eastAsia="Times New Roman" w:cs="Times New Roman"/>
            <w:noProof/>
            <w:sz w:val="24"/>
            <w:szCs w:val="24"/>
            <w:lang w:val="en-GB"/>
          </w:rPr>
          <w:t>force (SERT)</w:t>
        </w:r>
      </w:hyperlink>
      <w:r w:rsidRPr="00BC048A">
        <w:rPr>
          <w:rFonts w:cs="Times New Roman"/>
          <w:noProof/>
          <w:sz w:val="24"/>
          <w:szCs w:val="24"/>
          <w:lang w:val="en-GB"/>
        </w:rPr>
        <w:t xml:space="preserve"> was formed. The SERT is a </w:t>
      </w:r>
      <w:r w:rsidRPr="00BC048A">
        <w:rPr>
          <w:rFonts w:eastAsia="Times New Roman" w:cs="Times New Roman"/>
          <w:noProof/>
          <w:sz w:val="24"/>
          <w:szCs w:val="24"/>
          <w:lang w:val="en-GB"/>
        </w:rPr>
        <w:t>government task</w:t>
      </w:r>
      <w:r>
        <w:rPr>
          <w:rFonts w:eastAsia="Times New Roman" w:cs="Times New Roman"/>
          <w:noProof/>
          <w:sz w:val="24"/>
          <w:szCs w:val="24"/>
          <w:lang w:val="en-GB"/>
        </w:rPr>
        <w:t xml:space="preserve"> </w:t>
      </w:r>
      <w:r w:rsidRPr="00BC048A">
        <w:rPr>
          <w:rFonts w:eastAsia="Times New Roman" w:cs="Times New Roman"/>
          <w:noProof/>
          <w:sz w:val="24"/>
          <w:szCs w:val="24"/>
          <w:lang w:val="en-GB"/>
        </w:rPr>
        <w:t>force created to help Singaporean businesses and workers navigate current economic challenges</w:t>
      </w:r>
      <w:r w:rsidRPr="00BC048A">
        <w:rPr>
          <w:rFonts w:cs="Times New Roman"/>
          <w:noProof/>
          <w:sz w:val="24"/>
          <w:szCs w:val="24"/>
          <w:lang w:val="en-GB"/>
        </w:rPr>
        <w:t xml:space="preserve">, namely the uncertainties caused by the US tariffs, while developing a long-term strategy. In </w:t>
      </w:r>
      <w:r w:rsidRPr="00BC048A">
        <w:rPr>
          <w:rFonts w:eastAsia="Times New Roman" w:cs="Times New Roman"/>
          <w:noProof/>
          <w:sz w:val="24"/>
          <w:szCs w:val="24"/>
          <w:lang w:val="en-GB"/>
        </w:rPr>
        <w:t>August 2025</w:t>
      </w:r>
      <w:r w:rsidRPr="00BC048A">
        <w:rPr>
          <w:rFonts w:cs="Times New Roman"/>
          <w:noProof/>
          <w:sz w:val="24"/>
          <w:szCs w:val="24"/>
          <w:lang w:val="en-GB"/>
        </w:rPr>
        <w:t xml:space="preserve">, the SERT launched an </w:t>
      </w:r>
      <w:r w:rsidRPr="00BC048A">
        <w:rPr>
          <w:rFonts w:eastAsia="Times New Roman" w:cs="Times New Roman"/>
          <w:noProof/>
          <w:sz w:val="24"/>
          <w:szCs w:val="24"/>
          <w:lang w:val="en-GB"/>
        </w:rPr>
        <w:t>Economic Strategy Review (ESR).</w:t>
      </w:r>
      <w:r w:rsidRPr="00BC048A">
        <w:rPr>
          <w:rFonts w:cs="Times New Roman"/>
          <w:noProof/>
          <w:sz w:val="24"/>
          <w:szCs w:val="24"/>
          <w:lang w:val="en-GB"/>
        </w:rPr>
        <w:t xml:space="preserve"> The ESR aims to develop longer-</w:t>
      </w:r>
      <w:r>
        <w:rPr>
          <w:rFonts w:cs="Times New Roman"/>
          <w:noProof/>
          <w:sz w:val="24"/>
          <w:szCs w:val="24"/>
          <w:lang w:val="en-GB"/>
        </w:rPr>
        <w:t>t</w:t>
      </w:r>
      <w:r w:rsidRPr="00BC048A">
        <w:rPr>
          <w:rFonts w:cs="Times New Roman"/>
          <w:noProof/>
          <w:sz w:val="24"/>
          <w:szCs w:val="24"/>
          <w:lang w:val="en-GB"/>
        </w:rPr>
        <w:t xml:space="preserve">erm strategies to strengthen Singapore’s global competitiveness, leverage technology and innovation, nurture entrepreneurship, enhance human capital and manage the impact of restructuring. It involves five committees composed of members of government, private </w:t>
      </w:r>
      <w:r>
        <w:rPr>
          <w:rFonts w:cs="Times New Roman"/>
          <w:noProof/>
          <w:sz w:val="24"/>
          <w:szCs w:val="24"/>
          <w:lang w:val="en-GB"/>
        </w:rPr>
        <w:t>sector</w:t>
      </w:r>
      <w:r w:rsidRPr="00BC048A">
        <w:rPr>
          <w:rFonts w:cs="Times New Roman"/>
          <w:noProof/>
          <w:sz w:val="24"/>
          <w:szCs w:val="24"/>
          <w:lang w:val="en-GB"/>
        </w:rPr>
        <w:t>, unions and other stakeholders.</w:t>
      </w:r>
      <w:bookmarkStart w:id="222" w:name="_Toc214539713"/>
    </w:p>
    <w:p w14:paraId="47B87426" w14:textId="77777777" w:rsidR="00267A77" w:rsidRPr="00BC048A" w:rsidRDefault="00267A77" w:rsidP="00267A77">
      <w:pPr>
        <w:pStyle w:val="Title3"/>
        <w:spacing w:after="160" w:line="250" w:lineRule="auto"/>
        <w:ind w:left="0"/>
        <w:rPr>
          <w:b w:val="0"/>
          <w:bCs w:val="0"/>
          <w:noProof/>
          <w:szCs w:val="24"/>
          <w:lang w:val="en-GB"/>
        </w:rPr>
      </w:pPr>
      <w:bookmarkStart w:id="223" w:name="_Toc215659809"/>
      <w:bookmarkStart w:id="224" w:name="_Toc220103482"/>
      <w:r w:rsidRPr="00BC048A">
        <w:rPr>
          <w:rStyle w:val="Heading4Char"/>
          <w:rFonts w:ascii="Times New Roman" w:hAnsi="Times New Roman" w:cs="Times New Roman"/>
          <w:b w:val="0"/>
          <w:bCs w:val="0"/>
          <w:noProof/>
          <w:color w:val="auto"/>
          <w:lang w:val="en-GB"/>
        </w:rPr>
        <w:t>Australia</w:t>
      </w:r>
      <w:r w:rsidRPr="00BC048A">
        <w:rPr>
          <w:b w:val="0"/>
          <w:bCs w:val="0"/>
          <w:noProof/>
          <w:szCs w:val="24"/>
          <w:lang w:val="en-GB"/>
        </w:rPr>
        <w:t xml:space="preserve"> </w:t>
      </w:r>
      <w:r w:rsidRPr="00BC048A">
        <w:rPr>
          <w:rFonts w:eastAsia="Franklin Gothic Book"/>
          <w:b w:val="0"/>
          <w:bCs w:val="0"/>
          <w:noProof/>
          <w:szCs w:val="24"/>
          <w:lang w:val="en-GB" w:eastAsia="en-GB"/>
        </w:rPr>
        <w:drawing>
          <wp:inline distT="0" distB="0" distL="0" distR="0" wp14:anchorId="2D4CA801" wp14:editId="70D60CB2">
            <wp:extent cx="140400" cy="140400"/>
            <wp:effectExtent l="0" t="0" r="0" b="0"/>
            <wp:docPr id="668629236" name="Picture 1" descr="A flag of australia with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00973" name="Picture 1" descr="A flag of australia with stars&#10;&#10;AI-generated content may be incorrect."/>
                    <pic:cNvPicPr/>
                  </pic:nvPicPr>
                  <pic:blipFill>
                    <a:blip r:embed="rId25"/>
                    <a:stretch>
                      <a:fillRect/>
                    </a:stretch>
                  </pic:blipFill>
                  <pic:spPr>
                    <a:xfrm>
                      <a:off x="0" y="0"/>
                      <a:ext cx="140400" cy="140400"/>
                    </a:xfrm>
                    <a:prstGeom prst="rect">
                      <a:avLst/>
                    </a:prstGeom>
                  </pic:spPr>
                </pic:pic>
              </a:graphicData>
            </a:graphic>
          </wp:inline>
        </w:drawing>
      </w:r>
      <w:bookmarkEnd w:id="222"/>
      <w:bookmarkEnd w:id="223"/>
      <w:bookmarkEnd w:id="224"/>
    </w:p>
    <w:p w14:paraId="0A4CB258" w14:textId="42FC3405" w:rsidR="00267A77" w:rsidRPr="00BC048A" w:rsidRDefault="00267A77" w:rsidP="00267A77">
      <w:pPr>
        <w:pStyle w:val="ListParagraph"/>
        <w:numPr>
          <w:ilvl w:val="0"/>
          <w:numId w:val="38"/>
        </w:numPr>
        <w:spacing w:line="250" w:lineRule="auto"/>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On 24</w:t>
      </w:r>
      <w:r>
        <w:rPr>
          <w:rFonts w:eastAsia="Times New Roman" w:cs="Times New Roman"/>
          <w:noProof/>
          <w:sz w:val="24"/>
          <w:szCs w:val="24"/>
          <w:lang w:val="en-GB"/>
        </w:rPr>
        <w:t> </w:t>
      </w:r>
      <w:r w:rsidRPr="00BC048A">
        <w:rPr>
          <w:rFonts w:eastAsia="Times New Roman" w:cs="Times New Roman"/>
          <w:noProof/>
          <w:sz w:val="24"/>
          <w:szCs w:val="24"/>
          <w:lang w:val="en-GB"/>
        </w:rPr>
        <w:t xml:space="preserve">April 2025, Australia committed to </w:t>
      </w:r>
      <w:r>
        <w:rPr>
          <w:rFonts w:eastAsia="Times New Roman" w:cs="Times New Roman"/>
          <w:noProof/>
          <w:sz w:val="24"/>
          <w:szCs w:val="24"/>
          <w:lang w:val="en-GB"/>
        </w:rPr>
        <w:t xml:space="preserve">create </w:t>
      </w:r>
      <w:r w:rsidRPr="00BC048A">
        <w:rPr>
          <w:rFonts w:eastAsia="Times New Roman" w:cs="Times New Roman"/>
          <w:noProof/>
          <w:sz w:val="24"/>
          <w:szCs w:val="24"/>
          <w:lang w:val="en-GB"/>
        </w:rPr>
        <w:t>a Critical Minerals Strategic Reserve to maximise the strategic value of Australia’s critical minerals. The government allocated AUS 1.2 billion to establish the reserve in the 2025-26 Federal Budget. The reserve is expected to be operational in the second half of 2026. A task</w:t>
      </w:r>
      <w:r>
        <w:rPr>
          <w:rFonts w:eastAsia="Times New Roman" w:cs="Times New Roman"/>
          <w:noProof/>
          <w:sz w:val="24"/>
          <w:szCs w:val="24"/>
          <w:lang w:val="en-GB"/>
        </w:rPr>
        <w:t xml:space="preserve"> </w:t>
      </w:r>
      <w:r w:rsidRPr="00BC048A">
        <w:rPr>
          <w:rFonts w:eastAsia="Times New Roman" w:cs="Times New Roman"/>
          <w:noProof/>
          <w:sz w:val="24"/>
          <w:szCs w:val="24"/>
          <w:lang w:val="en-GB"/>
        </w:rPr>
        <w:t xml:space="preserve">force </w:t>
      </w:r>
      <w:r>
        <w:rPr>
          <w:rFonts w:eastAsia="Times New Roman" w:cs="Times New Roman"/>
          <w:noProof/>
          <w:sz w:val="24"/>
          <w:szCs w:val="24"/>
          <w:lang w:val="en-GB"/>
        </w:rPr>
        <w:t>w</w:t>
      </w:r>
      <w:r w:rsidRPr="00BC048A">
        <w:rPr>
          <w:rFonts w:eastAsia="Times New Roman" w:cs="Times New Roman"/>
          <w:noProof/>
          <w:sz w:val="24"/>
          <w:szCs w:val="24"/>
          <w:lang w:val="en-GB"/>
        </w:rPr>
        <w:t xml:space="preserve">as established in the Department of the Prime Minister and Cabinet to advise </w:t>
      </w:r>
      <w:r>
        <w:rPr>
          <w:rFonts w:eastAsia="Times New Roman" w:cs="Times New Roman"/>
          <w:noProof/>
          <w:sz w:val="24"/>
          <w:szCs w:val="24"/>
          <w:lang w:val="en-GB"/>
        </w:rPr>
        <w:t xml:space="preserve">the </w:t>
      </w:r>
      <w:r w:rsidRPr="00BC048A">
        <w:rPr>
          <w:rFonts w:eastAsia="Times New Roman" w:cs="Times New Roman"/>
          <w:noProof/>
          <w:sz w:val="24"/>
          <w:szCs w:val="24"/>
          <w:lang w:val="en-GB"/>
        </w:rPr>
        <w:t xml:space="preserve">government on the </w:t>
      </w:r>
      <w:r>
        <w:rPr>
          <w:rFonts w:eastAsia="Times New Roman" w:cs="Times New Roman"/>
          <w:noProof/>
          <w:sz w:val="24"/>
          <w:szCs w:val="24"/>
          <w:lang w:val="en-GB"/>
        </w:rPr>
        <w:t xml:space="preserve">design of the </w:t>
      </w:r>
      <w:r w:rsidRPr="00BC048A">
        <w:rPr>
          <w:rFonts w:eastAsia="Times New Roman" w:cs="Times New Roman"/>
          <w:noProof/>
          <w:sz w:val="24"/>
          <w:szCs w:val="24"/>
          <w:lang w:val="en-GB"/>
        </w:rPr>
        <w:t>reserve. The task</w:t>
      </w:r>
      <w:r>
        <w:rPr>
          <w:rFonts w:eastAsia="Times New Roman" w:cs="Times New Roman"/>
          <w:noProof/>
          <w:sz w:val="24"/>
          <w:szCs w:val="24"/>
          <w:lang w:val="en-GB"/>
        </w:rPr>
        <w:t xml:space="preserve"> </w:t>
      </w:r>
      <w:r w:rsidRPr="00BC048A">
        <w:rPr>
          <w:rFonts w:eastAsia="Times New Roman" w:cs="Times New Roman"/>
          <w:noProof/>
          <w:sz w:val="24"/>
          <w:szCs w:val="24"/>
          <w:lang w:val="en-GB"/>
        </w:rPr>
        <w:t xml:space="preserve">force reports jointly to the Prime Minister and the Minister for Resources and will consult with critical minerals industry associations and businesses, state and territory governments, international partners and other interested stakeholders. </w:t>
      </w:r>
      <w:bookmarkStart w:id="225" w:name="_Toc214539714"/>
    </w:p>
    <w:p w14:paraId="3B6299F5" w14:textId="77777777" w:rsidR="00267A77" w:rsidRPr="00BC048A" w:rsidRDefault="00267A77" w:rsidP="00267A77">
      <w:pPr>
        <w:pStyle w:val="Title3"/>
        <w:spacing w:after="160" w:line="250" w:lineRule="auto"/>
        <w:ind w:left="0"/>
        <w:rPr>
          <w:b w:val="0"/>
          <w:bCs w:val="0"/>
          <w:noProof/>
          <w:szCs w:val="24"/>
          <w:lang w:val="en-GB"/>
        </w:rPr>
      </w:pPr>
      <w:bookmarkStart w:id="226" w:name="_Toc215659810"/>
      <w:bookmarkStart w:id="227" w:name="_Toc220103483"/>
      <w:r w:rsidRPr="00BC048A">
        <w:rPr>
          <w:rStyle w:val="Heading4Char"/>
          <w:rFonts w:ascii="Times New Roman" w:hAnsi="Times New Roman" w:cs="Times New Roman"/>
          <w:b w:val="0"/>
          <w:bCs w:val="0"/>
          <w:noProof/>
          <w:color w:val="auto"/>
          <w:lang w:val="en-GB"/>
        </w:rPr>
        <w:t>India</w:t>
      </w:r>
      <w:r w:rsidRPr="00BC048A">
        <w:rPr>
          <w:b w:val="0"/>
          <w:bCs w:val="0"/>
          <w:noProof/>
          <w:szCs w:val="24"/>
          <w:lang w:val="en-GB"/>
        </w:rPr>
        <w:t xml:space="preserve"> </w:t>
      </w:r>
      <w:r w:rsidRPr="00BC048A">
        <w:rPr>
          <w:b w:val="0"/>
          <w:bCs w:val="0"/>
          <w:noProof/>
          <w:szCs w:val="24"/>
          <w:lang w:val="en-GB" w:eastAsia="en-GB"/>
        </w:rPr>
        <w:drawing>
          <wp:inline distT="0" distB="0" distL="0" distR="0" wp14:anchorId="5EB1FCCD" wp14:editId="6D3C334A">
            <wp:extent cx="129540" cy="129540"/>
            <wp:effectExtent l="0" t="0" r="3810" b="3810"/>
            <wp:docPr id="8443641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bookmarkEnd w:id="225"/>
      <w:bookmarkEnd w:id="226"/>
      <w:bookmarkEnd w:id="227"/>
    </w:p>
    <w:p w14:paraId="50B92A7D" w14:textId="645659B3" w:rsidR="00267A77" w:rsidRPr="00BC048A" w:rsidRDefault="00267A77" w:rsidP="00267A77">
      <w:pPr>
        <w:pStyle w:val="ListParagraph"/>
        <w:numPr>
          <w:ilvl w:val="0"/>
          <w:numId w:val="38"/>
        </w:numPr>
        <w:spacing w:line="250" w:lineRule="auto"/>
        <w:contextualSpacing w:val="0"/>
        <w:jc w:val="both"/>
        <w:rPr>
          <w:rFonts w:eastAsia="Times New Roman"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October 2025</w:t>
      </w:r>
      <w:r w:rsidRPr="00BC048A">
        <w:rPr>
          <w:rFonts w:cs="Times New Roman"/>
          <w:noProof/>
          <w:sz w:val="24"/>
          <w:szCs w:val="24"/>
          <w:lang w:val="en-GB"/>
        </w:rPr>
        <w:t xml:space="preserve">, India announced the launch of the </w:t>
      </w:r>
      <w:r w:rsidRPr="00BC048A">
        <w:rPr>
          <w:rFonts w:eastAsia="Times New Roman" w:cs="Times New Roman"/>
          <w:noProof/>
          <w:sz w:val="24"/>
          <w:szCs w:val="24"/>
          <w:lang w:val="en-GB"/>
        </w:rPr>
        <w:t>National Critical Mineral Stockpile</w:t>
      </w:r>
      <w:r w:rsidRPr="00BC048A">
        <w:rPr>
          <w:rFonts w:cs="Times New Roman"/>
          <w:noProof/>
          <w:sz w:val="24"/>
          <w:szCs w:val="24"/>
          <w:lang w:val="en-GB"/>
        </w:rPr>
        <w:t xml:space="preserve"> to secure rare earth elements and other critical minerals essential for clean energy, electronics and defence. The government has allocated INR</w:t>
      </w:r>
      <w:r>
        <w:rPr>
          <w:rFonts w:cs="Times New Roman"/>
          <w:noProof/>
          <w:sz w:val="24"/>
          <w:szCs w:val="24"/>
          <w:lang w:val="en-GB"/>
        </w:rPr>
        <w:t> </w:t>
      </w:r>
      <w:r w:rsidRPr="00BC048A">
        <w:rPr>
          <w:rFonts w:cs="Times New Roman"/>
          <w:noProof/>
          <w:sz w:val="24"/>
          <w:szCs w:val="24"/>
          <w:lang w:val="en-GB"/>
        </w:rPr>
        <w:t>500 (EUR</w:t>
      </w:r>
      <w:r>
        <w:rPr>
          <w:rFonts w:cs="Times New Roman"/>
          <w:noProof/>
          <w:sz w:val="24"/>
          <w:szCs w:val="24"/>
          <w:lang w:val="en-GB"/>
        </w:rPr>
        <w:t> </w:t>
      </w:r>
      <w:r w:rsidRPr="00BC048A">
        <w:rPr>
          <w:rFonts w:cs="Times New Roman"/>
          <w:noProof/>
          <w:sz w:val="24"/>
          <w:szCs w:val="24"/>
          <w:lang w:val="en-GB"/>
        </w:rPr>
        <w:t>48.9 million) under the National Critical Minerals Mission to support this effort, and private</w:t>
      </w:r>
      <w:r>
        <w:rPr>
          <w:rFonts w:cs="Times New Roman"/>
          <w:noProof/>
          <w:sz w:val="24"/>
          <w:szCs w:val="24"/>
          <w:lang w:val="en-GB"/>
        </w:rPr>
        <w:t>-</w:t>
      </w:r>
      <w:r w:rsidRPr="00BC048A">
        <w:rPr>
          <w:rFonts w:cs="Times New Roman"/>
          <w:noProof/>
          <w:sz w:val="24"/>
          <w:szCs w:val="24"/>
          <w:lang w:val="en-GB"/>
        </w:rPr>
        <w:t xml:space="preserve">sector participation is encouraged in procurement, storage and release mechanisms. The stockpile will initially hold a two-month reserve of processed rare earths and will later expand to include other strategic minerals. The initiative is designed to act as a buffer against global supply disruptions and price volatility, particularly in response to China’s export controls. </w:t>
      </w:r>
      <w:bookmarkStart w:id="228" w:name="_Toc214539715"/>
    </w:p>
    <w:p w14:paraId="6A9FD91F" w14:textId="77777777" w:rsidR="00267A77" w:rsidRPr="00BC048A" w:rsidRDefault="00267A77" w:rsidP="00267A77">
      <w:pPr>
        <w:pStyle w:val="Title3"/>
        <w:spacing w:after="160" w:line="250" w:lineRule="auto"/>
        <w:ind w:left="0"/>
        <w:rPr>
          <w:b w:val="0"/>
          <w:bCs w:val="0"/>
          <w:noProof/>
          <w:szCs w:val="24"/>
          <w:lang w:val="en-GB"/>
        </w:rPr>
      </w:pPr>
      <w:bookmarkStart w:id="229" w:name="_Toc215659811"/>
      <w:bookmarkStart w:id="230" w:name="_Toc220103484"/>
      <w:r w:rsidRPr="00BC048A">
        <w:rPr>
          <w:rStyle w:val="Heading4Char"/>
          <w:rFonts w:ascii="Times New Roman" w:hAnsi="Times New Roman" w:cs="Times New Roman"/>
          <w:b w:val="0"/>
          <w:bCs w:val="0"/>
          <w:noProof/>
          <w:color w:val="auto"/>
          <w:lang w:val="en-GB"/>
        </w:rPr>
        <w:t xml:space="preserve">Canada </w:t>
      </w:r>
      <w:r w:rsidRPr="00BC048A">
        <w:rPr>
          <w:b w:val="0"/>
          <w:bCs w:val="0"/>
          <w:noProof/>
          <w:szCs w:val="24"/>
          <w:lang w:val="en-GB" w:eastAsia="en-GB"/>
        </w:rPr>
        <w:drawing>
          <wp:inline distT="0" distB="0" distL="0" distR="0" wp14:anchorId="39889086" wp14:editId="471D3B39">
            <wp:extent cx="152400" cy="152400"/>
            <wp:effectExtent l="0" t="0" r="0" b="0"/>
            <wp:docPr id="739733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bookmarkEnd w:id="228"/>
      <w:bookmarkEnd w:id="229"/>
      <w:bookmarkEnd w:id="230"/>
    </w:p>
    <w:p w14:paraId="115960B1" w14:textId="0E929B75"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November 2025, Canada announced  seven initiatives on energy and critical raw materials to be recommended for fast-track approval. The initiatives are worth a combined CAD</w:t>
      </w:r>
      <w:r>
        <w:rPr>
          <w:rFonts w:eastAsia="Times New Roman" w:cs="Times New Roman"/>
          <w:noProof/>
          <w:sz w:val="24"/>
          <w:szCs w:val="24"/>
          <w:lang w:val="en-GB"/>
        </w:rPr>
        <w:t> </w:t>
      </w:r>
      <w:r w:rsidRPr="00BC048A">
        <w:rPr>
          <w:rFonts w:eastAsia="Times New Roman" w:cs="Times New Roman"/>
          <w:noProof/>
          <w:sz w:val="24"/>
          <w:szCs w:val="24"/>
          <w:lang w:val="en-GB"/>
        </w:rPr>
        <w:t>116 billion (EUR</w:t>
      </w:r>
      <w:r>
        <w:rPr>
          <w:rFonts w:eastAsia="Times New Roman" w:cs="Times New Roman"/>
          <w:noProof/>
          <w:sz w:val="24"/>
          <w:szCs w:val="24"/>
          <w:lang w:val="en-GB"/>
        </w:rPr>
        <w:t> </w:t>
      </w:r>
      <w:r w:rsidRPr="00BC048A">
        <w:rPr>
          <w:rFonts w:eastAsia="Times New Roman" w:cs="Times New Roman"/>
          <w:noProof/>
          <w:sz w:val="24"/>
          <w:szCs w:val="24"/>
          <w:lang w:val="en-GB"/>
        </w:rPr>
        <w:t>71 billion). The announcement adds to the five projects already announced for fast-tracking in September and follows the launch of the Major Projects Office in August 2025</w:t>
      </w:r>
      <w:r>
        <w:rPr>
          <w:rFonts w:eastAsia="Times New Roman" w:cs="Times New Roman"/>
          <w:noProof/>
          <w:sz w:val="24"/>
          <w:szCs w:val="24"/>
          <w:lang w:val="en-GB"/>
        </w:rPr>
        <w:t>.</w:t>
      </w:r>
      <w:r w:rsidRPr="00BC048A">
        <w:rPr>
          <w:rFonts w:eastAsia="Times New Roman" w:cs="Times New Roman"/>
          <w:noProof/>
          <w:sz w:val="24"/>
          <w:szCs w:val="24"/>
          <w:lang w:val="en-GB"/>
        </w:rPr>
        <w:t xml:space="preserve"> </w:t>
      </w:r>
      <w:r>
        <w:rPr>
          <w:rFonts w:eastAsia="Times New Roman" w:cs="Times New Roman"/>
          <w:noProof/>
          <w:sz w:val="24"/>
          <w:szCs w:val="24"/>
          <w:lang w:val="en-GB"/>
        </w:rPr>
        <w:t xml:space="preserve">The </w:t>
      </w:r>
      <w:r w:rsidRPr="00BC048A">
        <w:rPr>
          <w:rFonts w:eastAsia="Times New Roman" w:cs="Times New Roman"/>
          <w:noProof/>
          <w:sz w:val="24"/>
          <w:szCs w:val="24"/>
          <w:lang w:val="en-GB"/>
        </w:rPr>
        <w:t xml:space="preserve">aim </w:t>
      </w:r>
      <w:r>
        <w:rPr>
          <w:rFonts w:eastAsia="Times New Roman" w:cs="Times New Roman"/>
          <w:noProof/>
          <w:sz w:val="24"/>
          <w:szCs w:val="24"/>
          <w:lang w:val="en-GB"/>
        </w:rPr>
        <w:t>of this Office i</w:t>
      </w:r>
      <w:r w:rsidRPr="00BC048A">
        <w:rPr>
          <w:rFonts w:eastAsia="Times New Roman" w:cs="Times New Roman"/>
          <w:noProof/>
          <w:sz w:val="24"/>
          <w:szCs w:val="24"/>
          <w:lang w:val="en-GB"/>
        </w:rPr>
        <w:t xml:space="preserve">s to </w:t>
      </w:r>
      <w:r>
        <w:rPr>
          <w:rFonts w:eastAsia="Times New Roman" w:cs="Times New Roman"/>
          <w:noProof/>
          <w:sz w:val="24"/>
          <w:szCs w:val="24"/>
          <w:lang w:val="en-GB"/>
        </w:rPr>
        <w:t>have</w:t>
      </w:r>
      <w:r w:rsidRPr="00BC048A">
        <w:rPr>
          <w:rFonts w:eastAsia="Times New Roman" w:cs="Times New Roman"/>
          <w:noProof/>
          <w:sz w:val="24"/>
          <w:szCs w:val="24"/>
          <w:lang w:val="en-GB"/>
        </w:rPr>
        <w:t xml:space="preserve"> a single point of contact to get nation-building projects built faster.</w:t>
      </w:r>
    </w:p>
    <w:p w14:paraId="2CDF2564" w14:textId="3AF2B64D"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June 2025, the One Canadian Economy Act received royal assent, which aims to remove interprovincial trade barriers and accelerat</w:t>
      </w:r>
      <w:r>
        <w:rPr>
          <w:rFonts w:eastAsia="Times New Roman" w:cs="Times New Roman"/>
          <w:noProof/>
          <w:sz w:val="24"/>
          <w:szCs w:val="24"/>
          <w:lang w:val="en-GB"/>
        </w:rPr>
        <w:t>e</w:t>
      </w:r>
      <w:r w:rsidRPr="00BC048A">
        <w:rPr>
          <w:rFonts w:eastAsia="Times New Roman" w:cs="Times New Roman"/>
          <w:noProof/>
          <w:sz w:val="24"/>
          <w:szCs w:val="24"/>
          <w:lang w:val="en-GB"/>
        </w:rPr>
        <w:t xml:space="preserve"> the approval of major ‘nation-building’ projects in an effort to bolster untapped domestic economic potential. The Act includes the Building Canada Act</w:t>
      </w:r>
      <w:r>
        <w:rPr>
          <w:rFonts w:eastAsia="Times New Roman" w:cs="Times New Roman"/>
          <w:noProof/>
          <w:sz w:val="24"/>
          <w:szCs w:val="24"/>
          <w:lang w:val="en-GB"/>
        </w:rPr>
        <w:t>,</w:t>
      </w:r>
      <w:r w:rsidRPr="00BC048A">
        <w:rPr>
          <w:rFonts w:eastAsia="Times New Roman" w:cs="Times New Roman"/>
          <w:noProof/>
          <w:sz w:val="24"/>
          <w:szCs w:val="24"/>
          <w:lang w:val="en-GB"/>
        </w:rPr>
        <w:t xml:space="preserve"> which streamlines the regulatory process for projects in Canada’s national interest, </w:t>
      </w:r>
      <w:r>
        <w:rPr>
          <w:rFonts w:eastAsia="Times New Roman" w:cs="Times New Roman"/>
          <w:noProof/>
          <w:sz w:val="24"/>
          <w:szCs w:val="24"/>
          <w:lang w:val="en-GB"/>
        </w:rPr>
        <w:t xml:space="preserve">to </w:t>
      </w:r>
      <w:r w:rsidRPr="00BC048A">
        <w:rPr>
          <w:rFonts w:eastAsia="Times New Roman" w:cs="Times New Roman"/>
          <w:noProof/>
          <w:sz w:val="24"/>
          <w:szCs w:val="24"/>
          <w:lang w:val="en-GB"/>
        </w:rPr>
        <w:t xml:space="preserve">be overseen by </w:t>
      </w:r>
      <w:r>
        <w:rPr>
          <w:rFonts w:eastAsia="Times New Roman" w:cs="Times New Roman"/>
          <w:noProof/>
          <w:sz w:val="24"/>
          <w:szCs w:val="24"/>
          <w:lang w:val="en-GB"/>
        </w:rPr>
        <w:t>the</w:t>
      </w:r>
      <w:r w:rsidRPr="00BC048A">
        <w:rPr>
          <w:rFonts w:eastAsia="Times New Roman" w:cs="Times New Roman"/>
          <w:noProof/>
          <w:sz w:val="24"/>
          <w:szCs w:val="24"/>
          <w:lang w:val="en-GB"/>
        </w:rPr>
        <w:t xml:space="preserve"> Major Projects Office. The second part regards the Free Trade and Labour Mobility in Canada Act</w:t>
      </w:r>
      <w:r>
        <w:rPr>
          <w:rFonts w:eastAsia="Times New Roman" w:cs="Times New Roman"/>
          <w:noProof/>
          <w:sz w:val="24"/>
          <w:szCs w:val="24"/>
          <w:lang w:val="en-GB"/>
        </w:rPr>
        <w:t>,</w:t>
      </w:r>
      <w:r w:rsidRPr="00BC048A">
        <w:rPr>
          <w:rFonts w:eastAsia="Times New Roman" w:cs="Times New Roman"/>
          <w:noProof/>
          <w:sz w:val="24"/>
          <w:szCs w:val="24"/>
          <w:lang w:val="en-GB"/>
        </w:rPr>
        <w:t xml:space="preserve"> which facilitates the movement of goods, services and workers across provinces, in the absence of a Canadian internal market.</w:t>
      </w:r>
      <w:bookmarkStart w:id="231" w:name="_Toc185237916"/>
      <w:bookmarkStart w:id="232" w:name="_Toc185239919"/>
      <w:bookmarkStart w:id="233" w:name="_Toc185264686"/>
      <w:bookmarkStart w:id="234" w:name="_Toc185525782"/>
      <w:bookmarkStart w:id="235" w:name="_Toc214539716"/>
    </w:p>
    <w:p w14:paraId="07AA44EC" w14:textId="77777777" w:rsidR="00267A77" w:rsidRPr="00BC048A" w:rsidRDefault="00267A77" w:rsidP="00267A77">
      <w:pPr>
        <w:pStyle w:val="ListParagraph"/>
        <w:spacing w:line="250" w:lineRule="auto"/>
        <w:contextualSpacing w:val="0"/>
        <w:jc w:val="both"/>
        <w:rPr>
          <w:rFonts w:eastAsia="Times New Roman" w:cs="Times New Roman"/>
          <w:noProof/>
          <w:sz w:val="24"/>
          <w:szCs w:val="24"/>
          <w:lang w:val="en-GB"/>
        </w:rPr>
      </w:pPr>
    </w:p>
    <w:p w14:paraId="2A22D22D" w14:textId="77777777" w:rsidR="00267A77" w:rsidRPr="00BC048A" w:rsidRDefault="00267A77" w:rsidP="00267A77">
      <w:pPr>
        <w:pStyle w:val="Heading3"/>
        <w:spacing w:before="0" w:after="160" w:line="250" w:lineRule="auto"/>
        <w:rPr>
          <w:rFonts w:ascii="Times New Roman" w:hAnsi="Times New Roman"/>
          <w:b/>
          <w:bCs/>
          <w:noProof/>
          <w:color w:val="auto"/>
        </w:rPr>
      </w:pPr>
      <w:bookmarkStart w:id="236" w:name="_Toc215659812"/>
      <w:bookmarkStart w:id="237" w:name="_Toc220103485"/>
      <w:r w:rsidRPr="00BC048A">
        <w:rPr>
          <w:rFonts w:ascii="Times New Roman" w:hAnsi="Times New Roman"/>
          <w:b/>
          <w:bCs/>
          <w:noProof/>
          <w:color w:val="auto"/>
        </w:rPr>
        <w:t>2.2 Financial and fiscal support (including R&amp;D)</w:t>
      </w:r>
      <w:bookmarkEnd w:id="231"/>
      <w:bookmarkEnd w:id="232"/>
      <w:bookmarkEnd w:id="233"/>
      <w:bookmarkEnd w:id="234"/>
      <w:bookmarkEnd w:id="235"/>
      <w:bookmarkEnd w:id="236"/>
      <w:bookmarkEnd w:id="237"/>
    </w:p>
    <w:p w14:paraId="14E5C3EB" w14:textId="77777777" w:rsidR="00267A77" w:rsidRPr="00BC048A" w:rsidRDefault="00267A77" w:rsidP="00267A77">
      <w:pPr>
        <w:pStyle w:val="Title3"/>
        <w:spacing w:after="160" w:line="250" w:lineRule="auto"/>
        <w:ind w:left="0"/>
        <w:rPr>
          <w:b w:val="0"/>
          <w:bCs w:val="0"/>
          <w:noProof/>
          <w:szCs w:val="24"/>
          <w:lang w:val="en-GB"/>
        </w:rPr>
      </w:pPr>
      <w:bookmarkStart w:id="238" w:name="_Toc185237917"/>
      <w:bookmarkStart w:id="239" w:name="_Toc185239920"/>
      <w:bookmarkStart w:id="240" w:name="_Toc185264687"/>
      <w:bookmarkStart w:id="241" w:name="_Toc185525783"/>
      <w:bookmarkStart w:id="242" w:name="_Toc214539717"/>
      <w:bookmarkStart w:id="243" w:name="_Toc215659813"/>
      <w:bookmarkStart w:id="244" w:name="_Toc220103486"/>
      <w:r w:rsidRPr="00BC048A">
        <w:rPr>
          <w:rStyle w:val="Heading4Char"/>
          <w:rFonts w:ascii="Times New Roman" w:hAnsi="Times New Roman" w:cs="Times New Roman"/>
          <w:b w:val="0"/>
          <w:bCs w:val="0"/>
          <w:noProof/>
          <w:color w:val="auto"/>
          <w:lang w:val="en-GB"/>
        </w:rPr>
        <w:t>United States</w:t>
      </w:r>
      <w:bookmarkEnd w:id="238"/>
      <w:bookmarkEnd w:id="239"/>
      <w:bookmarkEnd w:id="240"/>
      <w:bookmarkEnd w:id="241"/>
      <w:r w:rsidRPr="00BC048A">
        <w:rPr>
          <w:b w:val="0"/>
          <w:bCs w:val="0"/>
          <w:noProof/>
          <w:lang w:val="en-GB"/>
        </w:rPr>
        <w:t xml:space="preserve"> </w:t>
      </w:r>
      <w:r w:rsidRPr="00BC048A">
        <w:rPr>
          <w:rFonts w:eastAsia="Franklin Gothic Book"/>
          <w:b w:val="0"/>
          <w:bCs w:val="0"/>
          <w:noProof/>
          <w:lang w:val="en-GB" w:eastAsia="en-GB"/>
        </w:rPr>
        <mc:AlternateContent>
          <mc:Choice Requires="wps">
            <w:drawing>
              <wp:inline distT="0" distB="0" distL="0" distR="0" wp14:anchorId="4775CBAE" wp14:editId="5C75FC3F">
                <wp:extent cx="147711" cy="138093"/>
                <wp:effectExtent l="0" t="0" r="5080" b="0"/>
                <wp:docPr id="43509710"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Y7tFUkkGAABJBg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" w14:anchorId="13398FB7">
                <v:fill type="frame" o:title="" recolor="t" rotate="t" r:id="rId19"/>
                <v:stroke joinstyle="miter"/>
                <w10:anchorlock/>
              </v:oval>
            </w:pict>
          </mc:Fallback>
        </mc:AlternateContent>
      </w:r>
      <w:bookmarkEnd w:id="242"/>
      <w:bookmarkEnd w:id="243"/>
      <w:bookmarkEnd w:id="244"/>
    </w:p>
    <w:p w14:paraId="4D99D15B" w14:textId="70FC3D8E" w:rsidR="00267A77" w:rsidRPr="00BC048A" w:rsidRDefault="00267A77" w:rsidP="00267A77">
      <w:pPr>
        <w:pStyle w:val="ListParagraph"/>
        <w:numPr>
          <w:ilvl w:val="0"/>
          <w:numId w:val="38"/>
        </w:numPr>
        <w:spacing w:line="250" w:lineRule="auto"/>
        <w:contextualSpacing w:val="0"/>
        <w:jc w:val="both"/>
        <w:rPr>
          <w:rFonts w:cs="Times New Roman"/>
          <w:noProof/>
          <w:sz w:val="24"/>
          <w:szCs w:val="24"/>
          <w:lang w:val="en-GB"/>
        </w:rPr>
      </w:pPr>
      <w:r w:rsidRPr="00BC048A">
        <w:rPr>
          <w:rFonts w:eastAsia="Times New Roman" w:cs="Times New Roman"/>
          <w:noProof/>
          <w:sz w:val="24"/>
          <w:szCs w:val="24"/>
          <w:lang w:val="en-GB"/>
        </w:rPr>
        <w:t xml:space="preserve">In July 2025, </w:t>
      </w:r>
      <w:r w:rsidR="009B644E">
        <w:rPr>
          <w:rFonts w:eastAsia="Times New Roman" w:cs="Times New Roman"/>
          <w:noProof/>
          <w:sz w:val="24"/>
          <w:szCs w:val="24"/>
          <w:lang w:val="en-GB"/>
        </w:rPr>
        <w:t xml:space="preserve">the US </w:t>
      </w:r>
      <w:r w:rsidRPr="00BC048A">
        <w:rPr>
          <w:rFonts w:eastAsia="Times New Roman" w:cs="Times New Roman"/>
          <w:noProof/>
          <w:sz w:val="24"/>
          <w:szCs w:val="24"/>
          <w:lang w:val="en-GB"/>
        </w:rPr>
        <w:t>President signed the One Big Beautiful Bill Act of 2025 (</w:t>
      </w:r>
      <w:r>
        <w:rPr>
          <w:rFonts w:eastAsia="Times New Roman" w:cs="Times New Roman"/>
          <w:noProof/>
          <w:sz w:val="24"/>
          <w:szCs w:val="24"/>
          <w:lang w:val="en-GB"/>
        </w:rPr>
        <w:t>‘</w:t>
      </w:r>
      <w:r w:rsidRPr="00BC048A">
        <w:rPr>
          <w:rFonts w:eastAsia="Times New Roman" w:cs="Times New Roman"/>
          <w:noProof/>
          <w:sz w:val="24"/>
          <w:szCs w:val="24"/>
          <w:lang w:val="en-GB"/>
        </w:rPr>
        <w:t>OBBBA</w:t>
      </w:r>
      <w:r>
        <w:rPr>
          <w:rFonts w:eastAsia="Times New Roman" w:cs="Times New Roman"/>
          <w:noProof/>
          <w:sz w:val="24"/>
          <w:szCs w:val="24"/>
          <w:lang w:val="en-GB"/>
        </w:rPr>
        <w:t>’</w:t>
      </w:r>
      <w:r w:rsidRPr="00BC048A">
        <w:rPr>
          <w:rFonts w:eastAsia="Times New Roman" w:cs="Times New Roman"/>
          <w:noProof/>
          <w:sz w:val="24"/>
          <w:szCs w:val="24"/>
          <w:lang w:val="en-GB"/>
        </w:rPr>
        <w:t>) into law, providing fiscal support to domestic research or experimental (R&amp;E) expenditure and to support the domestic minerals supply chain. Under the OBBBA, full expensing of domestic R&amp;E expenditures is restored, while the treatment of foreign R&amp;E expenditures will continue to be capitalised and amortised over a 15-year period. In addition, the OBBBA introduces new federal spending measures that could support the domestic minerals supply chain, including USD</w:t>
      </w:r>
      <w:r>
        <w:rPr>
          <w:rFonts w:eastAsia="Times New Roman" w:cs="Times New Roman"/>
          <w:noProof/>
          <w:sz w:val="24"/>
          <w:szCs w:val="24"/>
          <w:lang w:val="en-GB"/>
        </w:rPr>
        <w:t> </w:t>
      </w:r>
      <w:r w:rsidRPr="00BC048A">
        <w:rPr>
          <w:rFonts w:eastAsia="Times New Roman" w:cs="Times New Roman"/>
          <w:noProof/>
          <w:sz w:val="24"/>
          <w:szCs w:val="24"/>
          <w:lang w:val="en-GB"/>
        </w:rPr>
        <w:t>2 billion to expand the National Defence Stockpile through purchases of critical minerals, and USD</w:t>
      </w:r>
      <w:r>
        <w:rPr>
          <w:rFonts w:eastAsia="Times New Roman" w:cs="Times New Roman"/>
          <w:noProof/>
          <w:sz w:val="24"/>
          <w:szCs w:val="24"/>
          <w:lang w:val="en-GB"/>
        </w:rPr>
        <w:t> </w:t>
      </w:r>
      <w:r w:rsidRPr="00BC048A">
        <w:rPr>
          <w:rFonts w:eastAsia="Times New Roman" w:cs="Times New Roman"/>
          <w:noProof/>
          <w:sz w:val="24"/>
          <w:szCs w:val="24"/>
          <w:lang w:val="en-GB"/>
        </w:rPr>
        <w:t>5 billion to the Industrial Base Fund to support critical minerals supply chains. It also includes USD</w:t>
      </w:r>
      <w:r>
        <w:rPr>
          <w:rFonts w:eastAsia="Times New Roman" w:cs="Times New Roman"/>
          <w:noProof/>
          <w:sz w:val="24"/>
          <w:szCs w:val="24"/>
          <w:lang w:val="en-GB"/>
        </w:rPr>
        <w:t> </w:t>
      </w:r>
      <w:r w:rsidRPr="00BC048A">
        <w:rPr>
          <w:rFonts w:eastAsia="Times New Roman" w:cs="Times New Roman"/>
          <w:noProof/>
          <w:sz w:val="24"/>
          <w:szCs w:val="24"/>
          <w:lang w:val="en-GB"/>
        </w:rPr>
        <w:t>500 million to grow the Department of Defence Credit Program Account, to provide loans, loan guarantees and technical assistance to critical mineral industries, and USD</w:t>
      </w:r>
      <w:r>
        <w:rPr>
          <w:rFonts w:eastAsia="Times New Roman" w:cs="Times New Roman"/>
          <w:noProof/>
          <w:sz w:val="24"/>
          <w:szCs w:val="24"/>
          <w:lang w:val="en-GB"/>
        </w:rPr>
        <w:t> </w:t>
      </w:r>
      <w:r w:rsidRPr="00BC048A">
        <w:rPr>
          <w:rFonts w:eastAsia="Times New Roman" w:cs="Times New Roman"/>
          <w:noProof/>
          <w:sz w:val="24"/>
          <w:szCs w:val="24"/>
          <w:lang w:val="en-GB"/>
        </w:rPr>
        <w:t xml:space="preserve">1 billion </w:t>
      </w:r>
      <w:r>
        <w:rPr>
          <w:rFonts w:eastAsia="Times New Roman" w:cs="Times New Roman"/>
          <w:noProof/>
          <w:sz w:val="24"/>
          <w:szCs w:val="24"/>
          <w:lang w:val="en-GB"/>
        </w:rPr>
        <w:t xml:space="preserve">under the </w:t>
      </w:r>
      <w:r w:rsidRPr="00BC048A">
        <w:rPr>
          <w:rFonts w:eastAsia="Times New Roman" w:cs="Times New Roman"/>
          <w:noProof/>
          <w:sz w:val="24"/>
          <w:szCs w:val="24"/>
          <w:lang w:val="en-GB"/>
        </w:rPr>
        <w:t xml:space="preserve">Defence Production Act </w:t>
      </w:r>
      <w:r>
        <w:rPr>
          <w:rFonts w:eastAsia="Times New Roman" w:cs="Times New Roman"/>
          <w:noProof/>
          <w:sz w:val="24"/>
          <w:szCs w:val="24"/>
          <w:lang w:val="en-GB"/>
        </w:rPr>
        <w:t>with</w:t>
      </w:r>
      <w:r w:rsidRPr="00BC048A">
        <w:rPr>
          <w:rFonts w:eastAsia="Times New Roman" w:cs="Times New Roman"/>
          <w:noProof/>
          <w:sz w:val="24"/>
          <w:szCs w:val="24"/>
          <w:lang w:val="en-GB"/>
        </w:rPr>
        <w:t xml:space="preserve"> financing </w:t>
      </w:r>
      <w:r>
        <w:rPr>
          <w:rFonts w:eastAsia="Times New Roman" w:cs="Times New Roman"/>
          <w:noProof/>
          <w:sz w:val="24"/>
          <w:szCs w:val="24"/>
          <w:lang w:val="en-GB"/>
        </w:rPr>
        <w:t>up to</w:t>
      </w:r>
      <w:r w:rsidRPr="00BC048A">
        <w:rPr>
          <w:rFonts w:eastAsia="Times New Roman" w:cs="Times New Roman"/>
          <w:noProof/>
          <w:sz w:val="24"/>
          <w:szCs w:val="24"/>
          <w:lang w:val="en-GB"/>
        </w:rPr>
        <w:t xml:space="preserve"> September 2027. The final law is applicable to tax years beginning after 31</w:t>
      </w:r>
      <w:r>
        <w:rPr>
          <w:rFonts w:eastAsia="Times New Roman" w:cs="Times New Roman"/>
          <w:noProof/>
          <w:sz w:val="24"/>
          <w:szCs w:val="24"/>
          <w:lang w:val="en-GB"/>
        </w:rPr>
        <w:t> </w:t>
      </w:r>
      <w:r w:rsidRPr="00BC048A">
        <w:rPr>
          <w:rFonts w:eastAsia="Times New Roman" w:cs="Times New Roman"/>
          <w:noProof/>
          <w:sz w:val="24"/>
          <w:szCs w:val="24"/>
          <w:lang w:val="en-GB"/>
        </w:rPr>
        <w:t xml:space="preserve">December 2024. </w:t>
      </w:r>
    </w:p>
    <w:p w14:paraId="210178BC" w14:textId="77777777" w:rsidR="00267A77" w:rsidRPr="00BC048A" w:rsidRDefault="00267A77" w:rsidP="00267A77">
      <w:pPr>
        <w:pStyle w:val="Title3"/>
        <w:spacing w:after="160" w:line="250" w:lineRule="auto"/>
        <w:ind w:left="0"/>
        <w:rPr>
          <w:b w:val="0"/>
          <w:bCs w:val="0"/>
          <w:noProof/>
          <w:szCs w:val="24"/>
          <w:lang w:val="en-GB"/>
        </w:rPr>
      </w:pPr>
      <w:bookmarkStart w:id="245" w:name="_Toc185237918"/>
      <w:bookmarkStart w:id="246" w:name="_Toc185239921"/>
      <w:bookmarkStart w:id="247" w:name="_Toc185264688"/>
      <w:bookmarkStart w:id="248" w:name="_Toc185525784"/>
      <w:bookmarkStart w:id="249" w:name="_Toc214539718"/>
      <w:bookmarkStart w:id="250" w:name="_Toc215659814"/>
      <w:bookmarkStart w:id="251" w:name="_Toc220103487"/>
      <w:r w:rsidRPr="00BC048A">
        <w:rPr>
          <w:rStyle w:val="Heading4Char"/>
          <w:rFonts w:ascii="Times New Roman" w:hAnsi="Times New Roman" w:cs="Times New Roman"/>
          <w:b w:val="0"/>
          <w:bCs w:val="0"/>
          <w:noProof/>
          <w:color w:val="auto"/>
          <w:lang w:val="en-GB"/>
        </w:rPr>
        <w:t>Canada</w:t>
      </w:r>
      <w:bookmarkEnd w:id="245"/>
      <w:bookmarkEnd w:id="246"/>
      <w:bookmarkEnd w:id="247"/>
      <w:bookmarkEnd w:id="248"/>
      <w:r w:rsidRPr="00BC048A">
        <w:rPr>
          <w:b w:val="0"/>
          <w:bCs w:val="0"/>
          <w:noProof/>
          <w:szCs w:val="24"/>
          <w:lang w:val="en-GB"/>
        </w:rPr>
        <w:t xml:space="preserve"> </w:t>
      </w:r>
      <w:r w:rsidRPr="00BC048A">
        <w:rPr>
          <w:b w:val="0"/>
          <w:bCs w:val="0"/>
          <w:noProof/>
          <w:szCs w:val="24"/>
          <w:lang w:val="en-GB" w:eastAsia="en-GB"/>
        </w:rPr>
        <w:drawing>
          <wp:inline distT="0" distB="0" distL="0" distR="0" wp14:anchorId="45189347" wp14:editId="5AD6D80B">
            <wp:extent cx="152400" cy="152400"/>
            <wp:effectExtent l="0" t="0" r="0" b="0"/>
            <wp:docPr id="18245280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bookmarkEnd w:id="249"/>
      <w:bookmarkEnd w:id="250"/>
      <w:bookmarkEnd w:id="251"/>
    </w:p>
    <w:p w14:paraId="5081949F" w14:textId="58FC0060"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bookmarkStart w:id="252" w:name="_Hlk185499686"/>
      <w:r w:rsidRPr="00BC048A">
        <w:rPr>
          <w:rFonts w:eastAsia="Times New Roman" w:cs="Times New Roman"/>
          <w:noProof/>
          <w:sz w:val="24"/>
          <w:szCs w:val="24"/>
          <w:lang w:val="en-GB"/>
        </w:rPr>
        <w:t>In July 2025, Canada announced a new funding round to support clean energy products. The new round allocates CAD</w:t>
      </w:r>
      <w:r>
        <w:rPr>
          <w:rFonts w:eastAsia="Times New Roman" w:cs="Times New Roman"/>
          <w:noProof/>
          <w:sz w:val="24"/>
          <w:szCs w:val="24"/>
          <w:lang w:val="en-GB"/>
        </w:rPr>
        <w:t> </w:t>
      </w:r>
      <w:r w:rsidRPr="00BC048A">
        <w:rPr>
          <w:rFonts w:eastAsia="Times New Roman" w:cs="Times New Roman"/>
          <w:noProof/>
          <w:sz w:val="24"/>
          <w:szCs w:val="24"/>
          <w:lang w:val="en-GB"/>
        </w:rPr>
        <w:t>40 million (EUR</w:t>
      </w:r>
      <w:r>
        <w:rPr>
          <w:rFonts w:eastAsia="Times New Roman" w:cs="Times New Roman"/>
          <w:noProof/>
          <w:sz w:val="24"/>
          <w:szCs w:val="24"/>
          <w:lang w:val="en-GB"/>
        </w:rPr>
        <w:t> </w:t>
      </w:r>
      <w:r w:rsidRPr="00BC048A">
        <w:rPr>
          <w:rFonts w:eastAsia="Times New Roman" w:cs="Times New Roman"/>
          <w:noProof/>
          <w:sz w:val="24"/>
          <w:szCs w:val="24"/>
          <w:lang w:val="en-GB"/>
        </w:rPr>
        <w:t>25 million) of funding under its Low</w:t>
      </w:r>
      <w:r>
        <w:rPr>
          <w:rFonts w:eastAsia="Times New Roman" w:cs="Times New Roman"/>
          <w:noProof/>
          <w:sz w:val="24"/>
          <w:szCs w:val="24"/>
          <w:lang w:val="en-GB"/>
        </w:rPr>
        <w:t>-</w:t>
      </w:r>
      <w:r w:rsidRPr="00BC048A">
        <w:rPr>
          <w:rFonts w:eastAsia="Times New Roman" w:cs="Times New Roman"/>
          <w:noProof/>
          <w:sz w:val="24"/>
          <w:szCs w:val="24"/>
          <w:lang w:val="en-GB"/>
        </w:rPr>
        <w:t xml:space="preserve">Carbon Economy Fund’s Indigenous Leadership Fund to support 13 </w:t>
      </w:r>
      <w:r>
        <w:rPr>
          <w:rFonts w:eastAsia="Times New Roman" w:cs="Times New Roman"/>
          <w:noProof/>
          <w:sz w:val="24"/>
          <w:szCs w:val="24"/>
          <w:lang w:val="en-GB"/>
        </w:rPr>
        <w:t>i</w:t>
      </w:r>
      <w:r w:rsidRPr="00BC048A">
        <w:rPr>
          <w:rFonts w:eastAsia="Times New Roman" w:cs="Times New Roman"/>
          <w:noProof/>
          <w:sz w:val="24"/>
          <w:szCs w:val="24"/>
          <w:lang w:val="en-GB"/>
        </w:rPr>
        <w:t>ndigenous-owned and -led clean energy projects. Projects receiving funding include solar panel installations, wind turbines, energy retrofits, electric vehicle infrastructure and heat pumps</w:t>
      </w:r>
      <w:r>
        <w:rPr>
          <w:rFonts w:eastAsia="Times New Roman" w:cs="Times New Roman"/>
          <w:noProof/>
          <w:sz w:val="24"/>
          <w:szCs w:val="24"/>
          <w:lang w:val="en-GB"/>
        </w:rPr>
        <w:t>.</w:t>
      </w:r>
      <w:r w:rsidRPr="00BC048A">
        <w:rPr>
          <w:rFonts w:eastAsia="Times New Roman" w:cs="Times New Roman"/>
          <w:noProof/>
          <w:sz w:val="24"/>
          <w:szCs w:val="24"/>
          <w:lang w:val="en-GB"/>
        </w:rPr>
        <w:t xml:space="preserve"> </w:t>
      </w:r>
      <w:r>
        <w:rPr>
          <w:rFonts w:eastAsia="Times New Roman" w:cs="Times New Roman"/>
          <w:noProof/>
          <w:sz w:val="24"/>
          <w:szCs w:val="24"/>
          <w:lang w:val="en-GB"/>
        </w:rPr>
        <w:t xml:space="preserve">The </w:t>
      </w:r>
      <w:r w:rsidRPr="00BC048A">
        <w:rPr>
          <w:rFonts w:eastAsia="Times New Roman" w:cs="Times New Roman"/>
          <w:noProof/>
          <w:sz w:val="24"/>
          <w:szCs w:val="24"/>
          <w:lang w:val="en-GB"/>
        </w:rPr>
        <w:t>aim</w:t>
      </w:r>
      <w:r>
        <w:rPr>
          <w:rFonts w:eastAsia="Times New Roman" w:cs="Times New Roman"/>
          <w:noProof/>
          <w:sz w:val="24"/>
          <w:szCs w:val="24"/>
          <w:lang w:val="en-GB"/>
        </w:rPr>
        <w:t xml:space="preserve"> </w:t>
      </w:r>
      <w:r w:rsidRPr="00BC048A">
        <w:rPr>
          <w:rFonts w:eastAsia="Times New Roman" w:cs="Times New Roman"/>
          <w:noProof/>
          <w:sz w:val="24"/>
          <w:szCs w:val="24"/>
          <w:lang w:val="en-GB"/>
        </w:rPr>
        <w:t>i</w:t>
      </w:r>
      <w:r>
        <w:rPr>
          <w:rFonts w:eastAsia="Times New Roman" w:cs="Times New Roman"/>
          <w:noProof/>
          <w:sz w:val="24"/>
          <w:szCs w:val="24"/>
          <w:lang w:val="en-GB"/>
        </w:rPr>
        <w:t>s</w:t>
      </w:r>
      <w:r w:rsidRPr="00BC048A">
        <w:rPr>
          <w:rFonts w:eastAsia="Times New Roman" w:cs="Times New Roman"/>
          <w:noProof/>
          <w:sz w:val="24"/>
          <w:szCs w:val="24"/>
          <w:lang w:val="en-GB"/>
        </w:rPr>
        <w:t xml:space="preserve"> to cut emissions, reduce energy costs and enhance energy self-sufficiency in </w:t>
      </w:r>
      <w:r>
        <w:rPr>
          <w:rFonts w:eastAsia="Times New Roman" w:cs="Times New Roman"/>
          <w:noProof/>
          <w:sz w:val="24"/>
          <w:szCs w:val="24"/>
          <w:lang w:val="en-GB"/>
        </w:rPr>
        <w:t>i</w:t>
      </w:r>
      <w:r w:rsidRPr="00BC048A">
        <w:rPr>
          <w:rFonts w:eastAsia="Times New Roman" w:cs="Times New Roman"/>
          <w:noProof/>
          <w:sz w:val="24"/>
          <w:szCs w:val="24"/>
          <w:lang w:val="en-GB"/>
        </w:rPr>
        <w:t>ndigenous communities. The fund is part of Canada’s efforts to implement Article</w:t>
      </w:r>
      <w:r>
        <w:rPr>
          <w:rFonts w:eastAsia="Times New Roman" w:cs="Times New Roman"/>
          <w:noProof/>
          <w:sz w:val="24"/>
          <w:szCs w:val="24"/>
          <w:lang w:val="en-GB"/>
        </w:rPr>
        <w:t> </w:t>
      </w:r>
      <w:r w:rsidRPr="00BC048A">
        <w:rPr>
          <w:rFonts w:eastAsia="Times New Roman" w:cs="Times New Roman"/>
          <w:noProof/>
          <w:sz w:val="24"/>
          <w:szCs w:val="24"/>
          <w:lang w:val="en-GB"/>
        </w:rPr>
        <w:t>29 of the UN Declaration on the Rights of Indigenous Peoples Act, and completements a previous announcement from early July 2025 of CAD</w:t>
      </w:r>
      <w:r>
        <w:rPr>
          <w:rFonts w:eastAsia="Times New Roman" w:cs="Times New Roman"/>
          <w:noProof/>
          <w:sz w:val="24"/>
          <w:szCs w:val="24"/>
          <w:lang w:val="en-GB"/>
        </w:rPr>
        <w:t> </w:t>
      </w:r>
      <w:r w:rsidRPr="00BC048A">
        <w:rPr>
          <w:rFonts w:eastAsia="Times New Roman" w:cs="Times New Roman"/>
          <w:noProof/>
          <w:sz w:val="24"/>
          <w:szCs w:val="24"/>
          <w:lang w:val="en-GB"/>
        </w:rPr>
        <w:t>13.3 million (EUR</w:t>
      </w:r>
      <w:r>
        <w:rPr>
          <w:rFonts w:eastAsia="Times New Roman" w:cs="Times New Roman"/>
          <w:noProof/>
          <w:sz w:val="24"/>
          <w:szCs w:val="24"/>
          <w:lang w:val="en-GB"/>
        </w:rPr>
        <w:t> </w:t>
      </w:r>
      <w:r w:rsidRPr="00BC048A">
        <w:rPr>
          <w:rFonts w:eastAsia="Times New Roman" w:cs="Times New Roman"/>
          <w:noProof/>
          <w:sz w:val="24"/>
          <w:szCs w:val="24"/>
          <w:lang w:val="en-GB"/>
        </w:rPr>
        <w:t xml:space="preserve">8.3 million) for five clean economy projects in Alberta and the Northwest Territories, including two </w:t>
      </w:r>
      <w:r>
        <w:rPr>
          <w:rFonts w:eastAsia="Times New Roman" w:cs="Times New Roman"/>
          <w:noProof/>
          <w:sz w:val="24"/>
          <w:szCs w:val="24"/>
          <w:lang w:val="en-GB"/>
        </w:rPr>
        <w:t>i</w:t>
      </w:r>
      <w:r w:rsidRPr="00BC048A">
        <w:rPr>
          <w:rFonts w:eastAsia="Times New Roman" w:cs="Times New Roman"/>
          <w:noProof/>
          <w:sz w:val="24"/>
          <w:szCs w:val="24"/>
          <w:lang w:val="en-GB"/>
        </w:rPr>
        <w:t>ndigenous-led initiatives.</w:t>
      </w:r>
    </w:p>
    <w:p w14:paraId="162F66D0" w14:textId="6A329A3E"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July 2025, Canada announced financial support to the steel sector. The financial support consists of CAD</w:t>
      </w:r>
      <w:r>
        <w:rPr>
          <w:rFonts w:eastAsia="Times New Roman" w:cs="Times New Roman"/>
          <w:noProof/>
          <w:sz w:val="24"/>
          <w:szCs w:val="24"/>
          <w:lang w:val="en-GB"/>
        </w:rPr>
        <w:t> </w:t>
      </w:r>
      <w:r w:rsidRPr="00BC048A">
        <w:rPr>
          <w:rFonts w:eastAsia="Times New Roman" w:cs="Times New Roman"/>
          <w:noProof/>
          <w:sz w:val="24"/>
          <w:szCs w:val="24"/>
          <w:lang w:val="en-GB"/>
        </w:rPr>
        <w:t>1 billion (EUR</w:t>
      </w:r>
      <w:r>
        <w:rPr>
          <w:rFonts w:eastAsia="Times New Roman" w:cs="Times New Roman"/>
          <w:noProof/>
          <w:sz w:val="24"/>
          <w:szCs w:val="24"/>
          <w:lang w:val="en-GB"/>
        </w:rPr>
        <w:t> </w:t>
      </w:r>
      <w:r w:rsidRPr="00BC048A">
        <w:rPr>
          <w:rFonts w:eastAsia="Times New Roman" w:cs="Times New Roman"/>
          <w:noProof/>
          <w:sz w:val="24"/>
          <w:szCs w:val="24"/>
          <w:lang w:val="en-GB"/>
        </w:rPr>
        <w:t>609 million) as part of the Strategic Innovation Fund to help steel companies advance projects that will improve their competitiveness and start production of steel products not currently produced in Canada.</w:t>
      </w:r>
    </w:p>
    <w:p w14:paraId="3388053E" w14:textId="0587F932"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September 2025, Canada announced a Strategic Response Fund to help firms in all sectors impacted by tariffs </w:t>
      </w:r>
      <w:r>
        <w:rPr>
          <w:rFonts w:eastAsia="Times New Roman" w:cs="Times New Roman"/>
          <w:noProof/>
          <w:sz w:val="24"/>
          <w:szCs w:val="24"/>
          <w:lang w:val="en-GB"/>
        </w:rPr>
        <w:t xml:space="preserve">to </w:t>
      </w:r>
      <w:r w:rsidRPr="00BC048A">
        <w:rPr>
          <w:rFonts w:eastAsia="Times New Roman" w:cs="Times New Roman"/>
          <w:noProof/>
          <w:sz w:val="24"/>
          <w:szCs w:val="24"/>
          <w:lang w:val="en-GB"/>
        </w:rPr>
        <w:t xml:space="preserve">adapt, diversify and grow. The fund </w:t>
      </w:r>
      <w:r>
        <w:rPr>
          <w:rFonts w:eastAsia="Times New Roman" w:cs="Times New Roman"/>
          <w:noProof/>
          <w:sz w:val="24"/>
          <w:szCs w:val="24"/>
          <w:lang w:val="en-GB"/>
        </w:rPr>
        <w:t>total</w:t>
      </w:r>
      <w:r w:rsidRPr="00BC048A">
        <w:rPr>
          <w:rFonts w:eastAsia="Times New Roman" w:cs="Times New Roman"/>
          <w:noProof/>
          <w:sz w:val="24"/>
          <w:szCs w:val="24"/>
          <w:lang w:val="en-GB"/>
        </w:rPr>
        <w:t>s CAD</w:t>
      </w:r>
      <w:r>
        <w:rPr>
          <w:rFonts w:eastAsia="Times New Roman" w:cs="Times New Roman"/>
          <w:noProof/>
          <w:sz w:val="24"/>
          <w:szCs w:val="24"/>
          <w:lang w:val="en-GB"/>
        </w:rPr>
        <w:t> </w:t>
      </w:r>
      <w:r w:rsidRPr="00BC048A">
        <w:rPr>
          <w:rFonts w:eastAsia="Times New Roman" w:cs="Times New Roman"/>
          <w:noProof/>
          <w:sz w:val="24"/>
          <w:szCs w:val="24"/>
          <w:lang w:val="en-GB"/>
        </w:rPr>
        <w:t>5 billion (EUR</w:t>
      </w:r>
      <w:r>
        <w:rPr>
          <w:rFonts w:eastAsia="Times New Roman" w:cs="Times New Roman"/>
          <w:noProof/>
          <w:sz w:val="24"/>
          <w:szCs w:val="24"/>
          <w:lang w:val="en-GB"/>
        </w:rPr>
        <w:t> </w:t>
      </w:r>
      <w:r w:rsidRPr="00BC048A">
        <w:rPr>
          <w:rFonts w:eastAsia="Times New Roman" w:cs="Times New Roman"/>
          <w:noProof/>
          <w:sz w:val="24"/>
          <w:szCs w:val="24"/>
          <w:lang w:val="en-GB"/>
        </w:rPr>
        <w:t>3.05 billion) and will concentrate on strategic sectors disproportionately exposed to US tariffs and global trade risks, such as automotive, steel and aluminium. It will also have flexibility to intervene in other high-value sectors where federal action is deemed critical to maintaining investment and capacity in Canada.</w:t>
      </w:r>
    </w:p>
    <w:p w14:paraId="043DE089" w14:textId="77777777" w:rsidR="00267A77" w:rsidRPr="00BC048A" w:rsidRDefault="00267A77" w:rsidP="00267A77">
      <w:pPr>
        <w:pStyle w:val="Title3"/>
        <w:spacing w:after="160" w:line="250" w:lineRule="auto"/>
        <w:ind w:left="0"/>
        <w:rPr>
          <w:b w:val="0"/>
          <w:bCs w:val="0"/>
          <w:noProof/>
          <w:szCs w:val="24"/>
          <w:lang w:val="en-GB"/>
        </w:rPr>
      </w:pPr>
      <w:bookmarkStart w:id="253" w:name="_Toc185237919"/>
      <w:bookmarkStart w:id="254" w:name="_Toc185239922"/>
      <w:bookmarkStart w:id="255" w:name="_Toc185264689"/>
      <w:bookmarkStart w:id="256" w:name="_Toc185525785"/>
      <w:bookmarkStart w:id="257" w:name="_Toc214539719"/>
      <w:bookmarkStart w:id="258" w:name="_Toc215659815"/>
      <w:bookmarkStart w:id="259" w:name="_Toc220103488"/>
      <w:bookmarkEnd w:id="252"/>
      <w:r w:rsidRPr="00BC048A">
        <w:rPr>
          <w:rStyle w:val="Heading4Char"/>
          <w:rFonts w:ascii="Times New Roman" w:hAnsi="Times New Roman" w:cs="Times New Roman"/>
          <w:b w:val="0"/>
          <w:bCs w:val="0"/>
          <w:noProof/>
          <w:color w:val="auto"/>
          <w:lang w:val="en-GB"/>
        </w:rPr>
        <w:t>United Kingdom</w:t>
      </w:r>
      <w:bookmarkEnd w:id="253"/>
      <w:bookmarkEnd w:id="254"/>
      <w:bookmarkEnd w:id="255"/>
      <w:bookmarkEnd w:id="256"/>
      <w:r w:rsidRPr="00BC048A">
        <w:rPr>
          <w:b w:val="0"/>
          <w:bCs w:val="0"/>
          <w:noProof/>
          <w:szCs w:val="24"/>
          <w:lang w:val="en-GB"/>
        </w:rPr>
        <w:t xml:space="preserve"> </w:t>
      </w:r>
      <w:r w:rsidRPr="00BC048A">
        <w:rPr>
          <w:rFonts w:eastAsia="Franklin Gothic Book"/>
          <w:b w:val="0"/>
          <w:bCs w:val="0"/>
          <w:noProof/>
          <w:szCs w:val="24"/>
          <w:lang w:val="en-GB" w:eastAsia="en-GB"/>
        </w:rPr>
        <w:drawing>
          <wp:inline distT="0" distB="0" distL="0" distR="0" wp14:anchorId="7F2B023F" wp14:editId="30022C70">
            <wp:extent cx="133350" cy="133350"/>
            <wp:effectExtent l="0" t="0" r="0" b="0"/>
            <wp:docPr id="1000023531" name="Picture 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ic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bookmarkEnd w:id="257"/>
      <w:bookmarkEnd w:id="258"/>
      <w:bookmarkEnd w:id="259"/>
    </w:p>
    <w:p w14:paraId="54DBA669" w14:textId="6FFD0E68" w:rsidR="00267A77" w:rsidRPr="00BC048A" w:rsidRDefault="00267A77" w:rsidP="00267A77">
      <w:pPr>
        <w:pStyle w:val="ListParagraph"/>
        <w:numPr>
          <w:ilvl w:val="0"/>
          <w:numId w:val="38"/>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February 2025</w:t>
      </w:r>
      <w:r w:rsidRPr="00BC048A">
        <w:rPr>
          <w:rFonts w:cs="Times New Roman"/>
          <w:noProof/>
          <w:sz w:val="24"/>
          <w:szCs w:val="24"/>
          <w:lang w:val="en-GB"/>
        </w:rPr>
        <w:t>, the UK government pledged to provide GBP</w:t>
      </w:r>
      <w:r>
        <w:rPr>
          <w:rFonts w:cs="Times New Roman"/>
          <w:noProof/>
          <w:sz w:val="24"/>
          <w:szCs w:val="24"/>
          <w:lang w:val="en-GB"/>
        </w:rPr>
        <w:t> </w:t>
      </w:r>
      <w:r w:rsidRPr="00BC048A">
        <w:rPr>
          <w:rFonts w:cs="Times New Roman"/>
          <w:noProof/>
          <w:sz w:val="24"/>
          <w:szCs w:val="24"/>
          <w:lang w:val="en-GB"/>
        </w:rPr>
        <w:t>2.5 billion (EUR</w:t>
      </w:r>
      <w:r>
        <w:rPr>
          <w:rFonts w:cs="Times New Roman"/>
          <w:noProof/>
          <w:sz w:val="24"/>
          <w:szCs w:val="24"/>
          <w:lang w:val="en-GB"/>
        </w:rPr>
        <w:t> </w:t>
      </w:r>
      <w:r w:rsidRPr="00BC048A">
        <w:rPr>
          <w:rFonts w:cs="Times New Roman"/>
          <w:noProof/>
          <w:sz w:val="24"/>
          <w:szCs w:val="24"/>
          <w:lang w:val="en-GB"/>
        </w:rPr>
        <w:t>3 billion) of</w:t>
      </w:r>
      <w:r w:rsidRPr="00BC048A">
        <w:rPr>
          <w:rFonts w:eastAsia="Times New Roman" w:cs="Times New Roman"/>
          <w:noProof/>
          <w:sz w:val="24"/>
          <w:szCs w:val="24"/>
          <w:lang w:val="en-GB"/>
        </w:rPr>
        <w:t xml:space="preserve"> financial assistance to support the steel industry</w:t>
      </w:r>
      <w:r w:rsidRPr="00BC048A">
        <w:rPr>
          <w:rFonts w:cs="Times New Roman"/>
          <w:noProof/>
          <w:sz w:val="24"/>
          <w:szCs w:val="24"/>
          <w:lang w:val="en-GB"/>
        </w:rPr>
        <w:t xml:space="preserve">. The financial support followed the US announcement of a 25% tariff on steel and aluminium imports and will be provided through the National Wealth Fund. </w:t>
      </w:r>
    </w:p>
    <w:p w14:paraId="098BDE4B" w14:textId="1D4A7261"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2025</w:t>
      </w:r>
      <w:r w:rsidRPr="00BC048A">
        <w:rPr>
          <w:rFonts w:cs="Times New Roman"/>
          <w:noProof/>
          <w:sz w:val="24"/>
          <w:szCs w:val="24"/>
          <w:lang w:val="en-GB"/>
        </w:rPr>
        <w:t xml:space="preserve">, the UK government announced a series of </w:t>
      </w:r>
      <w:r w:rsidRPr="00BC048A">
        <w:rPr>
          <w:rFonts w:eastAsia="Times New Roman" w:cs="Times New Roman"/>
          <w:noProof/>
          <w:sz w:val="24"/>
          <w:szCs w:val="24"/>
          <w:lang w:val="en-GB"/>
        </w:rPr>
        <w:t>financial relief measures to support the domestic car industry</w:t>
      </w:r>
      <w:r w:rsidRPr="00BC048A">
        <w:rPr>
          <w:rFonts w:cs="Times New Roman"/>
          <w:noProof/>
          <w:sz w:val="24"/>
          <w:szCs w:val="24"/>
          <w:lang w:val="en-GB"/>
        </w:rPr>
        <w:t xml:space="preserve"> in response to new 25% US tariffs on UK </w:t>
      </w:r>
      <w:r>
        <w:rPr>
          <w:rFonts w:cs="Times New Roman"/>
          <w:noProof/>
          <w:sz w:val="24"/>
          <w:szCs w:val="24"/>
          <w:lang w:val="en-GB"/>
        </w:rPr>
        <w:t xml:space="preserve">exports of </w:t>
      </w:r>
      <w:r w:rsidRPr="00BC048A">
        <w:rPr>
          <w:rFonts w:cs="Times New Roman"/>
          <w:noProof/>
          <w:sz w:val="24"/>
          <w:szCs w:val="24"/>
          <w:lang w:val="en-GB"/>
        </w:rPr>
        <w:t>electric vehicle</w:t>
      </w:r>
      <w:r>
        <w:rPr>
          <w:rFonts w:cs="Times New Roman"/>
          <w:noProof/>
          <w:sz w:val="24"/>
          <w:szCs w:val="24"/>
          <w:lang w:val="en-GB"/>
        </w:rPr>
        <w:t>s</w:t>
      </w:r>
      <w:r w:rsidRPr="00BC048A">
        <w:rPr>
          <w:rFonts w:cs="Times New Roman"/>
          <w:noProof/>
          <w:sz w:val="24"/>
          <w:szCs w:val="24"/>
          <w:lang w:val="en-GB"/>
        </w:rPr>
        <w:t xml:space="preserve"> (EV)</w:t>
      </w:r>
      <w:r w:rsidRPr="00BC048A">
        <w:rPr>
          <w:rFonts w:eastAsia="Times New Roman" w:cs="Times New Roman"/>
          <w:noProof/>
          <w:sz w:val="24"/>
          <w:szCs w:val="24"/>
          <w:lang w:val="en-GB"/>
        </w:rPr>
        <w:t>.</w:t>
      </w:r>
      <w:r w:rsidRPr="00BC048A">
        <w:rPr>
          <w:rFonts w:cs="Times New Roman"/>
          <w:noProof/>
          <w:sz w:val="24"/>
          <w:szCs w:val="24"/>
          <w:lang w:val="en-GB"/>
        </w:rPr>
        <w:t xml:space="preserve"> These include i) a reduction of fines under the UK’s EV mandate, that sets out the proportion of a manufacturer’s sale that must be EV, from GBP</w:t>
      </w:r>
      <w:r>
        <w:rPr>
          <w:rFonts w:cs="Times New Roman"/>
          <w:noProof/>
          <w:sz w:val="24"/>
          <w:szCs w:val="24"/>
          <w:lang w:val="en-GB"/>
        </w:rPr>
        <w:t> </w:t>
      </w:r>
      <w:r w:rsidRPr="00BC048A">
        <w:rPr>
          <w:rFonts w:cs="Times New Roman"/>
          <w:noProof/>
          <w:sz w:val="24"/>
          <w:szCs w:val="24"/>
          <w:lang w:val="en-GB"/>
        </w:rPr>
        <w:t>15</w:t>
      </w:r>
      <w:r>
        <w:rPr>
          <w:rFonts w:cs="Times New Roman"/>
          <w:noProof/>
          <w:sz w:val="24"/>
          <w:szCs w:val="24"/>
          <w:lang w:val="en-GB"/>
        </w:rPr>
        <w:t> </w:t>
      </w:r>
      <w:r w:rsidRPr="00BC048A">
        <w:rPr>
          <w:rFonts w:cs="Times New Roman"/>
          <w:noProof/>
          <w:sz w:val="24"/>
          <w:szCs w:val="24"/>
          <w:lang w:val="en-GB"/>
        </w:rPr>
        <w:t>000 to GBP</w:t>
      </w:r>
      <w:r>
        <w:rPr>
          <w:rFonts w:cs="Times New Roman"/>
          <w:noProof/>
          <w:sz w:val="24"/>
          <w:szCs w:val="24"/>
          <w:lang w:val="en-GB"/>
        </w:rPr>
        <w:t> </w:t>
      </w:r>
      <w:r w:rsidRPr="00BC048A">
        <w:rPr>
          <w:rFonts w:cs="Times New Roman"/>
          <w:noProof/>
          <w:sz w:val="24"/>
          <w:szCs w:val="24"/>
          <w:lang w:val="en-GB"/>
        </w:rPr>
        <w:t>12</w:t>
      </w:r>
      <w:r>
        <w:rPr>
          <w:rFonts w:cs="Times New Roman"/>
          <w:noProof/>
          <w:sz w:val="24"/>
          <w:szCs w:val="24"/>
          <w:lang w:val="en-GB"/>
        </w:rPr>
        <w:t> </w:t>
      </w:r>
      <w:r w:rsidRPr="00BC048A">
        <w:rPr>
          <w:rFonts w:cs="Times New Roman"/>
          <w:noProof/>
          <w:sz w:val="24"/>
          <w:szCs w:val="24"/>
          <w:lang w:val="en-GB"/>
        </w:rPr>
        <w:t>000 per non-compliant vehicle; ii) more flexibility for carmakers to meet EV sales targets by allowing them to balance annual targets up to 2030, thereby deferring fines; and iii) a GBP</w:t>
      </w:r>
      <w:r>
        <w:rPr>
          <w:rFonts w:cs="Times New Roman"/>
          <w:noProof/>
          <w:sz w:val="24"/>
          <w:szCs w:val="24"/>
          <w:lang w:val="en-GB"/>
        </w:rPr>
        <w:t> </w:t>
      </w:r>
      <w:r w:rsidRPr="00BC048A">
        <w:rPr>
          <w:rFonts w:cs="Times New Roman"/>
          <w:noProof/>
          <w:sz w:val="24"/>
          <w:szCs w:val="24"/>
          <w:lang w:val="en-GB"/>
        </w:rPr>
        <w:t>2.3 billion support package comprising tax breaks for EV buyers and investment in charging infrastructure.</w:t>
      </w:r>
    </w:p>
    <w:p w14:paraId="55DB960C" w14:textId="77777777" w:rsidR="00267A77" w:rsidRPr="00BC048A" w:rsidRDefault="00267A77" w:rsidP="00267A77">
      <w:pPr>
        <w:pStyle w:val="Title3"/>
        <w:spacing w:after="160" w:line="250" w:lineRule="auto"/>
        <w:ind w:left="0"/>
        <w:rPr>
          <w:b w:val="0"/>
          <w:bCs w:val="0"/>
          <w:noProof/>
          <w:szCs w:val="24"/>
          <w:lang w:val="en-GB"/>
        </w:rPr>
      </w:pPr>
      <w:bookmarkStart w:id="260" w:name="_Toc185525787"/>
      <w:bookmarkStart w:id="261" w:name="_Toc214539720"/>
      <w:bookmarkStart w:id="262" w:name="_Toc215659816"/>
      <w:bookmarkStart w:id="263" w:name="_Toc220103489"/>
      <w:r w:rsidRPr="00BC048A">
        <w:rPr>
          <w:rStyle w:val="Heading4Char"/>
          <w:rFonts w:ascii="Times New Roman" w:hAnsi="Times New Roman" w:cs="Times New Roman"/>
          <w:b w:val="0"/>
          <w:bCs w:val="0"/>
          <w:noProof/>
          <w:color w:val="auto"/>
          <w:lang w:val="en-GB"/>
        </w:rPr>
        <w:t>India</w:t>
      </w:r>
      <w:bookmarkEnd w:id="260"/>
      <w:r w:rsidRPr="00BC048A">
        <w:rPr>
          <w:b w:val="0"/>
          <w:bCs w:val="0"/>
          <w:noProof/>
          <w:szCs w:val="24"/>
          <w:lang w:val="en-GB"/>
        </w:rPr>
        <w:t xml:space="preserve"> </w:t>
      </w:r>
      <w:r w:rsidRPr="00BC048A">
        <w:rPr>
          <w:b w:val="0"/>
          <w:bCs w:val="0"/>
          <w:noProof/>
          <w:szCs w:val="24"/>
          <w:lang w:val="en-GB" w:eastAsia="en-GB"/>
        </w:rPr>
        <w:drawing>
          <wp:inline distT="0" distB="0" distL="0" distR="0" wp14:anchorId="5E6FA0C6" wp14:editId="7B77AED5">
            <wp:extent cx="129540" cy="129540"/>
            <wp:effectExtent l="0" t="0" r="3810" b="3810"/>
            <wp:docPr id="15601526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bookmarkEnd w:id="261"/>
      <w:bookmarkEnd w:id="262"/>
      <w:bookmarkEnd w:id="263"/>
    </w:p>
    <w:p w14:paraId="64182A0A" w14:textId="7B1CD434"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September 2025, India approved an INR</w:t>
      </w:r>
      <w:r>
        <w:rPr>
          <w:rFonts w:eastAsia="Times New Roman" w:cs="Times New Roman"/>
          <w:noProof/>
          <w:sz w:val="24"/>
          <w:szCs w:val="24"/>
          <w:lang w:val="en-GB"/>
        </w:rPr>
        <w:t> </w:t>
      </w:r>
      <w:r w:rsidRPr="00BC048A">
        <w:rPr>
          <w:rFonts w:eastAsia="Times New Roman" w:cs="Times New Roman"/>
          <w:noProof/>
          <w:sz w:val="24"/>
          <w:szCs w:val="24"/>
          <w:lang w:val="en-GB"/>
        </w:rPr>
        <w:t>1</w:t>
      </w:r>
      <w:r>
        <w:rPr>
          <w:rFonts w:eastAsia="Times New Roman" w:cs="Times New Roman"/>
          <w:noProof/>
          <w:sz w:val="24"/>
          <w:szCs w:val="24"/>
          <w:lang w:val="en-GB"/>
        </w:rPr>
        <w:t> </w:t>
      </w:r>
      <w:r w:rsidRPr="00BC048A">
        <w:rPr>
          <w:rFonts w:eastAsia="Times New Roman" w:cs="Times New Roman"/>
          <w:noProof/>
          <w:sz w:val="24"/>
          <w:szCs w:val="24"/>
          <w:lang w:val="en-GB"/>
        </w:rPr>
        <w:t>500 (EUR</w:t>
      </w:r>
      <w:r>
        <w:rPr>
          <w:rFonts w:eastAsia="Times New Roman" w:cs="Times New Roman"/>
          <w:noProof/>
          <w:sz w:val="24"/>
          <w:szCs w:val="24"/>
          <w:lang w:val="en-GB"/>
        </w:rPr>
        <w:t> </w:t>
      </w:r>
      <w:r w:rsidRPr="00BC048A">
        <w:rPr>
          <w:rFonts w:eastAsia="Times New Roman" w:cs="Times New Roman"/>
          <w:noProof/>
          <w:sz w:val="24"/>
          <w:szCs w:val="24"/>
          <w:lang w:val="en-GB"/>
        </w:rPr>
        <w:t>147 million) scheme to support the development of recycling of critical minerals. The initiative is conducted under the National Critical Mineral Mission and will cover e-waste, lithium-ion battery recycling and other scrap such as catalytic converters from end-of-life vehicles. The incentive will be available for both expan</w:t>
      </w:r>
      <w:r>
        <w:rPr>
          <w:rFonts w:eastAsia="Times New Roman" w:cs="Times New Roman"/>
          <w:noProof/>
          <w:sz w:val="24"/>
          <w:szCs w:val="24"/>
          <w:lang w:val="en-GB"/>
        </w:rPr>
        <w:t>ding</w:t>
      </w:r>
      <w:r w:rsidRPr="00BC048A">
        <w:rPr>
          <w:rFonts w:eastAsia="Times New Roman" w:cs="Times New Roman"/>
          <w:noProof/>
          <w:sz w:val="24"/>
          <w:szCs w:val="24"/>
          <w:lang w:val="en-GB"/>
        </w:rPr>
        <w:t xml:space="preserve"> and modernis</w:t>
      </w:r>
      <w:r>
        <w:rPr>
          <w:rFonts w:eastAsia="Times New Roman" w:cs="Times New Roman"/>
          <w:noProof/>
          <w:sz w:val="24"/>
          <w:szCs w:val="24"/>
          <w:lang w:val="en-GB"/>
        </w:rPr>
        <w:t>ing</w:t>
      </w:r>
      <w:r w:rsidRPr="00BC048A">
        <w:rPr>
          <w:rFonts w:eastAsia="Times New Roman" w:cs="Times New Roman"/>
          <w:noProof/>
          <w:sz w:val="24"/>
          <w:szCs w:val="24"/>
          <w:lang w:val="en-GB"/>
        </w:rPr>
        <w:t xml:space="preserve"> existing facilities and will run for six years. Both larger and smaller firms will be eligible, but one third of the total amount available is reserved for smaller firms. </w:t>
      </w:r>
    </w:p>
    <w:p w14:paraId="0E11C01D" w14:textId="22F14BD3"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May 2025</w:t>
      </w:r>
      <w:r>
        <w:rPr>
          <w:rFonts w:eastAsia="Times New Roman" w:cs="Times New Roman"/>
          <w:noProof/>
          <w:sz w:val="24"/>
          <w:szCs w:val="24"/>
          <w:lang w:val="en-GB"/>
        </w:rPr>
        <w:t>,</w:t>
      </w:r>
      <w:r w:rsidRPr="00BC048A">
        <w:rPr>
          <w:rFonts w:eastAsia="Times New Roman" w:cs="Times New Roman"/>
          <w:noProof/>
          <w:sz w:val="24"/>
          <w:szCs w:val="24"/>
          <w:lang w:val="en-GB"/>
        </w:rPr>
        <w:t xml:space="preserve"> India introduced a Scheme to Promote Manufacturing of Electric Passenger Cars in India, in a move to boost domestic electric vehicle (EV) production and to attract global players to establish local value chains. Under the scheme, import duty reductions are available to global automakers that commit to manufacturing in the country. More specifically, up to 8</w:t>
      </w:r>
      <w:r>
        <w:rPr>
          <w:rFonts w:eastAsia="Times New Roman" w:cs="Times New Roman"/>
          <w:noProof/>
          <w:sz w:val="24"/>
          <w:szCs w:val="24"/>
          <w:lang w:val="en-GB"/>
        </w:rPr>
        <w:t> </w:t>
      </w:r>
      <w:r w:rsidRPr="00BC048A">
        <w:rPr>
          <w:rFonts w:eastAsia="Times New Roman" w:cs="Times New Roman"/>
          <w:noProof/>
          <w:sz w:val="24"/>
          <w:szCs w:val="24"/>
          <w:lang w:val="en-GB"/>
        </w:rPr>
        <w:t>000 EVs per year can be imported at a reduced 15% duty if the automaker invests at least USD</w:t>
      </w:r>
      <w:r>
        <w:rPr>
          <w:rFonts w:eastAsia="Times New Roman" w:cs="Times New Roman"/>
          <w:noProof/>
          <w:sz w:val="24"/>
          <w:szCs w:val="24"/>
          <w:lang w:val="en-GB"/>
        </w:rPr>
        <w:t> </w:t>
      </w:r>
      <w:r w:rsidRPr="00BC048A">
        <w:rPr>
          <w:rFonts w:eastAsia="Times New Roman" w:cs="Times New Roman"/>
          <w:noProof/>
          <w:sz w:val="24"/>
          <w:szCs w:val="24"/>
          <w:lang w:val="en-GB"/>
        </w:rPr>
        <w:t>500 million in local EV production facilities within three years.</w:t>
      </w:r>
    </w:p>
    <w:p w14:paraId="5A03E363" w14:textId="51F2A292"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September 2025, India adopted the India Semiconductor Mission (ISM) 2.0 initiative, which expands financial support to capital equipment and materials in the semiconductor supply chain. Although not officially confirmed, the government was exploring an outlay of USD</w:t>
      </w:r>
      <w:r>
        <w:rPr>
          <w:rFonts w:eastAsia="Times New Roman" w:cs="Times New Roman"/>
          <w:noProof/>
          <w:sz w:val="24"/>
          <w:szCs w:val="24"/>
          <w:lang w:val="en-GB"/>
        </w:rPr>
        <w:t> </w:t>
      </w:r>
      <w:r w:rsidRPr="00BC048A">
        <w:rPr>
          <w:rFonts w:eastAsia="Times New Roman" w:cs="Times New Roman"/>
          <w:noProof/>
          <w:sz w:val="24"/>
          <w:szCs w:val="24"/>
          <w:lang w:val="en-GB"/>
        </w:rPr>
        <w:t xml:space="preserve">20 billion of investment. The previous edition of the India Semiconductor Mission, launched in 2021, aimed to provide financial support for investments in semiconductor fabrication, display manufacturing and chip design. Under this edition, in May 2025, the Indian Union Cabinet provided </w:t>
      </w:r>
      <w:r>
        <w:rPr>
          <w:rFonts w:eastAsia="Times New Roman" w:cs="Times New Roman"/>
          <w:noProof/>
          <w:sz w:val="24"/>
          <w:szCs w:val="24"/>
          <w:lang w:val="en-GB"/>
        </w:rPr>
        <w:t>USD 422 million (</w:t>
      </w:r>
      <w:r w:rsidRPr="00BC048A">
        <w:rPr>
          <w:rFonts w:eastAsia="Times New Roman" w:cs="Times New Roman"/>
          <w:noProof/>
          <w:sz w:val="24"/>
          <w:szCs w:val="24"/>
          <w:lang w:val="en-GB"/>
        </w:rPr>
        <w:t>INR</w:t>
      </w:r>
      <w:r>
        <w:rPr>
          <w:rFonts w:eastAsia="Times New Roman" w:cs="Times New Roman"/>
          <w:noProof/>
          <w:sz w:val="24"/>
          <w:szCs w:val="24"/>
          <w:lang w:val="en-GB"/>
        </w:rPr>
        <w:t> </w:t>
      </w:r>
      <w:r w:rsidRPr="00BC048A">
        <w:rPr>
          <w:rFonts w:eastAsia="Times New Roman" w:cs="Times New Roman"/>
          <w:noProof/>
          <w:sz w:val="24"/>
          <w:szCs w:val="24"/>
          <w:lang w:val="en-GB"/>
        </w:rPr>
        <w:t>3.706</w:t>
      </w:r>
      <w:r>
        <w:rPr>
          <w:rFonts w:eastAsia="Times New Roman" w:cs="Times New Roman"/>
          <w:noProof/>
          <w:sz w:val="24"/>
          <w:szCs w:val="24"/>
          <w:lang w:val="en-GB"/>
        </w:rPr>
        <w:t>)</w:t>
      </w:r>
      <w:r w:rsidRPr="00BC048A">
        <w:rPr>
          <w:rFonts w:eastAsia="Times New Roman" w:cs="Times New Roman"/>
          <w:noProof/>
          <w:sz w:val="24"/>
          <w:szCs w:val="24"/>
          <w:lang w:val="en-GB"/>
        </w:rPr>
        <w:t xml:space="preserve"> of funding for the establishment of a new semiconductor manufacturing unit in Uttar Pradesh under the India Semiconductor Mission. The plant will specialise in producing display driver chips for mobile phones, laptops, automobiles and personal computers. The approval of the project brings the total number of such approved facilities to six under the India Semiconductor Mission. </w:t>
      </w:r>
    </w:p>
    <w:p w14:paraId="62373869" w14:textId="607EA75F" w:rsidR="00267A77" w:rsidRPr="00BC048A" w:rsidRDefault="00267A77" w:rsidP="00267A77">
      <w:pPr>
        <w:pStyle w:val="ListParagraph"/>
        <w:numPr>
          <w:ilvl w:val="0"/>
          <w:numId w:val="38"/>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As of March 2025, the Indian government has disbursed EUR</w:t>
      </w:r>
      <w:r>
        <w:rPr>
          <w:rFonts w:eastAsia="Times New Roman" w:cs="Times New Roman"/>
          <w:noProof/>
          <w:sz w:val="24"/>
          <w:szCs w:val="24"/>
          <w:lang w:val="en-GB"/>
        </w:rPr>
        <w:t> </w:t>
      </w:r>
      <w:r w:rsidRPr="00BC048A">
        <w:rPr>
          <w:rFonts w:eastAsia="Times New Roman" w:cs="Times New Roman"/>
          <w:noProof/>
          <w:sz w:val="24"/>
          <w:szCs w:val="24"/>
          <w:lang w:val="en-GB"/>
        </w:rPr>
        <w:t>2.1 billion under its Production Linked Incentive schemes. This scheme is designed to help develop local supply chains by inviting foreign companies to set up units in India and encouraging local companies to set up or expand existing manufacturing units and reduce the country’s reliance on imports from other countries. It focuses on 12 key sectors including electronics, IT hardware, pharmaceuticals, bulk drugs, medical devices, automobiles, white goods, telecom, food processing, specialty steel, textiles and drones. The scheme has attracted a total of EUR</w:t>
      </w:r>
      <w:r>
        <w:rPr>
          <w:rFonts w:eastAsia="Times New Roman" w:cs="Times New Roman"/>
          <w:noProof/>
          <w:sz w:val="24"/>
          <w:szCs w:val="24"/>
          <w:lang w:val="en-GB"/>
        </w:rPr>
        <w:t> </w:t>
      </w:r>
      <w:r w:rsidRPr="00BC048A">
        <w:rPr>
          <w:rFonts w:eastAsia="Times New Roman" w:cs="Times New Roman"/>
          <w:noProof/>
          <w:sz w:val="24"/>
          <w:szCs w:val="24"/>
          <w:lang w:val="en-GB"/>
        </w:rPr>
        <w:t>17.6 billion in investment, generated EUR</w:t>
      </w:r>
      <w:r>
        <w:rPr>
          <w:rFonts w:eastAsia="Times New Roman" w:cs="Times New Roman"/>
          <w:noProof/>
          <w:sz w:val="24"/>
          <w:szCs w:val="24"/>
          <w:lang w:val="en-GB"/>
        </w:rPr>
        <w:t> </w:t>
      </w:r>
      <w:r w:rsidRPr="00BC048A">
        <w:rPr>
          <w:rFonts w:eastAsia="Times New Roman" w:cs="Times New Roman"/>
          <w:noProof/>
          <w:sz w:val="24"/>
          <w:szCs w:val="24"/>
          <w:lang w:val="en-GB"/>
        </w:rPr>
        <w:t xml:space="preserve">165 billion in production and sales, and created over 1.2 million direct and indirect jobs. </w:t>
      </w:r>
    </w:p>
    <w:p w14:paraId="7B7C001D" w14:textId="77777777" w:rsidR="00267A77" w:rsidRPr="00BC048A" w:rsidRDefault="00267A77" w:rsidP="00267A77">
      <w:pPr>
        <w:pStyle w:val="Title3"/>
        <w:spacing w:after="160" w:line="250" w:lineRule="auto"/>
        <w:ind w:left="0"/>
        <w:rPr>
          <w:b w:val="0"/>
          <w:bCs w:val="0"/>
          <w:noProof/>
          <w:szCs w:val="24"/>
          <w:lang w:val="en-GB"/>
        </w:rPr>
      </w:pPr>
      <w:bookmarkStart w:id="264" w:name="_Toc185237923"/>
      <w:bookmarkStart w:id="265" w:name="_Toc185239926"/>
      <w:bookmarkStart w:id="266" w:name="_Toc185264693"/>
      <w:bookmarkStart w:id="267" w:name="_Toc185525789"/>
      <w:bookmarkStart w:id="268" w:name="_Toc214539721"/>
      <w:bookmarkStart w:id="269" w:name="_Toc215659817"/>
      <w:bookmarkStart w:id="270" w:name="_Toc220103490"/>
      <w:r w:rsidRPr="00BC048A">
        <w:rPr>
          <w:rStyle w:val="Heading4Char"/>
          <w:rFonts w:ascii="Times New Roman" w:hAnsi="Times New Roman" w:cs="Times New Roman"/>
          <w:b w:val="0"/>
          <w:bCs w:val="0"/>
          <w:noProof/>
          <w:color w:val="auto"/>
          <w:lang w:val="en-GB"/>
        </w:rPr>
        <w:t>Taiwan</w:t>
      </w:r>
      <w:bookmarkEnd w:id="264"/>
      <w:bookmarkEnd w:id="265"/>
      <w:bookmarkEnd w:id="266"/>
      <w:bookmarkEnd w:id="267"/>
      <w:r w:rsidRPr="00BC048A">
        <w:rPr>
          <w:b w:val="0"/>
          <w:bCs w:val="0"/>
          <w:noProof/>
          <w:szCs w:val="24"/>
          <w:lang w:val="en-GB"/>
        </w:rPr>
        <w:t xml:space="preserve"> </w:t>
      </w:r>
      <w:r w:rsidRPr="00BC048A">
        <w:rPr>
          <w:b w:val="0"/>
          <w:bCs w:val="0"/>
          <w:noProof/>
          <w:szCs w:val="24"/>
          <w:lang w:val="en-GB" w:eastAsia="en-GB"/>
        </w:rPr>
        <w:drawing>
          <wp:inline distT="0" distB="0" distL="0" distR="0" wp14:anchorId="397B1897" wp14:editId="426B3265">
            <wp:extent cx="132080" cy="132080"/>
            <wp:effectExtent l="0" t="0" r="1270" b="1270"/>
            <wp:docPr id="1305869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2080" cy="132080"/>
                    </a:xfrm>
                    <a:prstGeom prst="rect">
                      <a:avLst/>
                    </a:prstGeom>
                    <a:noFill/>
                    <a:ln>
                      <a:noFill/>
                    </a:ln>
                  </pic:spPr>
                </pic:pic>
              </a:graphicData>
            </a:graphic>
          </wp:inline>
        </w:drawing>
      </w:r>
      <w:bookmarkEnd w:id="268"/>
      <w:bookmarkEnd w:id="269"/>
      <w:bookmarkEnd w:id="270"/>
    </w:p>
    <w:p w14:paraId="5F1D4EEC" w14:textId="147477C4" w:rsidR="00267A77" w:rsidRPr="00BC048A" w:rsidRDefault="00267A77" w:rsidP="00267A77">
      <w:pPr>
        <w:pStyle w:val="ListParagraph"/>
        <w:numPr>
          <w:ilvl w:val="0"/>
          <w:numId w:val="38"/>
        </w:numPr>
        <w:spacing w:line="250" w:lineRule="auto"/>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April 2025, Taiwan amended the Statute of Industrial Innovation, extending tax reduction incentives to companies in key supply chains. According to the Statute, companies with a critical position in the global supply chain (including those with technological innovations in semiconductors, electric vehicles and 5G) may claim an investment tax credit (‘ITC’) of 25% on R&amp;D expenditure and 5% on procurement of machinery/equipment for advanced processes. </w:t>
      </w:r>
      <w:r>
        <w:rPr>
          <w:rFonts w:eastAsia="Times New Roman" w:cs="Times New Roman"/>
          <w:noProof/>
          <w:sz w:val="24"/>
          <w:szCs w:val="24"/>
          <w:lang w:val="en-GB"/>
        </w:rPr>
        <w:t xml:space="preserve">Companies may </w:t>
      </w:r>
      <w:r w:rsidRPr="00BC048A">
        <w:rPr>
          <w:rFonts w:eastAsia="Times New Roman" w:cs="Times New Roman"/>
          <w:noProof/>
          <w:sz w:val="24"/>
          <w:szCs w:val="24"/>
          <w:lang w:val="en-GB"/>
        </w:rPr>
        <w:t>appl</w:t>
      </w:r>
      <w:r>
        <w:rPr>
          <w:rFonts w:eastAsia="Times New Roman" w:cs="Times New Roman"/>
          <w:noProof/>
          <w:sz w:val="24"/>
          <w:szCs w:val="24"/>
          <w:lang w:val="en-GB"/>
        </w:rPr>
        <w:t xml:space="preserve">y to </w:t>
      </w:r>
      <w:r w:rsidRPr="00BC048A">
        <w:rPr>
          <w:rFonts w:eastAsia="Times New Roman" w:cs="Times New Roman"/>
          <w:noProof/>
          <w:sz w:val="24"/>
          <w:szCs w:val="24"/>
          <w:lang w:val="en-GB"/>
        </w:rPr>
        <w:t>u</w:t>
      </w:r>
      <w:r>
        <w:rPr>
          <w:rFonts w:eastAsia="Times New Roman" w:cs="Times New Roman"/>
          <w:noProof/>
          <w:sz w:val="24"/>
          <w:szCs w:val="24"/>
          <w:lang w:val="en-GB"/>
        </w:rPr>
        <w:t>se</w:t>
      </w:r>
      <w:r w:rsidRPr="00BC048A">
        <w:rPr>
          <w:rFonts w:eastAsia="Times New Roman" w:cs="Times New Roman"/>
          <w:noProof/>
          <w:sz w:val="24"/>
          <w:szCs w:val="24"/>
          <w:lang w:val="en-GB"/>
        </w:rPr>
        <w:t xml:space="preserve"> such ITCs </w:t>
      </w:r>
      <w:r>
        <w:rPr>
          <w:rFonts w:eastAsia="Times New Roman" w:cs="Times New Roman"/>
          <w:noProof/>
          <w:sz w:val="24"/>
          <w:szCs w:val="24"/>
          <w:lang w:val="en-GB"/>
        </w:rPr>
        <w:t>over</w:t>
      </w:r>
      <w:r w:rsidRPr="00BC048A">
        <w:rPr>
          <w:rFonts w:eastAsia="Times New Roman" w:cs="Times New Roman"/>
          <w:noProof/>
          <w:sz w:val="24"/>
          <w:szCs w:val="24"/>
          <w:lang w:val="en-GB"/>
        </w:rPr>
        <w:t xml:space="preserve"> seven years, from 1 January 2023 to 31</w:t>
      </w:r>
      <w:r>
        <w:rPr>
          <w:rFonts w:eastAsia="Times New Roman" w:cs="Times New Roman"/>
          <w:noProof/>
          <w:sz w:val="24"/>
          <w:szCs w:val="24"/>
          <w:lang w:val="en-GB"/>
        </w:rPr>
        <w:t xml:space="preserve"> </w:t>
      </w:r>
      <w:r w:rsidRPr="00BC048A">
        <w:rPr>
          <w:rFonts w:eastAsia="Times New Roman" w:cs="Times New Roman"/>
          <w:noProof/>
          <w:sz w:val="24"/>
          <w:szCs w:val="24"/>
          <w:lang w:val="en-GB"/>
        </w:rPr>
        <w:t xml:space="preserve">December 2029 (the expiry date of the Statute). The most recent amendments extended </w:t>
      </w:r>
      <w:r>
        <w:rPr>
          <w:rFonts w:eastAsia="Times New Roman" w:cs="Times New Roman"/>
          <w:noProof/>
          <w:sz w:val="24"/>
          <w:szCs w:val="24"/>
          <w:lang w:val="en-GB"/>
        </w:rPr>
        <w:t xml:space="preserve">the </w:t>
      </w:r>
      <w:r w:rsidRPr="00BC048A">
        <w:rPr>
          <w:rFonts w:eastAsia="Times New Roman" w:cs="Times New Roman"/>
          <w:noProof/>
          <w:sz w:val="24"/>
          <w:szCs w:val="24"/>
          <w:lang w:val="en-GB"/>
        </w:rPr>
        <w:t>tax incentives for equipment investment</w:t>
      </w:r>
      <w:r>
        <w:rPr>
          <w:rFonts w:eastAsia="Times New Roman" w:cs="Times New Roman"/>
          <w:noProof/>
          <w:sz w:val="24"/>
          <w:szCs w:val="24"/>
          <w:lang w:val="en-GB"/>
        </w:rPr>
        <w:t>,</w:t>
      </w:r>
      <w:r w:rsidRPr="00BC048A">
        <w:rPr>
          <w:rFonts w:eastAsia="Times New Roman" w:cs="Times New Roman"/>
          <w:noProof/>
          <w:sz w:val="24"/>
          <w:szCs w:val="24"/>
          <w:lang w:val="en-GB"/>
        </w:rPr>
        <w:t xml:space="preserve"> expanded the scope of eligible investment to include AI products and services, energy-saving and carbon-reduction initiatives</w:t>
      </w:r>
      <w:r>
        <w:rPr>
          <w:rFonts w:eastAsia="Times New Roman" w:cs="Times New Roman"/>
          <w:noProof/>
          <w:sz w:val="24"/>
          <w:szCs w:val="24"/>
          <w:lang w:val="en-GB"/>
        </w:rPr>
        <w:t>,</w:t>
      </w:r>
      <w:r w:rsidRPr="00BC048A">
        <w:rPr>
          <w:rFonts w:eastAsia="Times New Roman" w:cs="Times New Roman"/>
          <w:noProof/>
          <w:sz w:val="24"/>
          <w:szCs w:val="24"/>
          <w:lang w:val="en-GB"/>
        </w:rPr>
        <w:t xml:space="preserve"> and increased the expenditure cap. The amendment also </w:t>
      </w:r>
      <w:r>
        <w:rPr>
          <w:rFonts w:eastAsia="Times New Roman" w:cs="Times New Roman"/>
          <w:noProof/>
          <w:sz w:val="24"/>
          <w:szCs w:val="24"/>
          <w:lang w:val="en-GB"/>
        </w:rPr>
        <w:t xml:space="preserve">increased the </w:t>
      </w:r>
      <w:r w:rsidRPr="00BC048A">
        <w:rPr>
          <w:rFonts w:eastAsia="Times New Roman" w:cs="Times New Roman"/>
          <w:noProof/>
          <w:sz w:val="24"/>
          <w:szCs w:val="24"/>
          <w:lang w:val="en-GB"/>
        </w:rPr>
        <w:t>tax incentives for investments in startups and safeguards to prevent critical technolog</w:t>
      </w:r>
      <w:r>
        <w:rPr>
          <w:rFonts w:eastAsia="Times New Roman" w:cs="Times New Roman"/>
          <w:noProof/>
          <w:sz w:val="24"/>
          <w:szCs w:val="24"/>
          <w:lang w:val="en-GB"/>
        </w:rPr>
        <w:t>y</w:t>
      </w:r>
      <w:r w:rsidRPr="00BC048A">
        <w:rPr>
          <w:rFonts w:eastAsia="Times New Roman" w:cs="Times New Roman"/>
          <w:noProof/>
          <w:sz w:val="24"/>
          <w:szCs w:val="24"/>
          <w:lang w:val="en-GB"/>
        </w:rPr>
        <w:t xml:space="preserve"> outflows, requiring prior government approval not only for overseas investments but also investments in designated countries, regions, industries or technologies.</w:t>
      </w:r>
    </w:p>
    <w:p w14:paraId="02698D47" w14:textId="77777777" w:rsidR="00267A77" w:rsidRPr="00BC048A" w:rsidRDefault="00267A77" w:rsidP="00267A77">
      <w:pPr>
        <w:pStyle w:val="Title3"/>
        <w:spacing w:after="160" w:line="250" w:lineRule="auto"/>
        <w:ind w:left="0"/>
        <w:rPr>
          <w:b w:val="0"/>
          <w:bCs w:val="0"/>
          <w:noProof/>
          <w:szCs w:val="24"/>
          <w:lang w:val="en-GB"/>
        </w:rPr>
      </w:pPr>
      <w:bookmarkStart w:id="271" w:name="_Toc185237924"/>
      <w:bookmarkStart w:id="272" w:name="_Toc185239927"/>
      <w:bookmarkStart w:id="273" w:name="_Toc185264694"/>
      <w:bookmarkStart w:id="274" w:name="_Toc185525790"/>
      <w:bookmarkStart w:id="275" w:name="_Toc214539722"/>
      <w:bookmarkStart w:id="276" w:name="_Toc215659818"/>
      <w:bookmarkStart w:id="277" w:name="_Toc220103491"/>
      <w:r w:rsidRPr="00BC048A">
        <w:rPr>
          <w:rStyle w:val="Heading4Char"/>
          <w:rFonts w:ascii="Times New Roman" w:hAnsi="Times New Roman" w:cs="Times New Roman"/>
          <w:b w:val="0"/>
          <w:bCs w:val="0"/>
          <w:noProof/>
          <w:color w:val="auto"/>
          <w:lang w:val="en-GB"/>
        </w:rPr>
        <w:t>Japan</w:t>
      </w:r>
      <w:bookmarkEnd w:id="271"/>
      <w:bookmarkEnd w:id="272"/>
      <w:bookmarkEnd w:id="273"/>
      <w:bookmarkEnd w:id="274"/>
      <w:r w:rsidRPr="00BC048A">
        <w:rPr>
          <w:b w:val="0"/>
          <w:bCs w:val="0"/>
          <w:noProof/>
          <w:szCs w:val="24"/>
          <w:lang w:val="en-GB"/>
        </w:rPr>
        <w:t xml:space="preserve"> </w:t>
      </w:r>
      <w:r w:rsidRPr="00BC048A">
        <w:rPr>
          <w:b w:val="0"/>
          <w:bCs w:val="0"/>
          <w:noProof/>
          <w:szCs w:val="24"/>
          <w:lang w:val="en-GB" w:eastAsia="en-GB"/>
        </w:rPr>
        <w:drawing>
          <wp:inline distT="0" distB="0" distL="0" distR="0" wp14:anchorId="257928DB" wp14:editId="34211D12">
            <wp:extent cx="146050" cy="146050"/>
            <wp:effectExtent l="0" t="0" r="6350" b="6350"/>
            <wp:docPr id="17296409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bookmarkEnd w:id="275"/>
      <w:bookmarkEnd w:id="276"/>
      <w:bookmarkEnd w:id="277"/>
    </w:p>
    <w:p w14:paraId="265D9298" w14:textId="37116975"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October 2025, the Ministry of the Environment (MoE) announced plans to provide financial support for recycling hubs aimed at supplying automotive parts to manufacturers. The plan in</w:t>
      </w:r>
      <w:r>
        <w:rPr>
          <w:rFonts w:eastAsia="Times New Roman" w:cs="Times New Roman"/>
          <w:noProof/>
          <w:sz w:val="24"/>
          <w:szCs w:val="24"/>
          <w:lang w:val="en-GB"/>
        </w:rPr>
        <w:t>volves setting up 10</w:t>
      </w:r>
      <w:r w:rsidRPr="00BC048A">
        <w:rPr>
          <w:rFonts w:eastAsia="Times New Roman" w:cs="Times New Roman"/>
          <w:noProof/>
          <w:sz w:val="24"/>
          <w:szCs w:val="24"/>
          <w:lang w:val="en-GB"/>
        </w:rPr>
        <w:t xml:space="preserve"> domestic hubs for the collection of recycled plastics</w:t>
      </w:r>
      <w:r>
        <w:rPr>
          <w:rFonts w:eastAsia="Times New Roman" w:cs="Times New Roman"/>
          <w:noProof/>
          <w:sz w:val="24"/>
          <w:szCs w:val="24"/>
          <w:lang w:val="en-GB"/>
        </w:rPr>
        <w:t>.</w:t>
      </w:r>
      <w:r w:rsidRPr="00BC048A">
        <w:rPr>
          <w:rFonts w:eastAsia="Times New Roman" w:cs="Times New Roman"/>
          <w:noProof/>
          <w:sz w:val="24"/>
          <w:szCs w:val="24"/>
          <w:lang w:val="en-GB"/>
        </w:rPr>
        <w:t xml:space="preserve"> </w:t>
      </w:r>
      <w:r>
        <w:rPr>
          <w:rFonts w:eastAsia="Times New Roman" w:cs="Times New Roman"/>
          <w:noProof/>
          <w:sz w:val="24"/>
          <w:szCs w:val="24"/>
          <w:lang w:val="en-GB"/>
        </w:rPr>
        <w:t>T</w:t>
      </w:r>
      <w:r w:rsidRPr="00BC048A">
        <w:rPr>
          <w:rFonts w:eastAsia="Times New Roman" w:cs="Times New Roman"/>
          <w:noProof/>
          <w:sz w:val="24"/>
          <w:szCs w:val="24"/>
          <w:lang w:val="en-GB"/>
        </w:rPr>
        <w:t>he MoE will supply JPY</w:t>
      </w:r>
      <w:r>
        <w:rPr>
          <w:rFonts w:eastAsia="Times New Roman" w:cs="Times New Roman"/>
          <w:noProof/>
          <w:sz w:val="24"/>
          <w:szCs w:val="24"/>
          <w:lang w:val="en-GB"/>
        </w:rPr>
        <w:t> </w:t>
      </w:r>
      <w:r w:rsidRPr="00BC048A">
        <w:rPr>
          <w:rFonts w:eastAsia="Times New Roman" w:cs="Times New Roman"/>
          <w:noProof/>
          <w:sz w:val="24"/>
          <w:szCs w:val="24"/>
          <w:lang w:val="en-GB"/>
        </w:rPr>
        <w:t xml:space="preserve">974 million </w:t>
      </w:r>
      <w:r>
        <w:rPr>
          <w:rFonts w:eastAsia="Times New Roman" w:cs="Times New Roman"/>
          <w:noProof/>
          <w:sz w:val="24"/>
          <w:szCs w:val="24"/>
          <w:lang w:val="en-GB"/>
        </w:rPr>
        <w:t>t</w:t>
      </w:r>
      <w:r w:rsidRPr="00BC048A">
        <w:rPr>
          <w:rFonts w:eastAsia="Times New Roman" w:cs="Times New Roman"/>
          <w:noProof/>
          <w:sz w:val="24"/>
          <w:szCs w:val="24"/>
          <w:lang w:val="en-GB"/>
        </w:rPr>
        <w:t>o run these hubs, namely to conduct research and support the in</w:t>
      </w:r>
      <w:r>
        <w:rPr>
          <w:rFonts w:eastAsia="Times New Roman" w:cs="Times New Roman"/>
          <w:noProof/>
          <w:sz w:val="24"/>
          <w:szCs w:val="24"/>
          <w:lang w:val="en-GB"/>
        </w:rPr>
        <w:t>stallation</w:t>
      </w:r>
      <w:r w:rsidRPr="00BC048A">
        <w:rPr>
          <w:rFonts w:eastAsia="Times New Roman" w:cs="Times New Roman"/>
          <w:noProof/>
          <w:sz w:val="24"/>
          <w:szCs w:val="24"/>
          <w:lang w:val="en-GB"/>
        </w:rPr>
        <w:t xml:space="preserve"> of </w:t>
      </w:r>
      <w:r>
        <w:rPr>
          <w:rFonts w:eastAsia="Times New Roman" w:cs="Times New Roman"/>
          <w:noProof/>
          <w:sz w:val="24"/>
          <w:szCs w:val="24"/>
          <w:lang w:val="en-GB"/>
        </w:rPr>
        <w:t xml:space="preserve">the </w:t>
      </w:r>
      <w:r w:rsidRPr="00BC048A">
        <w:rPr>
          <w:rFonts w:eastAsia="Times New Roman" w:cs="Times New Roman"/>
          <w:noProof/>
          <w:sz w:val="24"/>
          <w:szCs w:val="24"/>
          <w:lang w:val="en-GB"/>
        </w:rPr>
        <w:t>facilities</w:t>
      </w:r>
      <w:r>
        <w:rPr>
          <w:rFonts w:eastAsia="Times New Roman" w:cs="Times New Roman"/>
          <w:noProof/>
          <w:sz w:val="24"/>
          <w:szCs w:val="24"/>
          <w:lang w:val="en-GB"/>
        </w:rPr>
        <w:t xml:space="preserve"> needed</w:t>
      </w:r>
      <w:r w:rsidRPr="00BC048A">
        <w:rPr>
          <w:rFonts w:eastAsia="Times New Roman" w:cs="Times New Roman"/>
          <w:noProof/>
          <w:sz w:val="24"/>
          <w:szCs w:val="24"/>
          <w:lang w:val="en-GB"/>
        </w:rPr>
        <w:t xml:space="preserve">. The aim is to help private automotive manufacturers </w:t>
      </w:r>
      <w:r>
        <w:rPr>
          <w:rFonts w:eastAsia="Times New Roman" w:cs="Times New Roman"/>
          <w:noProof/>
          <w:sz w:val="24"/>
          <w:szCs w:val="24"/>
          <w:lang w:val="en-GB"/>
        </w:rPr>
        <w:t xml:space="preserve">meet the </w:t>
      </w:r>
      <w:r w:rsidRPr="00BC048A">
        <w:rPr>
          <w:rFonts w:eastAsia="Times New Roman" w:cs="Times New Roman"/>
          <w:noProof/>
          <w:sz w:val="24"/>
          <w:szCs w:val="24"/>
          <w:lang w:val="en-GB"/>
        </w:rPr>
        <w:t>mandatory requirements for the use of recycled plastics in vehicles the EU is expected to introduce.</w:t>
      </w:r>
    </w:p>
    <w:p w14:paraId="6ECD94BB" w14:textId="63C964B1"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September 2025</w:t>
      </w:r>
      <w:r w:rsidRPr="00BC048A">
        <w:rPr>
          <w:rFonts w:cs="Times New Roman"/>
          <w:noProof/>
          <w:sz w:val="24"/>
          <w:szCs w:val="24"/>
          <w:lang w:val="en-GB"/>
        </w:rPr>
        <w:t xml:space="preserve">, the Japanese Environment Ministry launched a </w:t>
      </w:r>
      <w:r w:rsidRPr="00BC048A">
        <w:rPr>
          <w:rFonts w:eastAsia="Times New Roman" w:cs="Times New Roman"/>
          <w:noProof/>
          <w:sz w:val="24"/>
          <w:szCs w:val="24"/>
          <w:lang w:val="en-GB"/>
        </w:rPr>
        <w:t>subsidy scheme for companies and municipalities to promote the instalment of next-generation perovskite solar cells</w:t>
      </w:r>
      <w:r w:rsidRPr="00BC048A">
        <w:rPr>
          <w:rFonts w:cs="Times New Roman"/>
          <w:noProof/>
          <w:sz w:val="24"/>
          <w:szCs w:val="24"/>
          <w:lang w:val="en-GB"/>
        </w:rPr>
        <w:t xml:space="preserve"> in buildings. The initiative consists of JPY</w:t>
      </w:r>
      <w:r>
        <w:rPr>
          <w:rFonts w:cs="Times New Roman"/>
          <w:noProof/>
          <w:sz w:val="24"/>
          <w:szCs w:val="24"/>
          <w:lang w:val="en-GB"/>
        </w:rPr>
        <w:t> </w:t>
      </w:r>
      <w:r w:rsidRPr="00BC048A">
        <w:rPr>
          <w:rFonts w:cs="Times New Roman"/>
          <w:noProof/>
          <w:sz w:val="24"/>
          <w:szCs w:val="24"/>
          <w:lang w:val="en-GB"/>
        </w:rPr>
        <w:t>5 billion from the current year</w:t>
      </w:r>
      <w:r>
        <w:rPr>
          <w:rFonts w:cs="Times New Roman"/>
          <w:noProof/>
          <w:sz w:val="24"/>
          <w:szCs w:val="24"/>
          <w:lang w:val="en-GB"/>
        </w:rPr>
        <w:t>’</w:t>
      </w:r>
      <w:r w:rsidRPr="00BC048A">
        <w:rPr>
          <w:rFonts w:cs="Times New Roman"/>
          <w:noProof/>
          <w:sz w:val="24"/>
          <w:szCs w:val="24"/>
          <w:lang w:val="en-GB"/>
        </w:rPr>
        <w:t xml:space="preserve">s budget to cover up to 75% of the costs needed to purchase and install these cells in warehouses, factories and gymnasiums where heavy traditional panels cannot be installed. </w:t>
      </w:r>
    </w:p>
    <w:p w14:paraId="5FCFADA9" w14:textId="66254251"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May 2025</w:t>
      </w:r>
      <w:r w:rsidRPr="00BC048A">
        <w:rPr>
          <w:rFonts w:cs="Times New Roman"/>
          <w:noProof/>
          <w:sz w:val="24"/>
          <w:szCs w:val="24"/>
          <w:lang w:val="en-GB"/>
        </w:rPr>
        <w:t>, the Japanese Cabinet approved a JPY</w:t>
      </w:r>
      <w:r>
        <w:rPr>
          <w:rFonts w:cs="Times New Roman"/>
          <w:noProof/>
          <w:sz w:val="24"/>
          <w:szCs w:val="24"/>
          <w:lang w:val="en-GB"/>
        </w:rPr>
        <w:t> </w:t>
      </w:r>
      <w:r w:rsidRPr="00BC048A">
        <w:rPr>
          <w:rFonts w:cs="Times New Roman"/>
          <w:noProof/>
          <w:sz w:val="24"/>
          <w:szCs w:val="24"/>
          <w:lang w:val="en-GB"/>
        </w:rPr>
        <w:t>900 billion (EUR</w:t>
      </w:r>
      <w:r>
        <w:rPr>
          <w:rFonts w:cs="Times New Roman"/>
          <w:noProof/>
          <w:sz w:val="24"/>
          <w:szCs w:val="24"/>
          <w:lang w:val="en-GB"/>
        </w:rPr>
        <w:t> </w:t>
      </w:r>
      <w:r w:rsidRPr="00BC048A">
        <w:rPr>
          <w:rFonts w:cs="Times New Roman"/>
          <w:noProof/>
          <w:sz w:val="24"/>
          <w:szCs w:val="24"/>
          <w:lang w:val="en-GB"/>
        </w:rPr>
        <w:t xml:space="preserve">5.5 billion) </w:t>
      </w:r>
      <w:r w:rsidRPr="00BC048A">
        <w:rPr>
          <w:rFonts w:eastAsia="Times New Roman" w:cs="Times New Roman"/>
          <w:noProof/>
          <w:sz w:val="24"/>
          <w:szCs w:val="24"/>
          <w:lang w:val="en-GB"/>
        </w:rPr>
        <w:t>economic support package</w:t>
      </w:r>
      <w:r w:rsidRPr="00BC048A">
        <w:rPr>
          <w:rFonts w:cs="Times New Roman"/>
          <w:noProof/>
          <w:sz w:val="24"/>
          <w:szCs w:val="24"/>
          <w:lang w:val="en-GB"/>
        </w:rPr>
        <w:t xml:space="preserve"> with total fiscal measures reaching JPY</w:t>
      </w:r>
      <w:r>
        <w:rPr>
          <w:rFonts w:cs="Times New Roman"/>
          <w:noProof/>
          <w:sz w:val="24"/>
          <w:szCs w:val="24"/>
          <w:lang w:val="en-GB"/>
        </w:rPr>
        <w:t> </w:t>
      </w:r>
      <w:r w:rsidRPr="00BC048A">
        <w:rPr>
          <w:rFonts w:cs="Times New Roman"/>
          <w:noProof/>
          <w:sz w:val="24"/>
          <w:szCs w:val="24"/>
          <w:lang w:val="en-GB"/>
        </w:rPr>
        <w:t>2.8 t</w:t>
      </w:r>
      <w:r>
        <w:rPr>
          <w:rFonts w:cs="Times New Roman"/>
          <w:noProof/>
          <w:sz w:val="24"/>
          <w:szCs w:val="24"/>
          <w:lang w:val="en-GB"/>
        </w:rPr>
        <w:t>r</w:t>
      </w:r>
      <w:r w:rsidRPr="00BC048A">
        <w:rPr>
          <w:rFonts w:cs="Times New Roman"/>
          <w:noProof/>
          <w:sz w:val="24"/>
          <w:szCs w:val="24"/>
          <w:lang w:val="en-GB"/>
        </w:rPr>
        <w:t>illion (EUR</w:t>
      </w:r>
      <w:r>
        <w:rPr>
          <w:rFonts w:cs="Times New Roman"/>
          <w:noProof/>
          <w:sz w:val="24"/>
          <w:szCs w:val="24"/>
          <w:lang w:val="en-GB"/>
        </w:rPr>
        <w:t> </w:t>
      </w:r>
      <w:r w:rsidRPr="00BC048A">
        <w:rPr>
          <w:rFonts w:cs="Times New Roman"/>
          <w:noProof/>
          <w:sz w:val="24"/>
          <w:szCs w:val="24"/>
          <w:lang w:val="en-GB"/>
        </w:rPr>
        <w:t xml:space="preserve">17.2 billion) including local government spending. The package, </w:t>
      </w:r>
      <w:r>
        <w:rPr>
          <w:rFonts w:cs="Times New Roman"/>
          <w:noProof/>
          <w:sz w:val="24"/>
          <w:szCs w:val="24"/>
          <w:lang w:val="en-GB"/>
        </w:rPr>
        <w:t xml:space="preserve">brought </w:t>
      </w:r>
      <w:r w:rsidRPr="00BC048A">
        <w:rPr>
          <w:rFonts w:cs="Times New Roman"/>
          <w:noProof/>
          <w:sz w:val="24"/>
          <w:szCs w:val="24"/>
          <w:lang w:val="en-GB"/>
        </w:rPr>
        <w:t>in as a response to US tariffs, includes JPY</w:t>
      </w:r>
      <w:r>
        <w:rPr>
          <w:rFonts w:cs="Times New Roman"/>
          <w:noProof/>
          <w:sz w:val="24"/>
          <w:szCs w:val="24"/>
          <w:lang w:val="en-GB"/>
        </w:rPr>
        <w:t> </w:t>
      </w:r>
      <w:r w:rsidRPr="00BC048A">
        <w:rPr>
          <w:rFonts w:cs="Times New Roman"/>
          <w:noProof/>
          <w:sz w:val="24"/>
          <w:szCs w:val="24"/>
          <w:lang w:val="en-GB"/>
        </w:rPr>
        <w:t>600 billion (EUR</w:t>
      </w:r>
      <w:r>
        <w:rPr>
          <w:rFonts w:cs="Times New Roman"/>
          <w:noProof/>
          <w:sz w:val="24"/>
          <w:szCs w:val="24"/>
          <w:lang w:val="en-GB"/>
        </w:rPr>
        <w:t> </w:t>
      </w:r>
      <w:r w:rsidRPr="00BC048A">
        <w:rPr>
          <w:rFonts w:cs="Times New Roman"/>
          <w:noProof/>
          <w:sz w:val="24"/>
          <w:szCs w:val="24"/>
          <w:lang w:val="en-GB"/>
        </w:rPr>
        <w:t>3.7 billion) for energy subsidies, and JPY</w:t>
      </w:r>
      <w:r>
        <w:rPr>
          <w:rFonts w:cs="Times New Roman"/>
          <w:noProof/>
          <w:sz w:val="24"/>
          <w:szCs w:val="24"/>
          <w:lang w:val="en-GB"/>
        </w:rPr>
        <w:t> </w:t>
      </w:r>
      <w:r w:rsidRPr="00BC048A">
        <w:rPr>
          <w:rFonts w:cs="Times New Roman"/>
          <w:noProof/>
          <w:sz w:val="24"/>
          <w:szCs w:val="24"/>
          <w:lang w:val="en-GB"/>
        </w:rPr>
        <w:t>300 billion (EUR</w:t>
      </w:r>
      <w:r>
        <w:rPr>
          <w:rFonts w:cs="Times New Roman"/>
          <w:noProof/>
          <w:sz w:val="24"/>
          <w:szCs w:val="24"/>
          <w:lang w:val="en-GB"/>
        </w:rPr>
        <w:t> </w:t>
      </w:r>
      <w:r w:rsidRPr="00BC048A">
        <w:rPr>
          <w:rFonts w:cs="Times New Roman"/>
          <w:noProof/>
          <w:sz w:val="24"/>
          <w:szCs w:val="24"/>
          <w:lang w:val="en-GB"/>
        </w:rPr>
        <w:t>1.8 billion) to support SMEs through employment adjustment subsidies, government-backed loans (explor</w:t>
      </w:r>
      <w:r>
        <w:rPr>
          <w:rFonts w:cs="Times New Roman"/>
          <w:noProof/>
          <w:sz w:val="24"/>
          <w:szCs w:val="24"/>
          <w:lang w:val="en-GB"/>
        </w:rPr>
        <w:t>ing</w:t>
      </w:r>
      <w:r w:rsidRPr="00BC048A">
        <w:rPr>
          <w:rFonts w:cs="Times New Roman"/>
          <w:noProof/>
          <w:sz w:val="24"/>
          <w:szCs w:val="24"/>
          <w:lang w:val="en-GB"/>
        </w:rPr>
        <w:t xml:space="preserve"> lower interest rates), and new business consultation centres. JPY</w:t>
      </w:r>
      <w:r>
        <w:rPr>
          <w:rFonts w:cs="Times New Roman"/>
          <w:noProof/>
          <w:sz w:val="24"/>
          <w:szCs w:val="24"/>
          <w:lang w:val="en-GB"/>
        </w:rPr>
        <w:t> </w:t>
      </w:r>
      <w:r w:rsidRPr="00BC048A">
        <w:rPr>
          <w:rFonts w:cs="Times New Roman"/>
          <w:noProof/>
          <w:sz w:val="24"/>
          <w:szCs w:val="24"/>
          <w:lang w:val="en-GB"/>
        </w:rPr>
        <w:t>388 billion (EUR</w:t>
      </w:r>
      <w:r>
        <w:rPr>
          <w:rFonts w:cs="Times New Roman"/>
          <w:noProof/>
          <w:sz w:val="24"/>
          <w:szCs w:val="24"/>
          <w:lang w:val="en-GB"/>
        </w:rPr>
        <w:t> </w:t>
      </w:r>
      <w:r w:rsidRPr="00BC048A">
        <w:rPr>
          <w:rFonts w:cs="Times New Roman"/>
          <w:noProof/>
          <w:sz w:val="24"/>
          <w:szCs w:val="24"/>
          <w:lang w:val="en-GB"/>
        </w:rPr>
        <w:t>2.3 billion) from reserve funds will subsidise electricity and gas bills, cutting average household costs by JPY</w:t>
      </w:r>
      <w:r>
        <w:rPr>
          <w:rFonts w:cs="Times New Roman"/>
          <w:noProof/>
          <w:sz w:val="24"/>
          <w:szCs w:val="24"/>
          <w:lang w:val="en-GB"/>
        </w:rPr>
        <w:t> </w:t>
      </w:r>
      <w:r w:rsidRPr="00BC048A">
        <w:rPr>
          <w:rFonts w:cs="Times New Roman"/>
          <w:noProof/>
          <w:sz w:val="24"/>
          <w:szCs w:val="24"/>
          <w:lang w:val="en-GB"/>
        </w:rPr>
        <w:t>1</w:t>
      </w:r>
      <w:r>
        <w:rPr>
          <w:rFonts w:cs="Times New Roman"/>
          <w:noProof/>
          <w:sz w:val="24"/>
          <w:szCs w:val="24"/>
          <w:lang w:val="en-GB"/>
        </w:rPr>
        <w:t> </w:t>
      </w:r>
      <w:r w:rsidRPr="00BC048A">
        <w:rPr>
          <w:rFonts w:cs="Times New Roman"/>
          <w:noProof/>
          <w:sz w:val="24"/>
          <w:szCs w:val="24"/>
          <w:lang w:val="en-GB"/>
        </w:rPr>
        <w:t>000 (EUR</w:t>
      </w:r>
      <w:r>
        <w:rPr>
          <w:rFonts w:cs="Times New Roman"/>
          <w:noProof/>
          <w:sz w:val="24"/>
          <w:szCs w:val="24"/>
          <w:lang w:val="en-GB"/>
        </w:rPr>
        <w:t> </w:t>
      </w:r>
      <w:r w:rsidRPr="00BC048A">
        <w:rPr>
          <w:rFonts w:cs="Times New Roman"/>
          <w:noProof/>
          <w:sz w:val="24"/>
          <w:szCs w:val="24"/>
          <w:lang w:val="en-GB"/>
        </w:rPr>
        <w:t xml:space="preserve">6) per month. The government also extended its gasoline subsidies, which were introduced in 2022, for the tenth time and </w:t>
      </w:r>
      <w:r>
        <w:rPr>
          <w:rFonts w:cs="Times New Roman"/>
          <w:noProof/>
          <w:sz w:val="24"/>
          <w:szCs w:val="24"/>
          <w:lang w:val="en-GB"/>
        </w:rPr>
        <w:t xml:space="preserve">took action </w:t>
      </w:r>
      <w:r w:rsidRPr="00BC048A">
        <w:rPr>
          <w:rFonts w:cs="Times New Roman"/>
          <w:noProof/>
          <w:sz w:val="24"/>
          <w:szCs w:val="24"/>
          <w:lang w:val="en-GB"/>
        </w:rPr>
        <w:t>to reduce rice prices.</w:t>
      </w:r>
    </w:p>
    <w:p w14:paraId="3D46239B" w14:textId="34331140"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 xml:space="preserve">In 2025, </w:t>
      </w:r>
      <w:r>
        <w:rPr>
          <w:rFonts w:cs="Times New Roman"/>
          <w:noProof/>
          <w:sz w:val="24"/>
          <w:szCs w:val="24"/>
          <w:lang w:val="en-GB"/>
        </w:rPr>
        <w:t xml:space="preserve">Japan started updating </w:t>
      </w:r>
      <w:r w:rsidRPr="00BC048A">
        <w:rPr>
          <w:rFonts w:cs="Times New Roman"/>
          <w:noProof/>
          <w:sz w:val="24"/>
          <w:szCs w:val="24"/>
          <w:lang w:val="en-GB"/>
        </w:rPr>
        <w:t xml:space="preserve">the </w:t>
      </w:r>
      <w:r w:rsidRPr="00BC048A">
        <w:rPr>
          <w:rFonts w:eastAsia="Times New Roman" w:cs="Times New Roman"/>
          <w:noProof/>
          <w:sz w:val="24"/>
          <w:szCs w:val="24"/>
          <w:lang w:val="en-GB"/>
        </w:rPr>
        <w:t>Economic Security Promotion Act (ESPA)</w:t>
      </w:r>
      <w:r>
        <w:rPr>
          <w:rFonts w:eastAsia="Times New Roman" w:cs="Times New Roman"/>
          <w:noProof/>
          <w:sz w:val="24"/>
          <w:szCs w:val="24"/>
          <w:lang w:val="en-GB"/>
        </w:rPr>
        <w:t>,</w:t>
      </w:r>
      <w:r w:rsidRPr="00BC048A">
        <w:rPr>
          <w:rFonts w:eastAsia="Times New Roman" w:cs="Times New Roman"/>
          <w:noProof/>
          <w:sz w:val="24"/>
          <w:szCs w:val="24"/>
          <w:lang w:val="en-GB"/>
        </w:rPr>
        <w:t xml:space="preserve"> </w:t>
      </w:r>
      <w:r>
        <w:rPr>
          <w:rFonts w:eastAsia="Times New Roman" w:cs="Times New Roman"/>
          <w:noProof/>
          <w:sz w:val="24"/>
          <w:szCs w:val="24"/>
          <w:lang w:val="en-GB"/>
        </w:rPr>
        <w:t xml:space="preserve">which </w:t>
      </w:r>
      <w:r w:rsidRPr="00BC048A">
        <w:rPr>
          <w:rFonts w:eastAsia="Times New Roman" w:cs="Times New Roman"/>
          <w:noProof/>
          <w:sz w:val="24"/>
          <w:szCs w:val="24"/>
          <w:lang w:val="en-GB"/>
        </w:rPr>
        <w:t xml:space="preserve">is expected to expand support tools for economic security. </w:t>
      </w:r>
      <w:r>
        <w:rPr>
          <w:rFonts w:cs="Times New Roman"/>
          <w:noProof/>
          <w:sz w:val="24"/>
          <w:szCs w:val="24"/>
          <w:lang w:val="en-GB"/>
        </w:rPr>
        <w:t>T</w:t>
      </w:r>
      <w:r w:rsidRPr="00BC048A">
        <w:rPr>
          <w:rFonts w:cs="Times New Roman"/>
          <w:noProof/>
          <w:sz w:val="24"/>
          <w:szCs w:val="24"/>
          <w:lang w:val="en-GB"/>
        </w:rPr>
        <w:t>he revised version is expected to include government funding for overseas expansion (such as port development and dock repairs)</w:t>
      </w:r>
      <w:r>
        <w:rPr>
          <w:rFonts w:cs="Times New Roman"/>
          <w:noProof/>
          <w:sz w:val="24"/>
          <w:szCs w:val="24"/>
          <w:lang w:val="en-GB"/>
        </w:rPr>
        <w:t>,</w:t>
      </w:r>
      <w:r w:rsidRPr="00BC048A">
        <w:rPr>
          <w:rFonts w:cs="Times New Roman"/>
          <w:noProof/>
          <w:sz w:val="24"/>
          <w:szCs w:val="24"/>
          <w:lang w:val="en-GB"/>
        </w:rPr>
        <w:t xml:space="preserve"> support to private-sector projects (such as submarine cable laying and maintenance)</w:t>
      </w:r>
      <w:r>
        <w:rPr>
          <w:rFonts w:cs="Times New Roman"/>
          <w:noProof/>
          <w:sz w:val="24"/>
          <w:szCs w:val="24"/>
          <w:lang w:val="en-GB"/>
        </w:rPr>
        <w:t>,</w:t>
      </w:r>
      <w:r w:rsidRPr="00BC048A">
        <w:rPr>
          <w:rFonts w:cs="Times New Roman"/>
          <w:noProof/>
          <w:sz w:val="24"/>
          <w:szCs w:val="24"/>
          <w:lang w:val="en-GB"/>
        </w:rPr>
        <w:t xml:space="preserve"> </w:t>
      </w:r>
      <w:r>
        <w:rPr>
          <w:rFonts w:cs="Times New Roman"/>
          <w:noProof/>
          <w:sz w:val="24"/>
          <w:szCs w:val="24"/>
          <w:lang w:val="en-GB"/>
        </w:rPr>
        <w:t xml:space="preserve">an </w:t>
      </w:r>
      <w:r w:rsidRPr="00BC048A">
        <w:rPr>
          <w:rFonts w:cs="Times New Roman"/>
          <w:noProof/>
          <w:sz w:val="24"/>
          <w:szCs w:val="24"/>
          <w:lang w:val="en-GB"/>
        </w:rPr>
        <w:t>expan</w:t>
      </w:r>
      <w:r>
        <w:rPr>
          <w:rFonts w:cs="Times New Roman"/>
          <w:noProof/>
          <w:sz w:val="24"/>
          <w:szCs w:val="24"/>
          <w:lang w:val="en-GB"/>
        </w:rPr>
        <w:t>ded</w:t>
      </w:r>
      <w:r w:rsidRPr="00BC048A">
        <w:rPr>
          <w:rFonts w:cs="Times New Roman"/>
          <w:noProof/>
          <w:sz w:val="24"/>
          <w:szCs w:val="24"/>
          <w:lang w:val="en-GB"/>
        </w:rPr>
        <w:t xml:space="preserve"> scope of critical infrastructure to medical facilities</w:t>
      </w:r>
      <w:r>
        <w:rPr>
          <w:rFonts w:cs="Times New Roman"/>
          <w:noProof/>
          <w:sz w:val="24"/>
          <w:szCs w:val="24"/>
          <w:lang w:val="en-GB"/>
        </w:rPr>
        <w:t>,</w:t>
      </w:r>
      <w:r w:rsidRPr="00BC048A">
        <w:rPr>
          <w:rFonts w:cs="Times New Roman"/>
          <w:noProof/>
          <w:sz w:val="24"/>
          <w:szCs w:val="24"/>
          <w:lang w:val="en-GB"/>
        </w:rPr>
        <w:t xml:space="preserve"> the </w:t>
      </w:r>
      <w:r>
        <w:rPr>
          <w:rFonts w:cs="Times New Roman"/>
          <w:noProof/>
          <w:sz w:val="24"/>
          <w:szCs w:val="24"/>
          <w:lang w:val="en-GB"/>
        </w:rPr>
        <w:t>creation</w:t>
      </w:r>
      <w:r w:rsidRPr="00BC048A">
        <w:rPr>
          <w:rFonts w:cs="Times New Roman"/>
          <w:noProof/>
          <w:sz w:val="24"/>
          <w:szCs w:val="24"/>
          <w:lang w:val="en-GB"/>
        </w:rPr>
        <w:t xml:space="preserve"> of a new think-tank</w:t>
      </w:r>
      <w:r>
        <w:rPr>
          <w:rFonts w:cs="Times New Roman"/>
          <w:noProof/>
          <w:sz w:val="24"/>
          <w:szCs w:val="24"/>
          <w:lang w:val="en-GB"/>
        </w:rPr>
        <w:t>,</w:t>
      </w:r>
      <w:r w:rsidRPr="00BC048A">
        <w:rPr>
          <w:rFonts w:cs="Times New Roman"/>
          <w:noProof/>
          <w:sz w:val="24"/>
          <w:szCs w:val="24"/>
          <w:lang w:val="en-GB"/>
        </w:rPr>
        <w:t xml:space="preserve"> the setup of a Council for public-private dialogue</w:t>
      </w:r>
      <w:r>
        <w:rPr>
          <w:rFonts w:cs="Times New Roman"/>
          <w:noProof/>
          <w:sz w:val="24"/>
          <w:szCs w:val="24"/>
          <w:lang w:val="en-GB"/>
        </w:rPr>
        <w:t>,</w:t>
      </w:r>
      <w:r w:rsidRPr="00BC048A">
        <w:rPr>
          <w:rFonts w:cs="Times New Roman"/>
          <w:noProof/>
          <w:sz w:val="24"/>
          <w:szCs w:val="24"/>
          <w:lang w:val="en-GB"/>
        </w:rPr>
        <w:t xml:space="preserve"> the protection of sensitive personal data and the addition of five critical products to the </w:t>
      </w:r>
      <w:r>
        <w:rPr>
          <w:rFonts w:cs="Times New Roman"/>
          <w:noProof/>
          <w:sz w:val="24"/>
          <w:szCs w:val="24"/>
          <w:lang w:val="en-GB"/>
        </w:rPr>
        <w:t>current</w:t>
      </w:r>
      <w:r w:rsidRPr="00BC048A">
        <w:rPr>
          <w:rFonts w:cs="Times New Roman"/>
          <w:noProof/>
          <w:sz w:val="24"/>
          <w:szCs w:val="24"/>
          <w:lang w:val="en-GB"/>
        </w:rPr>
        <w:t xml:space="preserve"> li</w:t>
      </w:r>
      <w:r>
        <w:rPr>
          <w:rFonts w:cs="Times New Roman"/>
          <w:noProof/>
          <w:sz w:val="24"/>
          <w:szCs w:val="24"/>
          <w:lang w:val="en-GB"/>
        </w:rPr>
        <w:t>s</w:t>
      </w:r>
      <w:r w:rsidRPr="00BC048A">
        <w:rPr>
          <w:rFonts w:cs="Times New Roman"/>
          <w:noProof/>
          <w:sz w:val="24"/>
          <w:szCs w:val="24"/>
          <w:lang w:val="en-GB"/>
        </w:rPr>
        <w:t>t of 12 critical products. Specific companies supplying designated critical commodities will therefore continue to receive financial and fiscal support over the medium to long term. Subsidies under the ESPA aim to reduce the risk for private operators and encourage them to enter currently low margin/high-risk businesses and R&amp;D.</w:t>
      </w:r>
    </w:p>
    <w:p w14:paraId="46D0CAC6" w14:textId="269C9F20"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February 2025</w:t>
      </w:r>
      <w:r w:rsidRPr="00BC048A">
        <w:rPr>
          <w:rFonts w:cs="Times New Roman"/>
          <w:noProof/>
          <w:sz w:val="24"/>
          <w:szCs w:val="24"/>
          <w:lang w:val="en-GB"/>
        </w:rPr>
        <w:t xml:space="preserve">, </w:t>
      </w:r>
      <w:r>
        <w:rPr>
          <w:rFonts w:cs="Times New Roman"/>
          <w:noProof/>
          <w:sz w:val="24"/>
          <w:szCs w:val="24"/>
          <w:lang w:val="en-GB"/>
        </w:rPr>
        <w:t xml:space="preserve">Japan published its </w:t>
      </w:r>
      <w:r w:rsidRPr="00BC048A">
        <w:rPr>
          <w:rFonts w:eastAsia="Times New Roman" w:cs="Times New Roman"/>
          <w:noProof/>
          <w:sz w:val="24"/>
          <w:szCs w:val="24"/>
          <w:lang w:val="en-GB"/>
        </w:rPr>
        <w:t xml:space="preserve">GX 2040 vision, which </w:t>
      </w:r>
      <w:r>
        <w:rPr>
          <w:rFonts w:eastAsia="Times New Roman" w:cs="Times New Roman"/>
          <w:noProof/>
          <w:sz w:val="24"/>
          <w:szCs w:val="24"/>
          <w:lang w:val="en-GB"/>
        </w:rPr>
        <w:t xml:space="preserve">indicate </w:t>
      </w:r>
      <w:r w:rsidRPr="00BC048A">
        <w:rPr>
          <w:rFonts w:eastAsia="Times New Roman" w:cs="Times New Roman"/>
          <w:noProof/>
          <w:sz w:val="24"/>
          <w:szCs w:val="24"/>
          <w:lang w:val="en-GB"/>
        </w:rPr>
        <w:t>bonds totalling JPY</w:t>
      </w:r>
      <w:r>
        <w:rPr>
          <w:rFonts w:eastAsia="Times New Roman" w:cs="Times New Roman"/>
          <w:noProof/>
          <w:sz w:val="24"/>
          <w:szCs w:val="24"/>
          <w:lang w:val="en-GB"/>
        </w:rPr>
        <w:t> </w:t>
      </w:r>
      <w:r w:rsidRPr="00BC048A">
        <w:rPr>
          <w:rFonts w:eastAsia="Times New Roman" w:cs="Times New Roman"/>
          <w:noProof/>
          <w:sz w:val="24"/>
          <w:szCs w:val="24"/>
          <w:lang w:val="en-GB"/>
        </w:rPr>
        <w:t xml:space="preserve">20 thousand billion for the green transformation (GX). The GX 2040 </w:t>
      </w:r>
      <w:r>
        <w:rPr>
          <w:rFonts w:eastAsia="Times New Roman" w:cs="Times New Roman"/>
          <w:noProof/>
          <w:sz w:val="24"/>
          <w:szCs w:val="24"/>
          <w:lang w:val="en-GB"/>
        </w:rPr>
        <w:t>v</w:t>
      </w:r>
      <w:r w:rsidRPr="00BC048A">
        <w:rPr>
          <w:rFonts w:eastAsia="Times New Roman" w:cs="Times New Roman"/>
          <w:noProof/>
          <w:sz w:val="24"/>
          <w:szCs w:val="24"/>
          <w:lang w:val="en-GB"/>
        </w:rPr>
        <w:t xml:space="preserve">ision presents a detailed roadmap for medium- to long-term GX initiatives, enhancing investment predictability across public and private sectors. It focuses on specific sectors such as energy and other challenging industries like steel, chemical, paper and cement, alongside advancements in next-generation automobiles and airplanes.  </w:t>
      </w:r>
      <w:r>
        <w:rPr>
          <w:rFonts w:eastAsia="Times New Roman" w:cs="Times New Roman"/>
          <w:noProof/>
          <w:sz w:val="24"/>
          <w:szCs w:val="24"/>
          <w:lang w:val="en-GB"/>
        </w:rPr>
        <w:t xml:space="preserve">In addition to </w:t>
      </w:r>
      <w:r w:rsidRPr="00BC048A">
        <w:rPr>
          <w:rFonts w:eastAsia="Times New Roman" w:cs="Times New Roman"/>
          <w:noProof/>
          <w:sz w:val="24"/>
          <w:szCs w:val="24"/>
          <w:lang w:val="en-GB"/>
        </w:rPr>
        <w:t xml:space="preserve">providing financial investment, </w:t>
      </w:r>
      <w:r>
        <w:rPr>
          <w:rFonts w:eastAsia="Times New Roman" w:cs="Times New Roman"/>
          <w:noProof/>
          <w:sz w:val="24"/>
          <w:szCs w:val="24"/>
          <w:lang w:val="en-GB"/>
        </w:rPr>
        <w:t xml:space="preserve">the vision indicates a gradual move to bring </w:t>
      </w:r>
      <w:r w:rsidRPr="00BC048A">
        <w:rPr>
          <w:rFonts w:eastAsia="Times New Roman" w:cs="Times New Roman"/>
          <w:noProof/>
          <w:sz w:val="24"/>
          <w:szCs w:val="24"/>
          <w:lang w:val="en-GB"/>
        </w:rPr>
        <w:t>in carbon pricing.</w:t>
      </w:r>
    </w:p>
    <w:p w14:paraId="52FFE31F" w14:textId="77777777" w:rsidR="00267A77" w:rsidRPr="00BC048A" w:rsidRDefault="00267A77" w:rsidP="00267A77">
      <w:pPr>
        <w:pStyle w:val="Title3"/>
        <w:spacing w:after="160" w:line="250" w:lineRule="auto"/>
        <w:ind w:left="0"/>
        <w:rPr>
          <w:b w:val="0"/>
          <w:bCs w:val="0"/>
          <w:noProof/>
          <w:szCs w:val="24"/>
          <w:lang w:val="en-GB"/>
        </w:rPr>
      </w:pPr>
      <w:bookmarkStart w:id="278" w:name="_Toc185237925"/>
      <w:bookmarkStart w:id="279" w:name="_Toc185239928"/>
      <w:bookmarkStart w:id="280" w:name="_Toc185264695"/>
      <w:bookmarkStart w:id="281" w:name="_Toc185525791"/>
      <w:bookmarkStart w:id="282" w:name="_Toc214539723"/>
      <w:bookmarkStart w:id="283" w:name="_Toc215659819"/>
      <w:bookmarkStart w:id="284" w:name="_Toc220103492"/>
      <w:r w:rsidRPr="00BC048A">
        <w:rPr>
          <w:rStyle w:val="Heading4Char"/>
          <w:rFonts w:ascii="Times New Roman" w:hAnsi="Times New Roman" w:cs="Times New Roman"/>
          <w:b w:val="0"/>
          <w:bCs w:val="0"/>
          <w:noProof/>
          <w:color w:val="auto"/>
          <w:lang w:val="en-GB"/>
        </w:rPr>
        <w:t>Republic of Korea</w:t>
      </w:r>
      <w:bookmarkEnd w:id="278"/>
      <w:bookmarkEnd w:id="279"/>
      <w:bookmarkEnd w:id="280"/>
      <w:bookmarkEnd w:id="281"/>
      <w:r w:rsidRPr="00BC048A">
        <w:rPr>
          <w:b w:val="0"/>
          <w:bCs w:val="0"/>
          <w:noProof/>
          <w:szCs w:val="24"/>
          <w:lang w:val="en-GB"/>
        </w:rPr>
        <w:t xml:space="preserve"> </w:t>
      </w:r>
      <w:r w:rsidRPr="00BC048A">
        <w:rPr>
          <w:b w:val="0"/>
          <w:bCs w:val="0"/>
          <w:noProof/>
          <w:szCs w:val="24"/>
          <w:lang w:val="en-GB" w:eastAsia="en-GB"/>
        </w:rPr>
        <w:drawing>
          <wp:inline distT="0" distB="0" distL="0" distR="0" wp14:anchorId="75650843" wp14:editId="3FFAF28B">
            <wp:extent cx="133350" cy="133350"/>
            <wp:effectExtent l="0" t="0" r="0" b="0"/>
            <wp:docPr id="13469249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bookmarkEnd w:id="282"/>
      <w:bookmarkEnd w:id="283"/>
      <w:bookmarkEnd w:id="284"/>
    </w:p>
    <w:p w14:paraId="3DB90A42" w14:textId="011BBC70"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February 2025</w:t>
      </w:r>
      <w:r w:rsidRPr="00BC048A">
        <w:rPr>
          <w:rFonts w:cs="Times New Roman"/>
          <w:noProof/>
          <w:sz w:val="24"/>
          <w:szCs w:val="24"/>
          <w:lang w:val="en-GB"/>
        </w:rPr>
        <w:t xml:space="preserve">, </w:t>
      </w:r>
      <w:r>
        <w:rPr>
          <w:rFonts w:cs="Times New Roman"/>
          <w:noProof/>
          <w:sz w:val="24"/>
          <w:szCs w:val="24"/>
          <w:lang w:val="en-GB"/>
        </w:rPr>
        <w:t xml:space="preserve">the </w:t>
      </w:r>
      <w:r w:rsidRPr="00BC048A">
        <w:rPr>
          <w:rFonts w:cs="Times New Roman"/>
          <w:noProof/>
          <w:sz w:val="24"/>
          <w:szCs w:val="24"/>
          <w:lang w:val="en-GB"/>
        </w:rPr>
        <w:t xml:space="preserve">Republic of Korea launched a </w:t>
      </w:r>
      <w:r>
        <w:rPr>
          <w:rFonts w:cs="Times New Roman"/>
          <w:noProof/>
          <w:sz w:val="24"/>
          <w:szCs w:val="24"/>
          <w:lang w:val="en-GB"/>
        </w:rPr>
        <w:t>‘</w:t>
      </w:r>
      <w:r w:rsidRPr="00BC048A">
        <w:rPr>
          <w:rFonts w:eastAsia="Times New Roman" w:cs="Times New Roman"/>
          <w:noProof/>
          <w:sz w:val="24"/>
          <w:szCs w:val="24"/>
          <w:lang w:val="en-GB"/>
        </w:rPr>
        <w:t>key minerals investment council</w:t>
      </w:r>
      <w:r>
        <w:rPr>
          <w:rFonts w:cs="Times New Roman"/>
          <w:noProof/>
          <w:sz w:val="24"/>
          <w:szCs w:val="24"/>
          <w:lang w:val="en-GB"/>
        </w:rPr>
        <w:t>’</w:t>
      </w:r>
      <w:r w:rsidRPr="00BC048A">
        <w:rPr>
          <w:rFonts w:cs="Times New Roman"/>
          <w:noProof/>
          <w:sz w:val="24"/>
          <w:szCs w:val="24"/>
          <w:lang w:val="en-GB"/>
        </w:rPr>
        <w:t xml:space="preserve">. The council will </w:t>
      </w:r>
      <w:r w:rsidRPr="00BC048A">
        <w:rPr>
          <w:rFonts w:eastAsia="Times New Roman" w:cs="Times New Roman"/>
          <w:noProof/>
          <w:sz w:val="24"/>
          <w:szCs w:val="24"/>
          <w:lang w:val="en-GB"/>
        </w:rPr>
        <w:t>identify private-centred key mineral investment projects</w:t>
      </w:r>
      <w:r w:rsidRPr="00BC048A">
        <w:rPr>
          <w:rFonts w:cs="Times New Roman"/>
          <w:noProof/>
          <w:sz w:val="24"/>
          <w:szCs w:val="24"/>
          <w:lang w:val="en-GB"/>
        </w:rPr>
        <w:t xml:space="preserve"> and establish a comprehensive public-private support system that includes existing support programmes such as investments in the supply chain stabilisation fund, overseas resource development investigation, loans, overseas investment insurance and supply chain consulting support. The aim is to promote joint public-private investment in key minerals at an annual scale of KRW 50 billion. The council includes the Ministry of Trade, Industry and Energy, Ministry of Strategy and Finance, and Ministry of Foreign Affairs, together with public organisations such as the Korea Mine Rehabilitation and Mineral Resources Corporation, local governments, the Export-Import Bank of Korea, the Korea Trade Insurance Corporation, the Korea Energy Agency, and the Korea Trade-Investment Promotion Agency (KOTRA), as well as private associations in the overseas resources industry. </w:t>
      </w:r>
    </w:p>
    <w:p w14:paraId="7ECB5253" w14:textId="707933CD"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February 2025, an amendment to the Restriction of Special Taxation Act was passed, raising tax credit rates and broadening the categories of companies eligible for incentives in strategic technology sectors. The amendment included a proposal to add AI and future transport sectors to </w:t>
      </w:r>
      <w:r>
        <w:rPr>
          <w:rFonts w:eastAsia="Times New Roman" w:cs="Times New Roman"/>
          <w:noProof/>
          <w:sz w:val="24"/>
          <w:szCs w:val="24"/>
          <w:lang w:val="en-GB"/>
        </w:rPr>
        <w:t xml:space="preserve">the list of </w:t>
      </w:r>
      <w:r w:rsidRPr="00BC048A">
        <w:rPr>
          <w:rFonts w:eastAsia="Times New Roman" w:cs="Times New Roman"/>
          <w:noProof/>
          <w:sz w:val="24"/>
          <w:szCs w:val="24"/>
          <w:lang w:val="en-GB"/>
        </w:rPr>
        <w:t xml:space="preserve">national strategic technologies and to raise </w:t>
      </w:r>
      <w:r>
        <w:rPr>
          <w:rFonts w:eastAsia="Times New Roman" w:cs="Times New Roman"/>
          <w:noProof/>
          <w:sz w:val="24"/>
          <w:szCs w:val="24"/>
          <w:lang w:val="en-GB"/>
        </w:rPr>
        <w:t xml:space="preserve">the </w:t>
      </w:r>
      <w:r w:rsidRPr="00BC048A">
        <w:rPr>
          <w:rFonts w:eastAsia="Times New Roman" w:cs="Times New Roman"/>
          <w:noProof/>
          <w:sz w:val="24"/>
          <w:szCs w:val="24"/>
          <w:lang w:val="en-GB"/>
        </w:rPr>
        <w:t>tax credit rate for investment in semiconductors by five percentage points. This measure builds on the Special Taxation Act (in effect since 1 January 2023) which sets out a precise list of 150 strategic technologies for which Republic of Korea-based manufacturing companies could receive tax credits, amounting to KRW 937.6 billion (EUR 631.1 million) in 2023. In April 2023, the Ministry of Industry announced that the list would be updated to include 50 extra technologies, bringing the list to 200 items.</w:t>
      </w:r>
    </w:p>
    <w:p w14:paraId="59223DE0" w14:textId="77777777" w:rsidR="00267A77" w:rsidRPr="00BC048A" w:rsidRDefault="00267A77" w:rsidP="00267A77">
      <w:pPr>
        <w:pStyle w:val="Title3"/>
        <w:spacing w:after="160" w:line="250" w:lineRule="auto"/>
        <w:ind w:left="0"/>
        <w:rPr>
          <w:b w:val="0"/>
          <w:bCs w:val="0"/>
          <w:noProof/>
          <w:szCs w:val="24"/>
          <w:lang w:val="en-GB"/>
        </w:rPr>
      </w:pPr>
      <w:bookmarkStart w:id="285" w:name="_Toc214539724"/>
      <w:bookmarkStart w:id="286" w:name="_Toc215659820"/>
      <w:bookmarkStart w:id="287" w:name="_Toc220103493"/>
      <w:r w:rsidRPr="00BC048A">
        <w:rPr>
          <w:rStyle w:val="Heading4Char"/>
          <w:rFonts w:ascii="Times New Roman" w:hAnsi="Times New Roman" w:cs="Times New Roman"/>
          <w:b w:val="0"/>
          <w:bCs w:val="0"/>
          <w:noProof/>
          <w:color w:val="auto"/>
          <w:lang w:val="en-GB"/>
        </w:rPr>
        <w:t>Brazil</w:t>
      </w:r>
      <w:r w:rsidRPr="00BC048A">
        <w:rPr>
          <w:b w:val="0"/>
          <w:bCs w:val="0"/>
          <w:noProof/>
          <w:szCs w:val="24"/>
          <w:lang w:val="en-GB"/>
        </w:rPr>
        <w:t xml:space="preserve"> </w:t>
      </w:r>
      <w:r w:rsidRPr="00BC048A">
        <w:rPr>
          <w:rFonts w:eastAsia="Franklin Gothic Book"/>
          <w:b w:val="0"/>
          <w:bCs w:val="0"/>
          <w:noProof/>
          <w:szCs w:val="24"/>
          <w:lang w:val="en-GB" w:eastAsia="en-GB"/>
        </w:rPr>
        <w:drawing>
          <wp:inline distT="0" distB="0" distL="0" distR="0" wp14:anchorId="1937903F" wp14:editId="03A57AE3">
            <wp:extent cx="140400" cy="140400"/>
            <wp:effectExtent l="0" t="0" r="0" b="0"/>
            <wp:docPr id="19689939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0400" cy="140400"/>
                    </a:xfrm>
                    <a:prstGeom prst="rect">
                      <a:avLst/>
                    </a:prstGeom>
                    <a:noFill/>
                    <a:ln>
                      <a:noFill/>
                    </a:ln>
                  </pic:spPr>
                </pic:pic>
              </a:graphicData>
            </a:graphic>
          </wp:inline>
        </w:drawing>
      </w:r>
      <w:bookmarkEnd w:id="285"/>
      <w:bookmarkEnd w:id="286"/>
      <w:bookmarkEnd w:id="287"/>
    </w:p>
    <w:p w14:paraId="11ACA0CE" w14:textId="47B01F34"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On 22</w:t>
      </w:r>
      <w:r>
        <w:rPr>
          <w:rFonts w:eastAsia="Times New Roman" w:cs="Times New Roman"/>
          <w:noProof/>
          <w:sz w:val="24"/>
          <w:szCs w:val="24"/>
          <w:lang w:val="en-GB"/>
        </w:rPr>
        <w:t> </w:t>
      </w:r>
      <w:r w:rsidRPr="00BC048A">
        <w:rPr>
          <w:rFonts w:eastAsia="Times New Roman" w:cs="Times New Roman"/>
          <w:noProof/>
          <w:sz w:val="24"/>
          <w:szCs w:val="24"/>
          <w:lang w:val="en-GB"/>
        </w:rPr>
        <w:t xml:space="preserve">August 2025, Brazil announced the Sovereign Brazil </w:t>
      </w:r>
      <w:r>
        <w:rPr>
          <w:rFonts w:eastAsia="Times New Roman" w:cs="Times New Roman"/>
          <w:noProof/>
          <w:sz w:val="24"/>
          <w:szCs w:val="24"/>
          <w:lang w:val="en-GB"/>
        </w:rPr>
        <w:t>p</w:t>
      </w:r>
      <w:r w:rsidRPr="00BC048A">
        <w:rPr>
          <w:rFonts w:eastAsia="Times New Roman" w:cs="Times New Roman"/>
          <w:noProof/>
          <w:sz w:val="24"/>
          <w:szCs w:val="24"/>
          <w:lang w:val="en-GB"/>
        </w:rPr>
        <w:t xml:space="preserve">lan. </w:t>
      </w:r>
      <w:r>
        <w:rPr>
          <w:rFonts w:eastAsia="Times New Roman" w:cs="Times New Roman"/>
          <w:noProof/>
          <w:sz w:val="24"/>
          <w:szCs w:val="24"/>
          <w:lang w:val="en-GB"/>
        </w:rPr>
        <w:t xml:space="preserve">The plan has </w:t>
      </w:r>
      <w:r w:rsidRPr="00BC048A">
        <w:rPr>
          <w:rFonts w:eastAsia="Times New Roman" w:cs="Times New Roman"/>
          <w:noProof/>
          <w:sz w:val="24"/>
          <w:szCs w:val="24"/>
          <w:lang w:val="en-GB"/>
        </w:rPr>
        <w:t xml:space="preserve">three pillars </w:t>
      </w:r>
      <w:r>
        <w:rPr>
          <w:rFonts w:eastAsia="Times New Roman" w:cs="Times New Roman"/>
          <w:noProof/>
          <w:sz w:val="24"/>
          <w:szCs w:val="24"/>
          <w:lang w:val="en-GB"/>
        </w:rPr>
        <w:t xml:space="preserve">and </w:t>
      </w:r>
      <w:r w:rsidRPr="00BC048A">
        <w:rPr>
          <w:rFonts w:eastAsia="Times New Roman" w:cs="Times New Roman"/>
          <w:noProof/>
          <w:sz w:val="24"/>
          <w:szCs w:val="24"/>
          <w:lang w:val="en-GB"/>
        </w:rPr>
        <w:t>includes strengthening the Brazilian production sector, which includes a BRL</w:t>
      </w:r>
      <w:r>
        <w:rPr>
          <w:rFonts w:eastAsia="Times New Roman" w:cs="Times New Roman"/>
          <w:noProof/>
          <w:sz w:val="24"/>
          <w:szCs w:val="24"/>
          <w:lang w:val="en-GB"/>
        </w:rPr>
        <w:t> </w:t>
      </w:r>
      <w:r w:rsidRPr="00BC048A">
        <w:rPr>
          <w:rFonts w:eastAsia="Times New Roman" w:cs="Times New Roman"/>
          <w:noProof/>
          <w:sz w:val="24"/>
          <w:szCs w:val="24"/>
          <w:lang w:val="en-GB"/>
        </w:rPr>
        <w:t>30 billion (EUR</w:t>
      </w:r>
      <w:r>
        <w:rPr>
          <w:rFonts w:eastAsia="Times New Roman" w:cs="Times New Roman"/>
          <w:noProof/>
          <w:sz w:val="24"/>
          <w:szCs w:val="24"/>
          <w:lang w:val="en-GB"/>
        </w:rPr>
        <w:t> </w:t>
      </w:r>
      <w:r w:rsidRPr="00BC048A">
        <w:rPr>
          <w:rFonts w:eastAsia="Times New Roman" w:cs="Times New Roman"/>
          <w:noProof/>
          <w:sz w:val="24"/>
          <w:szCs w:val="24"/>
          <w:lang w:val="en-GB"/>
        </w:rPr>
        <w:t xml:space="preserve">4.79 billion) credit line, extended tax payment deadlines and export incentives to the sectors most affected by US additional duties on Brazilian imports. This </w:t>
      </w:r>
      <w:r>
        <w:rPr>
          <w:rFonts w:eastAsia="Times New Roman" w:cs="Times New Roman"/>
          <w:noProof/>
          <w:sz w:val="24"/>
          <w:szCs w:val="24"/>
          <w:lang w:val="en-GB"/>
        </w:rPr>
        <w:t xml:space="preserve">credit line </w:t>
      </w:r>
      <w:r w:rsidRPr="00BC048A">
        <w:rPr>
          <w:rFonts w:eastAsia="Times New Roman" w:cs="Times New Roman"/>
          <w:noProof/>
          <w:sz w:val="24"/>
          <w:szCs w:val="24"/>
          <w:lang w:val="en-GB"/>
        </w:rPr>
        <w:t xml:space="preserve">will be available for working capital and investments </w:t>
      </w:r>
      <w:r>
        <w:rPr>
          <w:rFonts w:eastAsia="Times New Roman" w:cs="Times New Roman"/>
          <w:noProof/>
          <w:sz w:val="24"/>
          <w:szCs w:val="24"/>
          <w:lang w:val="en-GB"/>
        </w:rPr>
        <w:t xml:space="preserve">to </w:t>
      </w:r>
      <w:r w:rsidRPr="00BC048A">
        <w:rPr>
          <w:rFonts w:eastAsia="Times New Roman" w:cs="Times New Roman"/>
          <w:noProof/>
          <w:sz w:val="24"/>
          <w:szCs w:val="24"/>
          <w:lang w:val="en-GB"/>
        </w:rPr>
        <w:t>diversif</w:t>
      </w:r>
      <w:r>
        <w:rPr>
          <w:rFonts w:eastAsia="Times New Roman" w:cs="Times New Roman"/>
          <w:noProof/>
          <w:sz w:val="24"/>
          <w:szCs w:val="24"/>
          <w:lang w:val="en-GB"/>
        </w:rPr>
        <w:t>y</w:t>
      </w:r>
      <w:r w:rsidRPr="00BC048A">
        <w:rPr>
          <w:rFonts w:eastAsia="Times New Roman" w:cs="Times New Roman"/>
          <w:noProof/>
          <w:sz w:val="24"/>
          <w:szCs w:val="24"/>
          <w:lang w:val="en-GB"/>
        </w:rPr>
        <w:t xml:space="preserve"> and strengthen production chains. </w:t>
      </w:r>
    </w:p>
    <w:p w14:paraId="26A1BDED" w14:textId="77777777" w:rsidR="00267A77" w:rsidRPr="00BC048A" w:rsidRDefault="00267A77" w:rsidP="00267A77">
      <w:pPr>
        <w:pStyle w:val="ListParagraph"/>
        <w:spacing w:line="250" w:lineRule="auto"/>
        <w:ind w:left="284"/>
        <w:contextualSpacing w:val="0"/>
        <w:jc w:val="both"/>
        <w:rPr>
          <w:rFonts w:eastAsia="Times New Roman" w:cs="Times New Roman"/>
          <w:noProof/>
          <w:sz w:val="24"/>
          <w:szCs w:val="24"/>
          <w:lang w:val="en-GB"/>
        </w:rPr>
      </w:pPr>
    </w:p>
    <w:p w14:paraId="69C0BABD" w14:textId="77777777" w:rsidR="00267A77" w:rsidRPr="00BC048A" w:rsidRDefault="00267A77" w:rsidP="00267A77">
      <w:pPr>
        <w:pStyle w:val="Heading3"/>
        <w:spacing w:before="0" w:after="160" w:line="250" w:lineRule="auto"/>
        <w:rPr>
          <w:rFonts w:ascii="Times New Roman" w:hAnsi="Times New Roman"/>
          <w:b/>
          <w:bCs/>
          <w:noProof/>
          <w:color w:val="auto"/>
        </w:rPr>
      </w:pPr>
      <w:bookmarkStart w:id="288" w:name="_Toc215659821"/>
      <w:bookmarkStart w:id="289" w:name="_Toc220103494"/>
      <w:r w:rsidRPr="00BC048A">
        <w:rPr>
          <w:rFonts w:ascii="Times New Roman" w:hAnsi="Times New Roman"/>
          <w:b/>
          <w:bCs/>
          <w:noProof/>
          <w:color w:val="auto"/>
        </w:rPr>
        <w:t>2.3 Public procurement and prioritisation measures of domestic supply of goods and services</w:t>
      </w:r>
      <w:bookmarkStart w:id="290" w:name="_Toc214539726"/>
      <w:bookmarkStart w:id="291" w:name="_Toc185237928"/>
      <w:bookmarkStart w:id="292" w:name="_Toc185239931"/>
      <w:bookmarkStart w:id="293" w:name="_Toc185264698"/>
      <w:bookmarkStart w:id="294" w:name="_Toc185525794"/>
      <w:bookmarkEnd w:id="288"/>
      <w:bookmarkEnd w:id="289"/>
    </w:p>
    <w:p w14:paraId="21C8C698" w14:textId="77777777" w:rsidR="00267A77" w:rsidRPr="00BC048A" w:rsidRDefault="00267A77" w:rsidP="00267A77">
      <w:pPr>
        <w:pStyle w:val="Heading4"/>
        <w:keepNext w:val="0"/>
        <w:keepLines w:val="0"/>
        <w:spacing w:before="0" w:after="160" w:line="250" w:lineRule="auto"/>
        <w:ind w:left="284" w:hanging="284"/>
        <w:jc w:val="both"/>
        <w:rPr>
          <w:i w:val="0"/>
          <w:iCs w:val="0"/>
          <w:noProof/>
          <w:sz w:val="24"/>
          <w:szCs w:val="28"/>
        </w:rPr>
      </w:pPr>
      <w:bookmarkStart w:id="295" w:name="_Toc215659822"/>
      <w:bookmarkStart w:id="296" w:name="_Toc220103495"/>
      <w:r w:rsidRPr="00BC048A">
        <w:rPr>
          <w:rStyle w:val="Heading4Char"/>
          <w:rFonts w:ascii="Times New Roman" w:hAnsi="Times New Roman" w:cs="Times New Roman"/>
          <w:i/>
          <w:iCs/>
          <w:noProof/>
          <w:color w:val="auto"/>
          <w:sz w:val="24"/>
          <w:szCs w:val="24"/>
        </w:rPr>
        <w:t>United States</w:t>
      </w:r>
      <w:r w:rsidRPr="00BC048A">
        <w:rPr>
          <w:i w:val="0"/>
          <w:iCs w:val="0"/>
          <w:noProof/>
          <w:sz w:val="24"/>
          <w:szCs w:val="28"/>
        </w:rPr>
        <w:t xml:space="preserve"> </w:t>
      </w:r>
      <w:r w:rsidRPr="00BC048A">
        <w:rPr>
          <w:rFonts w:eastAsia="Franklin Gothic Book"/>
          <w:i w:val="0"/>
          <w:iCs w:val="0"/>
          <w:noProof/>
          <w:sz w:val="24"/>
          <w:szCs w:val="28"/>
          <w:lang w:eastAsia="en-GB"/>
        </w:rPr>
        <mc:AlternateContent>
          <mc:Choice Requires="wps">
            <w:drawing>
              <wp:inline distT="0" distB="0" distL="0" distR="0" wp14:anchorId="7E67FA34" wp14:editId="192285DC">
                <wp:extent cx="147711" cy="138093"/>
                <wp:effectExtent l="0" t="0" r="5080" b="0"/>
                <wp:docPr id="522494711"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Y7tFUkkGAABJBg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" w14:anchorId="1B785AF4">
                <v:fill type="frame" o:title="" recolor="t" rotate="t" r:id="rId19"/>
                <v:stroke joinstyle="miter"/>
                <w10:anchorlock/>
              </v:oval>
            </w:pict>
          </mc:Fallback>
        </mc:AlternateContent>
      </w:r>
      <w:bookmarkEnd w:id="290"/>
      <w:bookmarkEnd w:id="295"/>
      <w:bookmarkEnd w:id="296"/>
    </w:p>
    <w:bookmarkEnd w:id="291"/>
    <w:bookmarkEnd w:id="292"/>
    <w:bookmarkEnd w:id="293"/>
    <w:bookmarkEnd w:id="294"/>
    <w:p w14:paraId="2E777835" w14:textId="49B3B675"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April 2025, the US President signed an Executive Order on Restoring America’s Maritime Dominance to strengthen US domestic maritime capabilities, streamline procurement and reduce regulatory burdens. Key actions include i) expan</w:t>
      </w:r>
      <w:r>
        <w:rPr>
          <w:rFonts w:eastAsia="Times New Roman" w:cs="Times New Roman"/>
          <w:noProof/>
          <w:sz w:val="24"/>
          <w:szCs w:val="24"/>
          <w:lang w:val="en-GB"/>
        </w:rPr>
        <w:t xml:space="preserve">ding </w:t>
      </w:r>
      <w:r w:rsidRPr="00BC048A">
        <w:rPr>
          <w:rFonts w:eastAsia="Times New Roman" w:cs="Times New Roman"/>
          <w:noProof/>
          <w:sz w:val="24"/>
          <w:szCs w:val="24"/>
          <w:lang w:val="en-GB"/>
        </w:rPr>
        <w:t>the US-flagged commercial vessel fleet to ensure reliable domestic and international shipping capacity; ii) develop</w:t>
      </w:r>
      <w:r>
        <w:rPr>
          <w:rFonts w:eastAsia="Times New Roman" w:cs="Times New Roman"/>
          <w:noProof/>
          <w:sz w:val="24"/>
          <w:szCs w:val="24"/>
          <w:lang w:val="en-GB"/>
        </w:rPr>
        <w:t xml:space="preserve">ing </w:t>
      </w:r>
      <w:r w:rsidRPr="00BC048A">
        <w:rPr>
          <w:rFonts w:eastAsia="Times New Roman" w:cs="Times New Roman"/>
          <w:noProof/>
          <w:sz w:val="24"/>
          <w:szCs w:val="24"/>
          <w:lang w:val="en-GB"/>
        </w:rPr>
        <w:t xml:space="preserve">a strategy to ensure US leadership in Arctic maritime routes, countering growing foreign presence in the region; and iii) a mandated review by the Secretary of Defence on the retention and mobilisation of the inactive reserve fleet, ensuring assured access to sealift capacity in times of military need. </w:t>
      </w:r>
    </w:p>
    <w:p w14:paraId="384B4B91" w14:textId="17D26A7F"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March 2025</w:t>
      </w:r>
      <w:r w:rsidRPr="00BC048A">
        <w:rPr>
          <w:rFonts w:cs="Times New Roman"/>
          <w:noProof/>
          <w:sz w:val="24"/>
          <w:szCs w:val="24"/>
          <w:lang w:val="en-GB"/>
        </w:rPr>
        <w:t xml:space="preserve">, </w:t>
      </w:r>
      <w:r w:rsidR="009E38B8">
        <w:rPr>
          <w:rFonts w:cs="Times New Roman"/>
          <w:noProof/>
          <w:sz w:val="24"/>
          <w:szCs w:val="24"/>
          <w:lang w:val="en-GB"/>
        </w:rPr>
        <w:t xml:space="preserve">the US </w:t>
      </w:r>
      <w:r w:rsidRPr="00BC048A">
        <w:rPr>
          <w:rFonts w:cs="Times New Roman"/>
          <w:noProof/>
          <w:sz w:val="24"/>
          <w:szCs w:val="24"/>
          <w:lang w:val="en-GB"/>
        </w:rPr>
        <w:t xml:space="preserve">President signed an </w:t>
      </w:r>
      <w:r>
        <w:rPr>
          <w:rFonts w:eastAsia="Times New Roman" w:cs="Times New Roman"/>
          <w:noProof/>
          <w:sz w:val="24"/>
          <w:szCs w:val="24"/>
          <w:lang w:val="en-GB"/>
        </w:rPr>
        <w:t>E</w:t>
      </w:r>
      <w:r w:rsidRPr="00BC048A">
        <w:rPr>
          <w:rFonts w:eastAsia="Times New Roman" w:cs="Times New Roman"/>
          <w:noProof/>
          <w:sz w:val="24"/>
          <w:szCs w:val="24"/>
          <w:lang w:val="en-GB"/>
        </w:rPr>
        <w:t xml:space="preserve">xecutive </w:t>
      </w:r>
      <w:r>
        <w:rPr>
          <w:rFonts w:eastAsia="Times New Roman" w:cs="Times New Roman"/>
          <w:noProof/>
          <w:sz w:val="24"/>
          <w:szCs w:val="24"/>
          <w:lang w:val="en-GB"/>
        </w:rPr>
        <w:t>O</w:t>
      </w:r>
      <w:r w:rsidRPr="00BC048A">
        <w:rPr>
          <w:rFonts w:eastAsia="Times New Roman" w:cs="Times New Roman"/>
          <w:noProof/>
          <w:sz w:val="24"/>
          <w:szCs w:val="24"/>
          <w:lang w:val="en-GB"/>
        </w:rPr>
        <w:t>rder</w:t>
      </w:r>
      <w:r w:rsidRPr="00BC048A">
        <w:rPr>
          <w:rFonts w:cs="Times New Roman"/>
          <w:noProof/>
          <w:sz w:val="24"/>
          <w:szCs w:val="24"/>
          <w:lang w:val="en-GB"/>
        </w:rPr>
        <w:t xml:space="preserve"> </w:t>
      </w:r>
      <w:r w:rsidRPr="00BC048A">
        <w:rPr>
          <w:rFonts w:eastAsia="Times New Roman" w:cs="Times New Roman"/>
          <w:noProof/>
          <w:sz w:val="24"/>
          <w:szCs w:val="24"/>
          <w:lang w:val="en-GB"/>
        </w:rPr>
        <w:t>to</w:t>
      </w:r>
      <w:r w:rsidRPr="00BC048A">
        <w:rPr>
          <w:rFonts w:cs="Times New Roman"/>
          <w:noProof/>
          <w:sz w:val="24"/>
          <w:szCs w:val="24"/>
          <w:lang w:val="en-GB"/>
        </w:rPr>
        <w:t xml:space="preserve"> </w:t>
      </w:r>
      <w:r w:rsidRPr="00BC048A">
        <w:rPr>
          <w:rFonts w:eastAsia="Times New Roman" w:cs="Times New Roman"/>
          <w:noProof/>
          <w:sz w:val="24"/>
          <w:szCs w:val="24"/>
          <w:lang w:val="en-GB"/>
        </w:rPr>
        <w:t xml:space="preserve">accelerate critical mineral production. </w:t>
      </w:r>
      <w:r w:rsidRPr="00BC048A">
        <w:rPr>
          <w:rFonts w:cs="Times New Roman"/>
          <w:noProof/>
          <w:sz w:val="24"/>
          <w:szCs w:val="24"/>
          <w:lang w:val="en-GB"/>
        </w:rPr>
        <w:t xml:space="preserve">The order requires relevant agencies to submit project reports within </w:t>
      </w:r>
      <w:r>
        <w:rPr>
          <w:rFonts w:cs="Times New Roman"/>
          <w:noProof/>
          <w:sz w:val="24"/>
          <w:szCs w:val="24"/>
          <w:lang w:val="en-GB"/>
        </w:rPr>
        <w:t>10</w:t>
      </w:r>
      <w:r w:rsidRPr="00BC048A">
        <w:rPr>
          <w:rFonts w:cs="Times New Roman"/>
          <w:noProof/>
          <w:sz w:val="24"/>
          <w:szCs w:val="24"/>
          <w:lang w:val="en-GB"/>
        </w:rPr>
        <w:t xml:space="preserve"> days to the Chair of the National Energy Dominance Council and to propose immediate approvals within 20 days where feasible. Agencies must also identify mineral deposits on federal lands, support leasing agreements with private landowners, and collaborate with companies on mineral development. The order also calls for a mineral production fund to be </w:t>
      </w:r>
      <w:r>
        <w:rPr>
          <w:rFonts w:cs="Times New Roman"/>
          <w:noProof/>
          <w:sz w:val="24"/>
          <w:szCs w:val="24"/>
          <w:lang w:val="en-GB"/>
        </w:rPr>
        <w:t>set up</w:t>
      </w:r>
      <w:r w:rsidRPr="00BC048A">
        <w:rPr>
          <w:rFonts w:cs="Times New Roman"/>
          <w:noProof/>
          <w:sz w:val="24"/>
          <w:szCs w:val="24"/>
          <w:lang w:val="en-GB"/>
        </w:rPr>
        <w:t xml:space="preserve">, and for other federal agencies to engage in financing and sales initiatives to advance mineral supply efforts. </w:t>
      </w:r>
      <w:bookmarkStart w:id="297" w:name="_Toc185237929"/>
      <w:bookmarkStart w:id="298" w:name="_Toc185239932"/>
      <w:bookmarkStart w:id="299" w:name="_Toc185264699"/>
      <w:bookmarkStart w:id="300" w:name="_Toc185525795"/>
      <w:bookmarkStart w:id="301" w:name="_Toc214539727"/>
    </w:p>
    <w:p w14:paraId="3B9ECA00" w14:textId="77777777" w:rsidR="00267A77" w:rsidRPr="00BC048A" w:rsidRDefault="00267A77" w:rsidP="00267A77">
      <w:pPr>
        <w:pStyle w:val="Title3"/>
        <w:spacing w:after="160" w:line="250" w:lineRule="auto"/>
        <w:ind w:left="0"/>
        <w:rPr>
          <w:b w:val="0"/>
          <w:bCs w:val="0"/>
          <w:noProof/>
          <w:szCs w:val="24"/>
          <w:lang w:val="en-GB"/>
        </w:rPr>
      </w:pPr>
      <w:bookmarkStart w:id="302" w:name="_Toc215659823"/>
      <w:bookmarkStart w:id="303" w:name="_Toc220103496"/>
      <w:r w:rsidRPr="00BC048A">
        <w:rPr>
          <w:rStyle w:val="Heading4Char"/>
          <w:rFonts w:ascii="Times New Roman" w:hAnsi="Times New Roman" w:cs="Times New Roman"/>
          <w:b w:val="0"/>
          <w:bCs w:val="0"/>
          <w:noProof/>
          <w:color w:val="auto"/>
          <w:lang w:val="en-GB"/>
        </w:rPr>
        <w:t>Canada</w:t>
      </w:r>
      <w:bookmarkEnd w:id="297"/>
      <w:bookmarkEnd w:id="298"/>
      <w:bookmarkEnd w:id="299"/>
      <w:bookmarkEnd w:id="300"/>
      <w:r w:rsidRPr="00BC048A">
        <w:rPr>
          <w:b w:val="0"/>
          <w:bCs w:val="0"/>
          <w:noProof/>
          <w:szCs w:val="24"/>
          <w:lang w:val="en-GB"/>
        </w:rPr>
        <w:t xml:space="preserve"> </w:t>
      </w:r>
      <w:r w:rsidRPr="00BC048A">
        <w:rPr>
          <w:b w:val="0"/>
          <w:bCs w:val="0"/>
          <w:noProof/>
          <w:szCs w:val="24"/>
          <w:lang w:val="en-GB" w:eastAsia="en-GB"/>
        </w:rPr>
        <w:drawing>
          <wp:inline distT="0" distB="0" distL="0" distR="0" wp14:anchorId="0EE76B10" wp14:editId="5F02EACD">
            <wp:extent cx="152400" cy="152400"/>
            <wp:effectExtent l="0" t="0" r="0" b="0"/>
            <wp:docPr id="9099006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bookmarkEnd w:id="301"/>
      <w:bookmarkEnd w:id="302"/>
      <w:bookmarkEnd w:id="303"/>
    </w:p>
    <w:p w14:paraId="55B8310C" w14:textId="2C9F1425"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By November 2025, the Canadian government will </w:t>
      </w:r>
      <w:r>
        <w:rPr>
          <w:rFonts w:eastAsia="Times New Roman" w:cs="Times New Roman"/>
          <w:noProof/>
          <w:sz w:val="24"/>
          <w:szCs w:val="24"/>
          <w:lang w:val="en-GB"/>
        </w:rPr>
        <w:t xml:space="preserve">bring </w:t>
      </w:r>
      <w:r w:rsidRPr="00BC048A">
        <w:rPr>
          <w:rFonts w:eastAsia="Times New Roman" w:cs="Times New Roman"/>
          <w:noProof/>
          <w:sz w:val="24"/>
          <w:szCs w:val="24"/>
          <w:lang w:val="en-GB"/>
        </w:rPr>
        <w:t xml:space="preserve">in </w:t>
      </w:r>
      <w:r>
        <w:rPr>
          <w:rFonts w:eastAsia="Times New Roman" w:cs="Times New Roman"/>
          <w:noProof/>
          <w:sz w:val="24"/>
          <w:szCs w:val="24"/>
          <w:lang w:val="en-GB"/>
        </w:rPr>
        <w:t>a</w:t>
      </w:r>
      <w:r w:rsidRPr="00BC048A">
        <w:rPr>
          <w:rFonts w:eastAsia="Times New Roman" w:cs="Times New Roman"/>
          <w:noProof/>
          <w:sz w:val="24"/>
          <w:szCs w:val="24"/>
          <w:lang w:val="en-GB"/>
        </w:rPr>
        <w:t xml:space="preserve"> new </w:t>
      </w:r>
      <w:r>
        <w:rPr>
          <w:rFonts w:eastAsia="Times New Roman" w:cs="Times New Roman"/>
          <w:noProof/>
          <w:sz w:val="24"/>
          <w:szCs w:val="24"/>
          <w:lang w:val="en-GB"/>
        </w:rPr>
        <w:t>p</w:t>
      </w:r>
      <w:r w:rsidRPr="00BC048A">
        <w:rPr>
          <w:rFonts w:eastAsia="Times New Roman" w:cs="Times New Roman"/>
          <w:noProof/>
          <w:sz w:val="24"/>
          <w:szCs w:val="24"/>
          <w:lang w:val="en-GB"/>
        </w:rPr>
        <w:t>olicy on Prioritising Canadian Materials in Federal Procurement, in the context of the Buy Canadian policy. The first tool introduced by the policy will require suppliers contracting with the federal government to source key materials from Canadian companies in defence and construction procurements exceeding a CAD</w:t>
      </w:r>
      <w:r>
        <w:rPr>
          <w:rFonts w:eastAsia="Times New Roman" w:cs="Times New Roman"/>
          <w:noProof/>
          <w:sz w:val="24"/>
          <w:szCs w:val="24"/>
          <w:lang w:val="en-GB"/>
        </w:rPr>
        <w:t> </w:t>
      </w:r>
      <w:r w:rsidRPr="00BC048A">
        <w:rPr>
          <w:rFonts w:eastAsia="Times New Roman" w:cs="Times New Roman"/>
          <w:noProof/>
          <w:sz w:val="24"/>
          <w:szCs w:val="24"/>
          <w:lang w:val="en-GB"/>
        </w:rPr>
        <w:t xml:space="preserve">20 million threshold. Initially covering steel and softwood lumber, the policy may later be expanded to cover additional materials. The policy is also expected to stress reciprocity, with Canadian suppliers being prioritised along with </w:t>
      </w:r>
      <w:r>
        <w:rPr>
          <w:rFonts w:eastAsia="Times New Roman" w:cs="Times New Roman"/>
          <w:noProof/>
          <w:sz w:val="24"/>
          <w:szCs w:val="24"/>
          <w:lang w:val="en-GB"/>
        </w:rPr>
        <w:t>suppliers</w:t>
      </w:r>
      <w:r w:rsidRPr="00BC048A">
        <w:rPr>
          <w:rFonts w:eastAsia="Times New Roman" w:cs="Times New Roman"/>
          <w:noProof/>
          <w:sz w:val="24"/>
          <w:szCs w:val="24"/>
          <w:lang w:val="en-GB"/>
        </w:rPr>
        <w:t xml:space="preserve"> from countries that grant Canada the same access through reciprocal trade agreements. The second tool relates to price preferences for Canadian suppliers or suppliers of Canadian goods</w:t>
      </w:r>
      <w:r>
        <w:rPr>
          <w:rFonts w:eastAsia="Times New Roman" w:cs="Times New Roman"/>
          <w:noProof/>
          <w:sz w:val="24"/>
          <w:szCs w:val="24"/>
          <w:lang w:val="en-GB"/>
        </w:rPr>
        <w:t>.</w:t>
      </w:r>
      <w:r w:rsidRPr="00BC048A">
        <w:rPr>
          <w:rFonts w:eastAsia="Times New Roman" w:cs="Times New Roman"/>
          <w:noProof/>
          <w:sz w:val="24"/>
          <w:szCs w:val="24"/>
          <w:lang w:val="en-GB"/>
        </w:rPr>
        <w:t xml:space="preserve"> </w:t>
      </w:r>
      <w:r>
        <w:rPr>
          <w:rFonts w:eastAsia="Times New Roman" w:cs="Times New Roman"/>
          <w:noProof/>
          <w:sz w:val="24"/>
          <w:szCs w:val="24"/>
          <w:lang w:val="en-GB"/>
        </w:rPr>
        <w:t>T</w:t>
      </w:r>
      <w:r w:rsidRPr="00BC048A">
        <w:rPr>
          <w:rFonts w:eastAsia="Times New Roman" w:cs="Times New Roman"/>
          <w:noProof/>
          <w:sz w:val="24"/>
          <w:szCs w:val="24"/>
          <w:lang w:val="en-GB"/>
        </w:rPr>
        <w:t>he scope is still to be defined but could be limited to certain critical sector</w:t>
      </w:r>
      <w:r>
        <w:rPr>
          <w:rFonts w:eastAsia="Times New Roman" w:cs="Times New Roman"/>
          <w:noProof/>
          <w:sz w:val="24"/>
          <w:szCs w:val="24"/>
          <w:lang w:val="en-GB"/>
        </w:rPr>
        <w:t>s</w:t>
      </w:r>
      <w:r w:rsidRPr="00BC048A">
        <w:rPr>
          <w:rFonts w:eastAsia="Times New Roman" w:cs="Times New Roman"/>
          <w:noProof/>
          <w:sz w:val="24"/>
          <w:szCs w:val="24"/>
          <w:lang w:val="en-GB"/>
        </w:rPr>
        <w:t xml:space="preserve"> and </w:t>
      </w:r>
      <w:r>
        <w:rPr>
          <w:rFonts w:eastAsia="Times New Roman" w:cs="Times New Roman"/>
          <w:noProof/>
          <w:sz w:val="24"/>
          <w:szCs w:val="24"/>
          <w:lang w:val="en-GB"/>
        </w:rPr>
        <w:t xml:space="preserve">apply </w:t>
      </w:r>
      <w:r w:rsidRPr="00BC048A">
        <w:rPr>
          <w:rFonts w:eastAsia="Times New Roman" w:cs="Times New Roman"/>
          <w:noProof/>
          <w:sz w:val="24"/>
          <w:szCs w:val="24"/>
          <w:lang w:val="en-GB"/>
        </w:rPr>
        <w:t xml:space="preserve">a threshold mechanism. </w:t>
      </w:r>
    </w:p>
    <w:p w14:paraId="163E8B67" w14:textId="6DD4AAED"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July 2025, Canada announced the Interim Reciprocal Procurement policy, restricting access to Canadian government contracts to countries that have opened their procurement market to Canada. The initial phase will focus on applying the policy based on the location of suppliers, with a second phase determining supplier eligibility based on the origin of </w:t>
      </w:r>
      <w:r>
        <w:rPr>
          <w:rFonts w:eastAsia="Times New Roman" w:cs="Times New Roman"/>
          <w:noProof/>
          <w:sz w:val="24"/>
          <w:szCs w:val="24"/>
          <w:lang w:val="en-GB"/>
        </w:rPr>
        <w:t xml:space="preserve">the </w:t>
      </w:r>
      <w:r w:rsidRPr="00BC048A">
        <w:rPr>
          <w:rFonts w:eastAsia="Times New Roman" w:cs="Times New Roman"/>
          <w:noProof/>
          <w:sz w:val="24"/>
          <w:szCs w:val="24"/>
          <w:lang w:val="en-GB"/>
        </w:rPr>
        <w:t>goods and services offered.</w:t>
      </w:r>
      <w:bookmarkStart w:id="304" w:name="_Toc185237930"/>
      <w:bookmarkStart w:id="305" w:name="_Toc185239933"/>
      <w:bookmarkStart w:id="306" w:name="_Toc185264700"/>
      <w:bookmarkStart w:id="307" w:name="_Toc185525796"/>
      <w:bookmarkStart w:id="308" w:name="_Toc214539728"/>
    </w:p>
    <w:p w14:paraId="7876B36C" w14:textId="77777777" w:rsidR="00267A77" w:rsidRPr="00BC048A" w:rsidRDefault="00267A77" w:rsidP="00267A77">
      <w:pPr>
        <w:pStyle w:val="Title3"/>
        <w:spacing w:after="160" w:line="250" w:lineRule="auto"/>
        <w:ind w:left="0"/>
        <w:rPr>
          <w:b w:val="0"/>
          <w:bCs w:val="0"/>
          <w:noProof/>
          <w:szCs w:val="24"/>
          <w:lang w:val="en-GB"/>
        </w:rPr>
      </w:pPr>
      <w:bookmarkStart w:id="309" w:name="_Toc215659824"/>
      <w:bookmarkStart w:id="310" w:name="_Toc220103497"/>
      <w:r w:rsidRPr="00BC048A">
        <w:rPr>
          <w:rStyle w:val="Heading4Char"/>
          <w:rFonts w:ascii="Times New Roman" w:hAnsi="Times New Roman" w:cs="Times New Roman"/>
          <w:b w:val="0"/>
          <w:bCs w:val="0"/>
          <w:noProof/>
          <w:color w:val="auto"/>
          <w:lang w:val="en-GB"/>
        </w:rPr>
        <w:t>India</w:t>
      </w:r>
      <w:bookmarkEnd w:id="304"/>
      <w:bookmarkEnd w:id="305"/>
      <w:bookmarkEnd w:id="306"/>
      <w:bookmarkEnd w:id="307"/>
      <w:r w:rsidRPr="00BC048A">
        <w:rPr>
          <w:b w:val="0"/>
          <w:bCs w:val="0"/>
          <w:noProof/>
          <w:szCs w:val="24"/>
          <w:lang w:val="en-GB"/>
        </w:rPr>
        <w:t xml:space="preserve"> </w:t>
      </w:r>
      <w:r w:rsidRPr="00BC048A">
        <w:rPr>
          <w:b w:val="0"/>
          <w:bCs w:val="0"/>
          <w:noProof/>
          <w:szCs w:val="24"/>
          <w:lang w:val="en-GB" w:eastAsia="en-GB"/>
        </w:rPr>
        <w:drawing>
          <wp:inline distT="0" distB="0" distL="0" distR="0" wp14:anchorId="0DF697D6" wp14:editId="482BACA8">
            <wp:extent cx="129540" cy="129540"/>
            <wp:effectExtent l="0" t="0" r="3810" b="3810"/>
            <wp:docPr id="18310541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bookmarkEnd w:id="308"/>
      <w:bookmarkEnd w:id="309"/>
      <w:bookmarkEnd w:id="310"/>
    </w:p>
    <w:p w14:paraId="7CCE4199" w14:textId="47474C9A"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April 2025</w:t>
      </w:r>
      <w:r w:rsidRPr="00BC048A">
        <w:rPr>
          <w:rFonts w:cs="Times New Roman"/>
          <w:noProof/>
          <w:sz w:val="24"/>
          <w:szCs w:val="24"/>
          <w:lang w:val="en-GB"/>
        </w:rPr>
        <w:t xml:space="preserve">, India revised its </w:t>
      </w:r>
      <w:r w:rsidRPr="00BC048A">
        <w:rPr>
          <w:rFonts w:eastAsia="Times New Roman" w:cs="Times New Roman"/>
          <w:noProof/>
          <w:sz w:val="24"/>
          <w:szCs w:val="24"/>
          <w:lang w:val="en-GB"/>
        </w:rPr>
        <w:t xml:space="preserve">Domestically Manufactured Iron &amp; Steel Products Policy 2025, prioritising domestic sourcing in public procurement. </w:t>
      </w:r>
      <w:r w:rsidRPr="00BC048A">
        <w:rPr>
          <w:rFonts w:cs="Times New Roman"/>
          <w:noProof/>
          <w:sz w:val="24"/>
          <w:szCs w:val="24"/>
          <w:lang w:val="en-GB"/>
        </w:rPr>
        <w:t>The policy mandates that all government ministries, departments, agencies and their funded projects give priority to domestically manufactured iron and steel products for procurements exceeding INR</w:t>
      </w:r>
      <w:r>
        <w:rPr>
          <w:rFonts w:cs="Times New Roman"/>
          <w:noProof/>
          <w:sz w:val="24"/>
          <w:szCs w:val="24"/>
          <w:lang w:val="en-GB"/>
        </w:rPr>
        <w:t> </w:t>
      </w:r>
      <w:r w:rsidRPr="00BC048A">
        <w:rPr>
          <w:rFonts w:cs="Times New Roman"/>
          <w:noProof/>
          <w:sz w:val="24"/>
          <w:szCs w:val="24"/>
          <w:lang w:val="en-GB"/>
        </w:rPr>
        <w:t>500</w:t>
      </w:r>
      <w:r>
        <w:rPr>
          <w:rFonts w:cs="Times New Roman"/>
          <w:noProof/>
          <w:sz w:val="24"/>
          <w:szCs w:val="24"/>
          <w:lang w:val="en-GB"/>
        </w:rPr>
        <w:t> </w:t>
      </w:r>
      <w:r w:rsidRPr="00BC048A">
        <w:rPr>
          <w:rFonts w:cs="Times New Roman"/>
          <w:noProof/>
          <w:sz w:val="24"/>
          <w:szCs w:val="24"/>
          <w:lang w:val="en-GB"/>
        </w:rPr>
        <w:t>000. It also prohibits Global Tender Enquiries for such procurements (including capital goods used in production) valued up to INR</w:t>
      </w:r>
      <w:r>
        <w:rPr>
          <w:rFonts w:cs="Times New Roman"/>
          <w:noProof/>
          <w:sz w:val="24"/>
          <w:szCs w:val="24"/>
          <w:lang w:val="en-GB"/>
        </w:rPr>
        <w:t> </w:t>
      </w:r>
      <w:r w:rsidRPr="00BC048A">
        <w:rPr>
          <w:rFonts w:cs="Times New Roman"/>
          <w:noProof/>
          <w:sz w:val="24"/>
          <w:szCs w:val="24"/>
          <w:lang w:val="en-GB"/>
        </w:rPr>
        <w:t xml:space="preserve">2 billion, unless a waiver is granted by the Department of Expenditure. To enforce compliance, the policy </w:t>
      </w:r>
      <w:r>
        <w:rPr>
          <w:rFonts w:cs="Times New Roman"/>
          <w:noProof/>
          <w:sz w:val="24"/>
          <w:szCs w:val="24"/>
          <w:lang w:val="en-GB"/>
        </w:rPr>
        <w:t xml:space="preserve">brings </w:t>
      </w:r>
      <w:r w:rsidRPr="00BC048A">
        <w:rPr>
          <w:rFonts w:cs="Times New Roman"/>
          <w:noProof/>
          <w:sz w:val="24"/>
          <w:szCs w:val="24"/>
          <w:lang w:val="en-GB"/>
        </w:rPr>
        <w:t>in self-certification requirements for local content, procurement procedure standards, and an authorisation requirement for bidders representing domestic firms. In addition, a reciprocity clause bans suppliers from countries that exclude Indian firms from their government tenders</w:t>
      </w:r>
      <w:r w:rsidRPr="00BC048A">
        <w:rPr>
          <w:rFonts w:eastAsia="Times New Roman" w:cs="Times New Roman"/>
          <w:noProof/>
          <w:sz w:val="24"/>
          <w:szCs w:val="24"/>
          <w:lang w:val="en-GB"/>
        </w:rPr>
        <w:t>.</w:t>
      </w:r>
      <w:r w:rsidRPr="00BC048A">
        <w:rPr>
          <w:rFonts w:cs="Times New Roman"/>
          <w:noProof/>
          <w:sz w:val="24"/>
          <w:szCs w:val="24"/>
          <w:lang w:val="en-GB"/>
        </w:rPr>
        <w:t xml:space="preserve"> </w:t>
      </w:r>
      <w:bookmarkStart w:id="311" w:name="_Toc185237931"/>
      <w:bookmarkStart w:id="312" w:name="_Toc185239934"/>
      <w:bookmarkStart w:id="313" w:name="_Toc185264701"/>
      <w:bookmarkStart w:id="314" w:name="_Toc185525797"/>
      <w:bookmarkStart w:id="315" w:name="_Toc214539729"/>
    </w:p>
    <w:p w14:paraId="0FB78518" w14:textId="77777777" w:rsidR="00267A77" w:rsidRPr="00BC048A" w:rsidRDefault="00267A77" w:rsidP="00267A77">
      <w:pPr>
        <w:pStyle w:val="Title3"/>
        <w:spacing w:after="160" w:line="250" w:lineRule="auto"/>
        <w:ind w:left="0"/>
        <w:rPr>
          <w:b w:val="0"/>
          <w:bCs w:val="0"/>
          <w:noProof/>
          <w:szCs w:val="24"/>
          <w:lang w:val="en-GB"/>
        </w:rPr>
      </w:pPr>
      <w:bookmarkStart w:id="316" w:name="_Toc215659825"/>
      <w:bookmarkStart w:id="317" w:name="_Toc220103498"/>
      <w:r w:rsidRPr="00BC048A">
        <w:rPr>
          <w:rStyle w:val="Heading4Char"/>
          <w:rFonts w:ascii="Times New Roman" w:hAnsi="Times New Roman" w:cs="Times New Roman"/>
          <w:b w:val="0"/>
          <w:bCs w:val="0"/>
          <w:noProof/>
          <w:color w:val="auto"/>
          <w:lang w:val="en-GB"/>
        </w:rPr>
        <w:t>China</w:t>
      </w:r>
      <w:bookmarkEnd w:id="311"/>
      <w:bookmarkEnd w:id="312"/>
      <w:bookmarkEnd w:id="313"/>
      <w:bookmarkEnd w:id="314"/>
      <w:r w:rsidRPr="00BC048A">
        <w:rPr>
          <w:b w:val="0"/>
          <w:bCs w:val="0"/>
          <w:noProof/>
          <w:szCs w:val="24"/>
          <w:lang w:val="en-GB"/>
        </w:rPr>
        <w:t xml:space="preserve"> </w:t>
      </w:r>
      <w:r w:rsidRPr="00BC048A">
        <w:rPr>
          <w:b w:val="0"/>
          <w:bCs w:val="0"/>
          <w:noProof/>
          <w:szCs w:val="24"/>
          <w:lang w:val="en-GB" w:eastAsia="en-GB"/>
        </w:rPr>
        <w:drawing>
          <wp:inline distT="0" distB="0" distL="0" distR="0" wp14:anchorId="4E8B808C" wp14:editId="58CF5AB1">
            <wp:extent cx="146050" cy="146050"/>
            <wp:effectExtent l="0" t="0" r="6350" b="6350"/>
            <wp:docPr id="1905086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bookmarkEnd w:id="315"/>
      <w:bookmarkEnd w:id="316"/>
      <w:bookmarkEnd w:id="317"/>
    </w:p>
    <w:p w14:paraId="0E799C99" w14:textId="4A1615A2"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On 30</w:t>
      </w:r>
      <w:r>
        <w:rPr>
          <w:rFonts w:eastAsia="Times New Roman" w:cs="Times New Roman"/>
          <w:noProof/>
          <w:sz w:val="24"/>
          <w:szCs w:val="24"/>
          <w:lang w:val="en-GB"/>
        </w:rPr>
        <w:t> </w:t>
      </w:r>
      <w:r w:rsidRPr="00BC048A">
        <w:rPr>
          <w:rFonts w:eastAsia="Times New Roman" w:cs="Times New Roman"/>
          <w:noProof/>
          <w:sz w:val="24"/>
          <w:szCs w:val="24"/>
          <w:lang w:val="en-GB"/>
        </w:rPr>
        <w:t xml:space="preserve">September 2025, the State Council issued a notice prioritising domestic production in government procurement activities. The notice specifies that domestic products must have a 20% price evaluation preference over non-domestic products in government procurement activities. In addition, to be considered </w:t>
      </w:r>
      <w:r>
        <w:rPr>
          <w:rFonts w:eastAsia="Times New Roman" w:cs="Times New Roman"/>
          <w:noProof/>
          <w:sz w:val="24"/>
          <w:szCs w:val="24"/>
          <w:lang w:val="en-GB"/>
        </w:rPr>
        <w:t>‘</w:t>
      </w:r>
      <w:r w:rsidRPr="00BC048A">
        <w:rPr>
          <w:rFonts w:eastAsia="Times New Roman" w:cs="Times New Roman"/>
          <w:noProof/>
          <w:sz w:val="24"/>
          <w:szCs w:val="24"/>
          <w:lang w:val="en-GB"/>
        </w:rPr>
        <w:t>domestic products</w:t>
      </w:r>
      <w:r>
        <w:rPr>
          <w:rFonts w:eastAsia="Times New Roman" w:cs="Times New Roman"/>
          <w:noProof/>
          <w:sz w:val="24"/>
          <w:szCs w:val="24"/>
          <w:lang w:val="en-GB"/>
        </w:rPr>
        <w:t>’</w:t>
      </w:r>
      <w:r w:rsidRPr="00BC048A">
        <w:rPr>
          <w:rFonts w:eastAsia="Times New Roman" w:cs="Times New Roman"/>
          <w:noProof/>
          <w:sz w:val="24"/>
          <w:szCs w:val="24"/>
          <w:lang w:val="en-GB"/>
        </w:rPr>
        <w:t xml:space="preserve">, the notice specifies that the cost of its components must reach the specified proportion, and key components and processes must meet the </w:t>
      </w:r>
      <w:r>
        <w:rPr>
          <w:rFonts w:eastAsia="Times New Roman" w:cs="Times New Roman"/>
          <w:noProof/>
          <w:sz w:val="24"/>
          <w:szCs w:val="24"/>
          <w:lang w:val="en-GB"/>
        </w:rPr>
        <w:t>set</w:t>
      </w:r>
      <w:r w:rsidRPr="00BC048A">
        <w:rPr>
          <w:rFonts w:eastAsia="Times New Roman" w:cs="Times New Roman"/>
          <w:noProof/>
          <w:sz w:val="24"/>
          <w:szCs w:val="24"/>
          <w:lang w:val="en-GB"/>
        </w:rPr>
        <w:t xml:space="preserve"> requirements. It also sets out a five-year transition period during which for each product category the criteria for constituting a </w:t>
      </w:r>
      <w:r>
        <w:rPr>
          <w:rFonts w:eastAsia="Times New Roman" w:cs="Times New Roman"/>
          <w:noProof/>
          <w:sz w:val="24"/>
          <w:szCs w:val="24"/>
          <w:lang w:val="en-GB"/>
        </w:rPr>
        <w:t>‘</w:t>
      </w:r>
      <w:r w:rsidRPr="00BC048A">
        <w:rPr>
          <w:rFonts w:eastAsia="Times New Roman" w:cs="Times New Roman"/>
          <w:noProof/>
          <w:sz w:val="24"/>
          <w:szCs w:val="24"/>
          <w:lang w:val="en-GB"/>
        </w:rPr>
        <w:t>domestic product</w:t>
      </w:r>
      <w:r>
        <w:rPr>
          <w:rFonts w:eastAsia="Times New Roman" w:cs="Times New Roman"/>
          <w:noProof/>
          <w:sz w:val="24"/>
          <w:szCs w:val="24"/>
          <w:lang w:val="en-GB"/>
        </w:rPr>
        <w:t>’</w:t>
      </w:r>
      <w:r w:rsidRPr="00BC048A">
        <w:rPr>
          <w:rFonts w:eastAsia="Times New Roman" w:cs="Times New Roman"/>
          <w:noProof/>
          <w:sz w:val="24"/>
          <w:szCs w:val="24"/>
          <w:lang w:val="en-GB"/>
        </w:rPr>
        <w:t xml:space="preserve"> will be further defined. </w:t>
      </w:r>
      <w:bookmarkStart w:id="318" w:name="_Toc185237933"/>
      <w:bookmarkStart w:id="319" w:name="_Toc185239936"/>
      <w:bookmarkStart w:id="320" w:name="_Toc185264703"/>
      <w:bookmarkStart w:id="321" w:name="_Toc185525799"/>
      <w:bookmarkStart w:id="322" w:name="_Toc214539730"/>
    </w:p>
    <w:p w14:paraId="6A7959DE" w14:textId="77777777" w:rsidR="00267A77" w:rsidRPr="00BC048A" w:rsidRDefault="00267A77" w:rsidP="00267A77">
      <w:pPr>
        <w:pStyle w:val="Title3"/>
        <w:spacing w:after="160" w:line="250" w:lineRule="auto"/>
        <w:ind w:left="0"/>
        <w:rPr>
          <w:b w:val="0"/>
          <w:bCs w:val="0"/>
          <w:noProof/>
          <w:szCs w:val="24"/>
          <w:lang w:val="en-GB"/>
        </w:rPr>
      </w:pPr>
      <w:bookmarkStart w:id="323" w:name="_Toc215659826"/>
      <w:bookmarkStart w:id="324" w:name="_Toc220103499"/>
      <w:r w:rsidRPr="00BC048A">
        <w:rPr>
          <w:rStyle w:val="Heading4Char"/>
          <w:rFonts w:ascii="Times New Roman" w:hAnsi="Times New Roman" w:cs="Times New Roman"/>
          <w:b w:val="0"/>
          <w:bCs w:val="0"/>
          <w:noProof/>
          <w:color w:val="auto"/>
          <w:lang w:val="en-GB"/>
        </w:rPr>
        <w:t>United Kingdom</w:t>
      </w:r>
      <w:bookmarkEnd w:id="318"/>
      <w:bookmarkEnd w:id="319"/>
      <w:bookmarkEnd w:id="320"/>
      <w:bookmarkEnd w:id="321"/>
      <w:r w:rsidRPr="00BC048A">
        <w:rPr>
          <w:b w:val="0"/>
          <w:bCs w:val="0"/>
          <w:noProof/>
          <w:szCs w:val="24"/>
          <w:lang w:val="en-GB"/>
        </w:rPr>
        <w:t xml:space="preserve"> </w:t>
      </w:r>
      <w:r w:rsidRPr="00BC048A">
        <w:rPr>
          <w:rFonts w:eastAsia="Franklin Gothic Book"/>
          <w:b w:val="0"/>
          <w:bCs w:val="0"/>
          <w:noProof/>
          <w:szCs w:val="24"/>
          <w:lang w:val="en-GB" w:eastAsia="en-GB"/>
        </w:rPr>
        <w:drawing>
          <wp:inline distT="0" distB="0" distL="0" distR="0" wp14:anchorId="25D71E5B" wp14:editId="48B44BAB">
            <wp:extent cx="133350" cy="133350"/>
            <wp:effectExtent l="0" t="0" r="0" b="0"/>
            <wp:docPr id="33140715" name="Picture 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ic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bookmarkEnd w:id="322"/>
      <w:bookmarkEnd w:id="323"/>
      <w:bookmarkEnd w:id="324"/>
    </w:p>
    <w:p w14:paraId="4C799402" w14:textId="4C48D15A"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February 2025, the UK’s updated public procurement rules came into effect. The update</w:t>
      </w:r>
      <w:r>
        <w:rPr>
          <w:rFonts w:eastAsia="Times New Roman" w:cs="Times New Roman"/>
          <w:noProof/>
          <w:sz w:val="24"/>
          <w:szCs w:val="24"/>
          <w:lang w:val="en-GB"/>
        </w:rPr>
        <w:t>d</w:t>
      </w:r>
      <w:r w:rsidRPr="00BC048A">
        <w:rPr>
          <w:rFonts w:eastAsia="Times New Roman" w:cs="Times New Roman"/>
          <w:noProof/>
          <w:sz w:val="24"/>
          <w:szCs w:val="24"/>
          <w:lang w:val="en-GB"/>
        </w:rPr>
        <w:t xml:space="preserve"> rules envisage new economic security powers that make it possible to bar</w:t>
      </w:r>
      <w:r>
        <w:rPr>
          <w:rFonts w:eastAsia="Times New Roman" w:cs="Times New Roman"/>
          <w:noProof/>
          <w:sz w:val="24"/>
          <w:szCs w:val="24"/>
          <w:lang w:val="en-GB"/>
        </w:rPr>
        <w:t xml:space="preserve"> or </w:t>
      </w:r>
      <w:r w:rsidRPr="00BC048A">
        <w:rPr>
          <w:rFonts w:eastAsia="Times New Roman" w:cs="Times New Roman"/>
          <w:noProof/>
          <w:sz w:val="24"/>
          <w:szCs w:val="24"/>
          <w:lang w:val="en-GB"/>
        </w:rPr>
        <w:t>exclude companies from procurement competitions on national security grounds.</w:t>
      </w:r>
      <w:bookmarkStart w:id="325" w:name="_Toc214539731"/>
    </w:p>
    <w:p w14:paraId="6F2FDBF4" w14:textId="77777777" w:rsidR="00267A77" w:rsidRPr="00BC048A" w:rsidRDefault="00267A77" w:rsidP="00267A77">
      <w:pPr>
        <w:pStyle w:val="Title3"/>
        <w:spacing w:after="160" w:line="250" w:lineRule="auto"/>
        <w:ind w:left="0"/>
        <w:rPr>
          <w:b w:val="0"/>
          <w:bCs w:val="0"/>
          <w:noProof/>
          <w:szCs w:val="24"/>
          <w:lang w:val="en-GB"/>
        </w:rPr>
      </w:pPr>
      <w:bookmarkStart w:id="326" w:name="_Toc215659827"/>
      <w:bookmarkStart w:id="327" w:name="_Toc220103500"/>
      <w:r w:rsidRPr="00BC048A">
        <w:rPr>
          <w:rStyle w:val="Heading4Char"/>
          <w:rFonts w:ascii="Times New Roman" w:hAnsi="Times New Roman" w:cs="Times New Roman"/>
          <w:b w:val="0"/>
          <w:bCs w:val="0"/>
          <w:noProof/>
          <w:color w:val="auto"/>
          <w:lang w:val="en-GB"/>
        </w:rPr>
        <w:t>South Africa</w:t>
      </w:r>
      <w:r w:rsidRPr="00BC048A">
        <w:rPr>
          <w:b w:val="0"/>
          <w:bCs w:val="0"/>
          <w:noProof/>
          <w:szCs w:val="24"/>
          <w:lang w:val="en-GB"/>
        </w:rPr>
        <w:t xml:space="preserve"> </w:t>
      </w:r>
      <w:r w:rsidRPr="00BC048A">
        <w:rPr>
          <w:rFonts w:eastAsia="Franklin Gothic Book"/>
          <w:b w:val="0"/>
          <w:bCs w:val="0"/>
          <w:noProof/>
          <w:szCs w:val="24"/>
          <w:lang w:val="en-GB" w:eastAsia="en-GB"/>
        </w:rPr>
        <mc:AlternateContent>
          <mc:Choice Requires="wps">
            <w:drawing>
              <wp:inline distT="0" distB="0" distL="0" distR="0" wp14:anchorId="47C7CB51" wp14:editId="56CFC75A">
                <wp:extent cx="147711" cy="138093"/>
                <wp:effectExtent l="0" t="0" r="5080" b="0"/>
                <wp:docPr id="1912033186"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32"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&#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" w14:anchorId="72BE26D2">
                <v:fill type="frame" o:title="" recolor="t" rotate="t" r:id="rId33"/>
                <v:stroke joinstyle="miter"/>
                <w10:anchorlock/>
              </v:oval>
            </w:pict>
          </mc:Fallback>
        </mc:AlternateContent>
      </w:r>
      <w:bookmarkEnd w:id="325"/>
      <w:bookmarkEnd w:id="326"/>
      <w:bookmarkEnd w:id="327"/>
    </w:p>
    <w:p w14:paraId="1A160792" w14:textId="4D1BC66F"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July 2025, South Africa announced the Public Procurement Bill, which mandates local production and content requirements in public procurement. Under Article</w:t>
      </w:r>
      <w:r>
        <w:rPr>
          <w:rFonts w:eastAsia="Times New Roman" w:cs="Times New Roman"/>
          <w:noProof/>
          <w:sz w:val="24"/>
          <w:szCs w:val="24"/>
          <w:lang w:val="en-GB"/>
        </w:rPr>
        <w:t> </w:t>
      </w:r>
      <w:r w:rsidRPr="00BC048A">
        <w:rPr>
          <w:rFonts w:eastAsia="Times New Roman" w:cs="Times New Roman"/>
          <w:noProof/>
          <w:sz w:val="24"/>
          <w:szCs w:val="24"/>
          <w:lang w:val="en-GB"/>
        </w:rPr>
        <w:t>20, the Bill specifically mandates local production and content requirements in specific sectors. The responsibility for designating these sectors falls to the Minister responsible for trade, industry and competition, who is also charged with setting minimum thresholds and the duration of such designations</w:t>
      </w:r>
      <w:r>
        <w:rPr>
          <w:rFonts w:eastAsia="Times New Roman" w:cs="Times New Roman"/>
          <w:noProof/>
          <w:sz w:val="24"/>
          <w:szCs w:val="24"/>
          <w:lang w:val="en-GB"/>
        </w:rPr>
        <w:t>.</w:t>
      </w:r>
      <w:r w:rsidRPr="00BC048A">
        <w:rPr>
          <w:rFonts w:eastAsia="Times New Roman" w:cs="Times New Roman"/>
          <w:noProof/>
          <w:sz w:val="24"/>
          <w:szCs w:val="24"/>
          <w:lang w:val="en-GB"/>
        </w:rPr>
        <w:t xml:space="preserve"> This legislation aims to establish a unified framework for procurement, promote the use of technology to improve efficiency and effectiveness, and enhance transparency and integrity to combat corruption. </w:t>
      </w:r>
      <w:bookmarkStart w:id="328" w:name="_Toc185237938"/>
      <w:bookmarkStart w:id="329" w:name="_Toc185239947"/>
      <w:bookmarkStart w:id="330" w:name="_Toc185264714"/>
      <w:bookmarkStart w:id="331" w:name="_Toc185525810"/>
      <w:bookmarkStart w:id="332" w:name="_Toc214539732"/>
    </w:p>
    <w:p w14:paraId="5A2D1D1E" w14:textId="77777777" w:rsidR="00267A77" w:rsidRPr="00BC048A" w:rsidRDefault="00267A77" w:rsidP="00267A77">
      <w:pPr>
        <w:pStyle w:val="ListParagraph"/>
        <w:spacing w:line="250" w:lineRule="auto"/>
        <w:ind w:left="284"/>
        <w:contextualSpacing w:val="0"/>
        <w:jc w:val="both"/>
        <w:rPr>
          <w:rFonts w:eastAsia="Times New Roman" w:cs="Times New Roman"/>
          <w:noProof/>
          <w:sz w:val="24"/>
          <w:szCs w:val="24"/>
          <w:lang w:val="en-GB"/>
        </w:rPr>
      </w:pPr>
    </w:p>
    <w:p w14:paraId="0FC2E0C4" w14:textId="3D987B66" w:rsidR="00267A77" w:rsidRPr="00EC17DB" w:rsidRDefault="00267A77" w:rsidP="00267A77">
      <w:pPr>
        <w:pStyle w:val="Heading3"/>
        <w:spacing w:before="0" w:after="160" w:line="250" w:lineRule="auto"/>
        <w:rPr>
          <w:rFonts w:ascii="Times New Roman" w:eastAsia="Times New Roman" w:hAnsi="Times New Roman"/>
          <w:b/>
          <w:bCs/>
          <w:noProof/>
          <w:color w:val="auto"/>
          <w:highlight w:val="cyan"/>
        </w:rPr>
      </w:pPr>
      <w:bookmarkStart w:id="333" w:name="_Toc215659828"/>
      <w:bookmarkStart w:id="334" w:name="_Toc220103501"/>
      <w:r w:rsidRPr="00BC048A">
        <w:rPr>
          <w:rFonts w:ascii="Times New Roman" w:eastAsia="Times New Roman" w:hAnsi="Times New Roman"/>
          <w:b/>
          <w:bCs/>
          <w:noProof/>
          <w:color w:val="auto"/>
        </w:rPr>
        <w:t>2.4 Trade toolbox (tariffs, export restrictions, anti-coercion measures, FDI control, e</w:t>
      </w:r>
      <w:r w:rsidRPr="009343E3">
        <w:rPr>
          <w:rFonts w:ascii="Times New Roman" w:eastAsia="Times New Roman" w:hAnsi="Times New Roman"/>
          <w:b/>
          <w:bCs/>
          <w:noProof/>
          <w:color w:val="auto"/>
        </w:rPr>
        <w:t>tc.</w:t>
      </w:r>
      <w:bookmarkEnd w:id="328"/>
      <w:bookmarkEnd w:id="329"/>
      <w:bookmarkEnd w:id="330"/>
      <w:bookmarkEnd w:id="331"/>
      <w:r w:rsidRPr="009343E3">
        <w:rPr>
          <w:rFonts w:ascii="Times New Roman" w:eastAsia="Times New Roman" w:hAnsi="Times New Roman"/>
          <w:b/>
          <w:bCs/>
          <w:noProof/>
          <w:color w:val="auto"/>
        </w:rPr>
        <w:t>)</w:t>
      </w:r>
      <w:bookmarkEnd w:id="332"/>
      <w:bookmarkEnd w:id="333"/>
      <w:bookmarkEnd w:id="334"/>
    </w:p>
    <w:p w14:paraId="42358303" w14:textId="77777777" w:rsidR="00267A77" w:rsidRPr="00BC048A" w:rsidRDefault="00267A77" w:rsidP="00267A77">
      <w:pPr>
        <w:pStyle w:val="Title3"/>
        <w:spacing w:after="160" w:line="250" w:lineRule="auto"/>
        <w:ind w:left="0"/>
        <w:rPr>
          <w:b w:val="0"/>
          <w:bCs w:val="0"/>
          <w:noProof/>
          <w:szCs w:val="24"/>
          <w:lang w:val="en-GB"/>
        </w:rPr>
      </w:pPr>
      <w:bookmarkStart w:id="335" w:name="_Toc214539733"/>
      <w:bookmarkStart w:id="336" w:name="_Toc215659829"/>
      <w:bookmarkStart w:id="337" w:name="_Toc220103502"/>
      <w:r w:rsidRPr="00BC048A">
        <w:rPr>
          <w:rStyle w:val="Heading4Char"/>
          <w:rFonts w:ascii="Times New Roman" w:hAnsi="Times New Roman" w:cs="Times New Roman"/>
          <w:b w:val="0"/>
          <w:bCs w:val="0"/>
          <w:noProof/>
          <w:color w:val="auto"/>
          <w:lang w:val="en-GB"/>
        </w:rPr>
        <w:t>United States</w:t>
      </w:r>
      <w:r w:rsidRPr="00BC048A">
        <w:rPr>
          <w:b w:val="0"/>
          <w:bCs w:val="0"/>
          <w:noProof/>
          <w:szCs w:val="24"/>
          <w:lang w:val="en-GB"/>
        </w:rPr>
        <w:t xml:space="preserve"> </w:t>
      </w:r>
      <w:r w:rsidRPr="00BC048A">
        <w:rPr>
          <w:rFonts w:eastAsia="Franklin Gothic Book"/>
          <w:b w:val="0"/>
          <w:bCs w:val="0"/>
          <w:noProof/>
          <w:szCs w:val="24"/>
          <w:lang w:val="en-GB" w:eastAsia="en-GB"/>
        </w:rPr>
        <mc:AlternateContent>
          <mc:Choice Requires="wps">
            <w:drawing>
              <wp:inline distT="0" distB="0" distL="0" distR="0" wp14:anchorId="7C1FBB3B" wp14:editId="6B1ED6C7">
                <wp:extent cx="147711" cy="138093"/>
                <wp:effectExtent l="0" t="0" r="5080" b="0"/>
                <wp:docPr id="2087224072"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Y7tFUkkGAABJBg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" w14:anchorId="0A2904E4">
                <v:fill type="frame" o:title="" recolor="t" rotate="t" r:id="rId19"/>
                <v:stroke joinstyle="miter"/>
                <w10:anchorlock/>
              </v:oval>
            </w:pict>
          </mc:Fallback>
        </mc:AlternateContent>
      </w:r>
      <w:bookmarkEnd w:id="335"/>
      <w:bookmarkEnd w:id="336"/>
      <w:bookmarkEnd w:id="337"/>
    </w:p>
    <w:p w14:paraId="19EFF2B1" w14:textId="7E4C51FD"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Since the beginning of his second term in January 2025, </w:t>
      </w:r>
      <w:r w:rsidR="00B75495">
        <w:rPr>
          <w:rFonts w:eastAsia="Times New Roman" w:cs="Times New Roman"/>
          <w:noProof/>
          <w:sz w:val="24"/>
          <w:szCs w:val="24"/>
          <w:lang w:val="en-GB"/>
        </w:rPr>
        <w:t xml:space="preserve">the US </w:t>
      </w:r>
      <w:r w:rsidRPr="00BC048A">
        <w:rPr>
          <w:rFonts w:eastAsia="Times New Roman" w:cs="Times New Roman"/>
          <w:noProof/>
          <w:sz w:val="24"/>
          <w:szCs w:val="24"/>
          <w:lang w:val="en-GB"/>
        </w:rPr>
        <w:t xml:space="preserve">President has imposed several tariffs across many sectors and global partners, invoking both the International Emergency Economic Powers Act and Section 232 of the Trade Expansion Act of 1962. </w:t>
      </w:r>
    </w:p>
    <w:p w14:paraId="253E39A8" w14:textId="0C462D0F" w:rsidR="00267A77" w:rsidRPr="00BC048A" w:rsidRDefault="00267A77" w:rsidP="00267A77">
      <w:pPr>
        <w:pStyle w:val="ListParagraph"/>
        <w:numPr>
          <w:ilvl w:val="0"/>
          <w:numId w:val="9"/>
        </w:numPr>
        <w:spacing w:line="250" w:lineRule="auto"/>
        <w:ind w:left="714" w:hanging="357"/>
        <w:contextualSpacing w:val="0"/>
        <w:jc w:val="both"/>
        <w:rPr>
          <w:noProof/>
          <w:lang w:val="en-GB"/>
        </w:rPr>
      </w:pPr>
      <w:r w:rsidRPr="00BC048A">
        <w:rPr>
          <w:rFonts w:eastAsia="Times New Roman" w:cs="Times New Roman"/>
          <w:noProof/>
          <w:sz w:val="24"/>
          <w:szCs w:val="24"/>
          <w:lang w:val="en-GB"/>
        </w:rPr>
        <w:t>On 15</w:t>
      </w:r>
      <w:r>
        <w:rPr>
          <w:rFonts w:eastAsia="Times New Roman" w:cs="Times New Roman"/>
          <w:noProof/>
          <w:sz w:val="24"/>
          <w:szCs w:val="24"/>
          <w:lang w:val="en-GB"/>
        </w:rPr>
        <w:t> </w:t>
      </w:r>
      <w:r w:rsidRPr="00BC048A">
        <w:rPr>
          <w:rFonts w:eastAsia="Times New Roman" w:cs="Times New Roman"/>
          <w:noProof/>
          <w:sz w:val="24"/>
          <w:szCs w:val="24"/>
          <w:lang w:val="en-GB"/>
        </w:rPr>
        <w:t xml:space="preserve">January 2025, the US Department of Commerce expanded export controls on advanced computing chips and certain AI model weights. The rule covers high-performance hardware and closed-weight AI models exceeding defined compute thresholds, </w:t>
      </w:r>
      <w:r>
        <w:rPr>
          <w:rFonts w:eastAsia="Times New Roman" w:cs="Times New Roman"/>
          <w:noProof/>
          <w:sz w:val="24"/>
          <w:szCs w:val="24"/>
          <w:lang w:val="en-GB"/>
        </w:rPr>
        <w:t xml:space="preserve">it </w:t>
      </w:r>
      <w:r w:rsidRPr="00BC048A">
        <w:rPr>
          <w:rFonts w:eastAsia="Times New Roman" w:cs="Times New Roman"/>
          <w:noProof/>
          <w:sz w:val="24"/>
          <w:szCs w:val="24"/>
          <w:lang w:val="en-GB"/>
        </w:rPr>
        <w:t>requires licen</w:t>
      </w:r>
      <w:r>
        <w:rPr>
          <w:rFonts w:eastAsia="Times New Roman" w:cs="Times New Roman"/>
          <w:noProof/>
          <w:sz w:val="24"/>
          <w:szCs w:val="24"/>
          <w:lang w:val="en-GB"/>
        </w:rPr>
        <w:t>c</w:t>
      </w:r>
      <w:r w:rsidRPr="00BC048A">
        <w:rPr>
          <w:rFonts w:eastAsia="Times New Roman" w:cs="Times New Roman"/>
          <w:noProof/>
          <w:sz w:val="24"/>
          <w:szCs w:val="24"/>
          <w:lang w:val="en-GB"/>
        </w:rPr>
        <w:t>es for export or transfer, and extends controls to foreign-produced items derived from US technology. It aims to protect US technological leadership, secure critical supply chains, and prevent the diversion of advanced AI and computing capabilities to adversaries.</w:t>
      </w:r>
      <w:bookmarkStart w:id="338" w:name="_Toc214539734"/>
    </w:p>
    <w:p w14:paraId="5F36B533" w14:textId="77777777" w:rsidR="00267A77" w:rsidRPr="00BC048A" w:rsidRDefault="00267A77" w:rsidP="00267A77">
      <w:pPr>
        <w:pStyle w:val="Title3"/>
        <w:spacing w:after="160" w:line="250" w:lineRule="auto"/>
        <w:ind w:left="0"/>
        <w:rPr>
          <w:b w:val="0"/>
          <w:bCs w:val="0"/>
          <w:noProof/>
          <w:szCs w:val="24"/>
          <w:lang w:val="en-GB"/>
        </w:rPr>
      </w:pPr>
      <w:bookmarkStart w:id="339" w:name="_Toc215659830"/>
      <w:bookmarkStart w:id="340" w:name="_Toc220103503"/>
      <w:r w:rsidRPr="00BC048A">
        <w:rPr>
          <w:rStyle w:val="Heading4Char"/>
          <w:rFonts w:ascii="Times New Roman" w:hAnsi="Times New Roman" w:cs="Times New Roman"/>
          <w:b w:val="0"/>
          <w:bCs w:val="0"/>
          <w:noProof/>
          <w:color w:val="auto"/>
          <w:lang w:val="en-GB"/>
        </w:rPr>
        <w:t>Canada</w:t>
      </w:r>
      <w:r w:rsidRPr="00BC048A">
        <w:rPr>
          <w:b w:val="0"/>
          <w:bCs w:val="0"/>
          <w:noProof/>
          <w:szCs w:val="24"/>
          <w:lang w:val="en-GB"/>
        </w:rPr>
        <w:t xml:space="preserve"> </w:t>
      </w:r>
      <w:r w:rsidRPr="00BC048A">
        <w:rPr>
          <w:b w:val="0"/>
          <w:bCs w:val="0"/>
          <w:noProof/>
          <w:szCs w:val="24"/>
          <w:lang w:val="en-GB" w:eastAsia="en-GB"/>
        </w:rPr>
        <w:drawing>
          <wp:inline distT="0" distB="0" distL="0" distR="0" wp14:anchorId="177B6704" wp14:editId="742BC0B1">
            <wp:extent cx="152400" cy="152400"/>
            <wp:effectExtent l="0" t="0" r="0" b="0"/>
            <wp:docPr id="3734383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bookmarkEnd w:id="338"/>
      <w:bookmarkEnd w:id="339"/>
      <w:bookmarkEnd w:id="340"/>
    </w:p>
    <w:p w14:paraId="50D25731" w14:textId="7B3B5FDA"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July 2025, Canada announced further tariff rate quotas on steel imports. Tariff rate quotas were extended to countries that have a free trade agreement with Canada, with the exception of Mexico and the United States. FTA partners face a tariff quota equalling 100% of 2024 levels, after which a 50% tariff will be applied. Countries that do not have an FTA with Canada face a tariff rate quota equalling 50% of 2024 levels, after which a 50% tariff will be applied. In parallel, Canada introduced Melt and Pour tariffs of 25%, applied on imports from all countries other than the US containing steel melted and poured in China. </w:t>
      </w:r>
      <w:bookmarkStart w:id="341" w:name="_Toc185239950"/>
      <w:bookmarkStart w:id="342" w:name="_Toc185264717"/>
      <w:bookmarkStart w:id="343" w:name="_Toc185525813"/>
      <w:bookmarkStart w:id="344" w:name="_Toc214539735"/>
    </w:p>
    <w:p w14:paraId="0D7BF47C" w14:textId="77777777" w:rsidR="00BF259F" w:rsidRPr="00BC048A" w:rsidRDefault="00BF259F" w:rsidP="00AB3DEC">
      <w:pPr>
        <w:pStyle w:val="ListParagraph"/>
        <w:spacing w:line="250" w:lineRule="auto"/>
        <w:ind w:left="714"/>
        <w:contextualSpacing w:val="0"/>
        <w:jc w:val="both"/>
        <w:rPr>
          <w:rFonts w:eastAsia="Times New Roman" w:cs="Times New Roman"/>
          <w:noProof/>
          <w:sz w:val="24"/>
          <w:szCs w:val="24"/>
          <w:lang w:val="en-GB"/>
        </w:rPr>
      </w:pPr>
    </w:p>
    <w:p w14:paraId="3067E1B2" w14:textId="77777777" w:rsidR="00267A77" w:rsidRPr="00BC048A" w:rsidRDefault="00267A77" w:rsidP="00267A77">
      <w:pPr>
        <w:pStyle w:val="Title3"/>
        <w:spacing w:after="160" w:line="250" w:lineRule="auto"/>
        <w:ind w:left="0"/>
        <w:rPr>
          <w:b w:val="0"/>
          <w:bCs w:val="0"/>
          <w:noProof/>
          <w:szCs w:val="24"/>
          <w:lang w:val="en-GB"/>
        </w:rPr>
      </w:pPr>
      <w:bookmarkStart w:id="345" w:name="_Toc215659831"/>
      <w:bookmarkStart w:id="346" w:name="_Toc220103504"/>
      <w:r w:rsidRPr="00BC048A">
        <w:rPr>
          <w:rStyle w:val="Heading4Char"/>
          <w:rFonts w:ascii="Times New Roman" w:hAnsi="Times New Roman" w:cs="Times New Roman"/>
          <w:b w:val="0"/>
          <w:bCs w:val="0"/>
          <w:noProof/>
          <w:color w:val="auto"/>
          <w:lang w:val="en-GB"/>
        </w:rPr>
        <w:t>Australia</w:t>
      </w:r>
      <w:bookmarkEnd w:id="341"/>
      <w:bookmarkEnd w:id="342"/>
      <w:bookmarkEnd w:id="343"/>
      <w:r w:rsidRPr="00BC048A">
        <w:rPr>
          <w:b w:val="0"/>
          <w:bCs w:val="0"/>
          <w:noProof/>
          <w:szCs w:val="24"/>
          <w:lang w:val="en-GB"/>
        </w:rPr>
        <w:t xml:space="preserve"> </w:t>
      </w:r>
      <w:r w:rsidRPr="00BC048A">
        <w:rPr>
          <w:rFonts w:eastAsia="Franklin Gothic Book"/>
          <w:b w:val="0"/>
          <w:bCs w:val="0"/>
          <w:noProof/>
          <w:szCs w:val="24"/>
          <w:lang w:val="en-GB" w:eastAsia="en-GB"/>
        </w:rPr>
        <w:drawing>
          <wp:inline distT="0" distB="0" distL="0" distR="0" wp14:anchorId="4D8C4800" wp14:editId="19B31207">
            <wp:extent cx="140400" cy="140400"/>
            <wp:effectExtent l="0" t="0" r="0" b="0"/>
            <wp:docPr id="1423958661" name="Picture 1" descr="A flag of australia with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732037" name="Picture 1" descr="A flag of australia with stars&#10;&#10;AI-generated content may be incorrect."/>
                    <pic:cNvPicPr/>
                  </pic:nvPicPr>
                  <pic:blipFill>
                    <a:blip r:embed="rId25"/>
                    <a:stretch>
                      <a:fillRect/>
                    </a:stretch>
                  </pic:blipFill>
                  <pic:spPr>
                    <a:xfrm>
                      <a:off x="0" y="0"/>
                      <a:ext cx="140400" cy="140400"/>
                    </a:xfrm>
                    <a:prstGeom prst="rect">
                      <a:avLst/>
                    </a:prstGeom>
                  </pic:spPr>
                </pic:pic>
              </a:graphicData>
            </a:graphic>
          </wp:inline>
        </w:drawing>
      </w:r>
      <w:bookmarkEnd w:id="344"/>
      <w:bookmarkEnd w:id="345"/>
      <w:bookmarkEnd w:id="346"/>
    </w:p>
    <w:p w14:paraId="1C4A3CE9" w14:textId="77777777"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August 2025, Australia announced a measure to streamline its anti-dumping processes. Australia transferred the responsibility for safeguard actions to the Anti-Dumping Commission. The reform is intended to make it easier for domestic companies to apply for measures against goods sold below their normal value (dumping) or sold with the aid of foreign subsidies, ensuring a more level playing field for Australian manufacturers facing a surge in imports, particularly in the steel sector. </w:t>
      </w:r>
    </w:p>
    <w:p w14:paraId="670F88EA" w14:textId="2F49352B"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March 2025, the reform of the Defence Trade Control Act 2012 came into force, applying new export restrictions to certain technologies. It includes a </w:t>
      </w:r>
      <w:r>
        <w:rPr>
          <w:rFonts w:eastAsia="Times New Roman" w:cs="Times New Roman"/>
          <w:noProof/>
          <w:sz w:val="24"/>
          <w:szCs w:val="24"/>
          <w:lang w:val="en-GB"/>
        </w:rPr>
        <w:t>‘</w:t>
      </w:r>
      <w:r w:rsidRPr="00BC048A">
        <w:rPr>
          <w:rFonts w:eastAsia="Times New Roman" w:cs="Times New Roman"/>
          <w:noProof/>
          <w:sz w:val="24"/>
          <w:szCs w:val="24"/>
          <w:lang w:val="en-GB"/>
        </w:rPr>
        <w:t>deemed export</w:t>
      </w:r>
      <w:r>
        <w:rPr>
          <w:rFonts w:eastAsia="Times New Roman" w:cs="Times New Roman"/>
          <w:noProof/>
          <w:sz w:val="24"/>
          <w:szCs w:val="24"/>
          <w:lang w:val="en-GB"/>
        </w:rPr>
        <w:t>’</w:t>
      </w:r>
      <w:r w:rsidRPr="00BC048A">
        <w:rPr>
          <w:rFonts w:eastAsia="Times New Roman" w:cs="Times New Roman"/>
          <w:noProof/>
          <w:sz w:val="24"/>
          <w:szCs w:val="24"/>
          <w:lang w:val="en-GB"/>
        </w:rPr>
        <w:t xml:space="preserve"> offen</w:t>
      </w:r>
      <w:r>
        <w:rPr>
          <w:rFonts w:eastAsia="Times New Roman" w:cs="Times New Roman"/>
          <w:noProof/>
          <w:sz w:val="24"/>
          <w:szCs w:val="24"/>
          <w:lang w:val="en-GB"/>
        </w:rPr>
        <w:t>c</w:t>
      </w:r>
      <w:r w:rsidRPr="00BC048A">
        <w:rPr>
          <w:rFonts w:eastAsia="Times New Roman" w:cs="Times New Roman"/>
          <w:noProof/>
          <w:sz w:val="24"/>
          <w:szCs w:val="24"/>
          <w:lang w:val="en-GB"/>
        </w:rPr>
        <w:t>e for supplying sensitive technology to foreign persons within Australia, as well as supplying assistance such as training relating to these technologies.</w:t>
      </w:r>
      <w:bookmarkStart w:id="347" w:name="_Toc185239951"/>
      <w:bookmarkStart w:id="348" w:name="_Toc185264718"/>
      <w:bookmarkStart w:id="349" w:name="_Toc185525814"/>
      <w:bookmarkStart w:id="350" w:name="_Toc214539736"/>
    </w:p>
    <w:p w14:paraId="5A0463C8" w14:textId="77777777" w:rsidR="00267A77" w:rsidRPr="00BC048A" w:rsidRDefault="00267A77" w:rsidP="00267A77">
      <w:pPr>
        <w:pStyle w:val="Title3"/>
        <w:spacing w:after="160" w:line="250" w:lineRule="auto"/>
        <w:ind w:left="0"/>
        <w:rPr>
          <w:b w:val="0"/>
          <w:bCs w:val="0"/>
          <w:noProof/>
          <w:szCs w:val="24"/>
          <w:lang w:val="en-GB"/>
        </w:rPr>
      </w:pPr>
      <w:bookmarkStart w:id="351" w:name="_Toc215659832"/>
      <w:bookmarkStart w:id="352" w:name="_Toc220103505"/>
      <w:r w:rsidRPr="00BC048A">
        <w:rPr>
          <w:rStyle w:val="Heading4Char"/>
          <w:rFonts w:ascii="Times New Roman" w:hAnsi="Times New Roman" w:cs="Times New Roman"/>
          <w:b w:val="0"/>
          <w:bCs w:val="0"/>
          <w:noProof/>
          <w:color w:val="auto"/>
          <w:lang w:val="en-GB"/>
        </w:rPr>
        <w:t>India</w:t>
      </w:r>
      <w:bookmarkEnd w:id="347"/>
      <w:bookmarkEnd w:id="348"/>
      <w:bookmarkEnd w:id="349"/>
      <w:r w:rsidRPr="00BC048A">
        <w:rPr>
          <w:b w:val="0"/>
          <w:bCs w:val="0"/>
          <w:noProof/>
          <w:szCs w:val="24"/>
          <w:lang w:val="en-GB"/>
        </w:rPr>
        <w:t xml:space="preserve"> </w:t>
      </w:r>
      <w:r w:rsidRPr="00BC048A">
        <w:rPr>
          <w:b w:val="0"/>
          <w:bCs w:val="0"/>
          <w:noProof/>
          <w:szCs w:val="24"/>
          <w:lang w:val="en-GB" w:eastAsia="en-GB"/>
        </w:rPr>
        <w:drawing>
          <wp:inline distT="0" distB="0" distL="0" distR="0" wp14:anchorId="05C74AD9" wp14:editId="498F1211">
            <wp:extent cx="129540" cy="129540"/>
            <wp:effectExtent l="0" t="0" r="3810" b="3810"/>
            <wp:docPr id="1648873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bookmarkEnd w:id="350"/>
      <w:bookmarkEnd w:id="351"/>
      <w:bookmarkEnd w:id="352"/>
    </w:p>
    <w:p w14:paraId="7574C346" w14:textId="13FEAB7B"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In September 2025, the Directorate</w:t>
      </w:r>
      <w:r>
        <w:rPr>
          <w:rFonts w:cs="Times New Roman"/>
          <w:noProof/>
          <w:sz w:val="24"/>
          <w:szCs w:val="24"/>
          <w:lang w:val="en-GB"/>
        </w:rPr>
        <w:t>-</w:t>
      </w:r>
      <w:r w:rsidRPr="00BC048A">
        <w:rPr>
          <w:rFonts w:cs="Times New Roman"/>
          <w:noProof/>
          <w:sz w:val="24"/>
          <w:szCs w:val="24"/>
          <w:lang w:val="en-GB"/>
        </w:rPr>
        <w:t xml:space="preserve">General of Trade Remedies initiated anti-dumping investigations into solar encapsulants (excluding EVA encapsulants) imported from China, Republic of Korea, Vietnam and Thailand, prompted by a petition from RenewSys India. </w:t>
      </w:r>
    </w:p>
    <w:p w14:paraId="1B74498C" w14:textId="7234392F"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In June</w:t>
      </w:r>
      <w:r w:rsidRPr="00BC048A">
        <w:rPr>
          <w:rFonts w:eastAsia="Times New Roman" w:cs="Times New Roman"/>
          <w:noProof/>
          <w:sz w:val="24"/>
          <w:szCs w:val="24"/>
          <w:lang w:val="en-GB"/>
        </w:rPr>
        <w:t xml:space="preserve"> 2025</w:t>
      </w:r>
      <w:r w:rsidRPr="00BC048A">
        <w:rPr>
          <w:rFonts w:cs="Times New Roman"/>
          <w:noProof/>
          <w:sz w:val="24"/>
          <w:szCs w:val="24"/>
          <w:lang w:val="en-GB"/>
        </w:rPr>
        <w:t xml:space="preserve">, India imposed five-year </w:t>
      </w:r>
      <w:r w:rsidRPr="00BC048A">
        <w:rPr>
          <w:rFonts w:eastAsia="Times New Roman" w:cs="Times New Roman"/>
          <w:noProof/>
          <w:sz w:val="24"/>
          <w:szCs w:val="24"/>
          <w:lang w:val="en-GB"/>
        </w:rPr>
        <w:t>anti-dumping duties on four chemicals</w:t>
      </w:r>
      <w:r w:rsidRPr="00BC048A">
        <w:rPr>
          <w:rFonts w:cs="Times New Roman"/>
          <w:noProof/>
          <w:sz w:val="24"/>
          <w:szCs w:val="24"/>
          <w:lang w:val="en-GB"/>
        </w:rPr>
        <w:t xml:space="preserve"> – PEDA (herbicides), Acetonitrile (pharma), Vitamin A Palmitate and Insoluble Sulphur - imported primarily from China, but also from Russia, Taiwan, the EU, Switzerland and Japan. Duties range from INR</w:t>
      </w:r>
      <w:r>
        <w:rPr>
          <w:rFonts w:cs="Times New Roman"/>
          <w:noProof/>
          <w:sz w:val="24"/>
          <w:szCs w:val="24"/>
          <w:lang w:val="en-GB"/>
        </w:rPr>
        <w:t> </w:t>
      </w:r>
      <w:r w:rsidRPr="00BC048A">
        <w:rPr>
          <w:rFonts w:cs="Times New Roman"/>
          <w:noProof/>
          <w:sz w:val="24"/>
          <w:szCs w:val="24"/>
          <w:lang w:val="en-GB"/>
        </w:rPr>
        <w:t>481 per tonne to INR</w:t>
      </w:r>
      <w:r>
        <w:rPr>
          <w:rFonts w:cs="Times New Roman"/>
          <w:noProof/>
          <w:sz w:val="24"/>
          <w:szCs w:val="24"/>
          <w:lang w:val="en-GB"/>
        </w:rPr>
        <w:t> </w:t>
      </w:r>
      <w:r w:rsidRPr="00BC048A">
        <w:rPr>
          <w:rFonts w:cs="Times New Roman"/>
          <w:noProof/>
          <w:sz w:val="24"/>
          <w:szCs w:val="24"/>
          <w:lang w:val="en-GB"/>
        </w:rPr>
        <w:t>20.87 per kilogram, depending on the product and origin. The move follows recommendations by the Directorate</w:t>
      </w:r>
      <w:r>
        <w:rPr>
          <w:rFonts w:cs="Times New Roman"/>
          <w:noProof/>
          <w:sz w:val="24"/>
          <w:szCs w:val="24"/>
          <w:lang w:val="en-GB"/>
        </w:rPr>
        <w:t>-</w:t>
      </w:r>
      <w:r w:rsidRPr="00BC048A">
        <w:rPr>
          <w:rFonts w:cs="Times New Roman"/>
          <w:noProof/>
          <w:sz w:val="24"/>
          <w:szCs w:val="24"/>
          <w:lang w:val="en-GB"/>
        </w:rPr>
        <w:t>General of Trade Remedies (DGTR) and aims to safeguard domestic producers from unfairly priced imports.</w:t>
      </w:r>
    </w:p>
    <w:p w14:paraId="57362FBD" w14:textId="025F32E4"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April 2025</w:t>
      </w:r>
      <w:r w:rsidRPr="00BC048A">
        <w:rPr>
          <w:rFonts w:cs="Times New Roman"/>
          <w:noProof/>
          <w:sz w:val="24"/>
          <w:szCs w:val="24"/>
          <w:lang w:val="en-GB"/>
        </w:rPr>
        <w:t xml:space="preserve">, India imposed a </w:t>
      </w:r>
      <w:r w:rsidRPr="00BC048A">
        <w:rPr>
          <w:rFonts w:eastAsia="Times New Roman" w:cs="Times New Roman"/>
          <w:noProof/>
          <w:sz w:val="24"/>
          <w:szCs w:val="24"/>
          <w:lang w:val="en-GB"/>
        </w:rPr>
        <w:t>12% provisional safeguard duty on certain flat steel imports</w:t>
      </w:r>
      <w:r w:rsidRPr="00BC048A">
        <w:rPr>
          <w:rFonts w:cs="Times New Roman"/>
          <w:noProof/>
          <w:sz w:val="24"/>
          <w:szCs w:val="24"/>
          <w:lang w:val="en-GB"/>
        </w:rPr>
        <w:t xml:space="preserve"> for 200 days to counteract a surge in low-cost imports, primarily from China, Republic of Korea and Japan. The duty applies to specific steel products, including hot-rolled coils, sheets and plates, but exempts imports priced above certain thresholds to ensure access to high-end products </w:t>
      </w:r>
      <w:r>
        <w:rPr>
          <w:rFonts w:cs="Times New Roman"/>
          <w:noProof/>
          <w:sz w:val="24"/>
          <w:szCs w:val="24"/>
          <w:lang w:val="en-GB"/>
        </w:rPr>
        <w:t xml:space="preserve">that are </w:t>
      </w:r>
      <w:r w:rsidRPr="00BC048A">
        <w:rPr>
          <w:rFonts w:cs="Times New Roman"/>
          <w:noProof/>
          <w:sz w:val="24"/>
          <w:szCs w:val="24"/>
          <w:lang w:val="en-GB"/>
        </w:rPr>
        <w:t xml:space="preserve">not readily available domestically. The DGTR recommended this measure following an investigation that identified significant injury to domestic producers due to the sharp increase in imports. </w:t>
      </w:r>
    </w:p>
    <w:p w14:paraId="54D2421F" w14:textId="71553E10"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April</w:t>
      </w:r>
      <w:r w:rsidRPr="00BC048A">
        <w:rPr>
          <w:rFonts w:cs="Times New Roman"/>
          <w:noProof/>
          <w:sz w:val="24"/>
          <w:szCs w:val="24"/>
          <w:lang w:val="en-GB"/>
        </w:rPr>
        <w:t xml:space="preserve"> </w:t>
      </w:r>
      <w:r w:rsidRPr="00BC048A">
        <w:rPr>
          <w:rFonts w:eastAsia="Times New Roman" w:cs="Times New Roman"/>
          <w:noProof/>
          <w:sz w:val="24"/>
          <w:szCs w:val="24"/>
          <w:lang w:val="en-GB"/>
        </w:rPr>
        <w:t>2025</w:t>
      </w:r>
      <w:r w:rsidRPr="00BC048A">
        <w:rPr>
          <w:rFonts w:cs="Times New Roman"/>
          <w:noProof/>
          <w:sz w:val="24"/>
          <w:szCs w:val="24"/>
          <w:lang w:val="en-GB"/>
        </w:rPr>
        <w:t xml:space="preserve">, the Indian Ministry of Commerce </w:t>
      </w:r>
      <w:r w:rsidRPr="00BC048A">
        <w:rPr>
          <w:rFonts w:eastAsia="Times New Roman" w:cs="Times New Roman"/>
          <w:noProof/>
          <w:sz w:val="24"/>
          <w:szCs w:val="24"/>
          <w:lang w:val="en-GB"/>
        </w:rPr>
        <w:t>issued an alert to customs authorities to</w:t>
      </w:r>
      <w:r w:rsidRPr="00BC048A">
        <w:rPr>
          <w:rFonts w:cs="Times New Roman"/>
          <w:noProof/>
          <w:sz w:val="24"/>
          <w:szCs w:val="24"/>
          <w:lang w:val="en-GB"/>
        </w:rPr>
        <w:t xml:space="preserve"> </w:t>
      </w:r>
      <w:r w:rsidRPr="00BC048A">
        <w:rPr>
          <w:rFonts w:eastAsia="Times New Roman" w:cs="Times New Roman"/>
          <w:noProof/>
          <w:sz w:val="24"/>
          <w:szCs w:val="24"/>
          <w:lang w:val="en-GB"/>
        </w:rPr>
        <w:t xml:space="preserve">maintain strict vigilance on imports and exports. </w:t>
      </w:r>
      <w:r w:rsidRPr="00BC048A">
        <w:rPr>
          <w:rFonts w:cs="Times New Roman"/>
          <w:noProof/>
          <w:sz w:val="24"/>
          <w:szCs w:val="24"/>
          <w:lang w:val="en-GB"/>
        </w:rPr>
        <w:t xml:space="preserve"> The aim</w:t>
      </w:r>
      <w:r>
        <w:rPr>
          <w:rFonts w:cs="Times New Roman"/>
          <w:noProof/>
          <w:sz w:val="24"/>
          <w:szCs w:val="24"/>
          <w:lang w:val="en-GB"/>
        </w:rPr>
        <w:t xml:space="preserve"> is to </w:t>
      </w:r>
      <w:r w:rsidRPr="00BC048A">
        <w:rPr>
          <w:rFonts w:cs="Times New Roman"/>
          <w:noProof/>
          <w:sz w:val="24"/>
          <w:szCs w:val="24"/>
          <w:lang w:val="en-GB"/>
        </w:rPr>
        <w:t xml:space="preserve">prevent trade </w:t>
      </w:r>
      <w:r>
        <w:rPr>
          <w:rFonts w:cs="Times New Roman"/>
          <w:noProof/>
          <w:sz w:val="24"/>
          <w:szCs w:val="24"/>
          <w:lang w:val="en-GB"/>
        </w:rPr>
        <w:t xml:space="preserve">from being </w:t>
      </w:r>
      <w:r w:rsidRPr="00BC048A">
        <w:rPr>
          <w:rFonts w:cs="Times New Roman"/>
          <w:noProof/>
          <w:sz w:val="24"/>
          <w:szCs w:val="24"/>
          <w:lang w:val="en-GB"/>
        </w:rPr>
        <w:t>diver</w:t>
      </w:r>
      <w:r>
        <w:rPr>
          <w:rFonts w:cs="Times New Roman"/>
          <w:noProof/>
          <w:sz w:val="24"/>
          <w:szCs w:val="24"/>
          <w:lang w:val="en-GB"/>
        </w:rPr>
        <w:t>ted</w:t>
      </w:r>
      <w:r w:rsidRPr="00BC048A">
        <w:rPr>
          <w:rFonts w:cs="Times New Roman"/>
          <w:noProof/>
          <w:sz w:val="24"/>
          <w:szCs w:val="24"/>
          <w:lang w:val="en-GB"/>
        </w:rPr>
        <w:t xml:space="preserve"> through India, which could lead to an artificial surge in imports and threaten domestic industry. Customs officials have been instructed to monitor for unusual spikes in trade flows, particularly from China and ASEAN countries, and ensure India is not misused as a transit hub. The alert was announced amid concerns over the re-routing and dumping of Chinese goods following the imposition of sweeping US tariffs on China.</w:t>
      </w:r>
      <w:bookmarkStart w:id="353" w:name="_Toc185239952"/>
      <w:bookmarkStart w:id="354" w:name="_Toc185264719"/>
      <w:bookmarkStart w:id="355" w:name="_Toc185525815"/>
      <w:bookmarkStart w:id="356" w:name="_Toc214539737"/>
    </w:p>
    <w:p w14:paraId="213F7EA6" w14:textId="77777777" w:rsidR="00267A77" w:rsidRPr="00BC048A" w:rsidRDefault="00267A77" w:rsidP="00267A77">
      <w:pPr>
        <w:pStyle w:val="Title3"/>
        <w:spacing w:after="160" w:line="250" w:lineRule="auto"/>
        <w:ind w:left="0"/>
        <w:rPr>
          <w:b w:val="0"/>
          <w:bCs w:val="0"/>
          <w:noProof/>
          <w:szCs w:val="24"/>
          <w:lang w:val="en-GB"/>
        </w:rPr>
      </w:pPr>
      <w:bookmarkStart w:id="357" w:name="_Toc215659833"/>
      <w:bookmarkStart w:id="358" w:name="_Toc220103506"/>
      <w:r w:rsidRPr="00BC048A">
        <w:rPr>
          <w:rStyle w:val="Heading4Char"/>
          <w:rFonts w:ascii="Times New Roman" w:hAnsi="Times New Roman" w:cs="Times New Roman"/>
          <w:b w:val="0"/>
          <w:bCs w:val="0"/>
          <w:noProof/>
          <w:color w:val="auto"/>
          <w:lang w:val="en-GB"/>
        </w:rPr>
        <w:t>China</w:t>
      </w:r>
      <w:bookmarkEnd w:id="353"/>
      <w:bookmarkEnd w:id="354"/>
      <w:bookmarkEnd w:id="355"/>
      <w:r w:rsidRPr="00BC048A">
        <w:rPr>
          <w:b w:val="0"/>
          <w:bCs w:val="0"/>
          <w:noProof/>
          <w:szCs w:val="24"/>
          <w:lang w:val="en-GB"/>
        </w:rPr>
        <w:t xml:space="preserve"> </w:t>
      </w:r>
      <w:r w:rsidRPr="00BC048A">
        <w:rPr>
          <w:b w:val="0"/>
          <w:bCs w:val="0"/>
          <w:noProof/>
          <w:szCs w:val="24"/>
          <w:lang w:val="en-GB" w:eastAsia="en-GB"/>
        </w:rPr>
        <w:drawing>
          <wp:inline distT="0" distB="0" distL="0" distR="0" wp14:anchorId="10B4E89A" wp14:editId="074C07EF">
            <wp:extent cx="146050" cy="146050"/>
            <wp:effectExtent l="0" t="0" r="6350" b="6350"/>
            <wp:docPr id="1456745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bookmarkEnd w:id="356"/>
      <w:bookmarkEnd w:id="357"/>
      <w:bookmarkEnd w:id="358"/>
    </w:p>
    <w:p w14:paraId="1BEA628D" w14:textId="7BBB36F4"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October 2025</w:t>
      </w:r>
      <w:r w:rsidRPr="00BC048A">
        <w:rPr>
          <w:rFonts w:cs="Times New Roman"/>
          <w:noProof/>
          <w:sz w:val="24"/>
          <w:szCs w:val="24"/>
          <w:lang w:val="en-GB"/>
        </w:rPr>
        <w:t xml:space="preserve">, China announced an </w:t>
      </w:r>
      <w:r w:rsidRPr="00BC048A">
        <w:rPr>
          <w:rFonts w:eastAsia="Times New Roman" w:cs="Times New Roman"/>
          <w:noProof/>
          <w:sz w:val="24"/>
          <w:szCs w:val="24"/>
          <w:lang w:val="en-GB"/>
        </w:rPr>
        <w:t>expansion of its rare earth export controls</w:t>
      </w:r>
      <w:r w:rsidRPr="00BC048A">
        <w:rPr>
          <w:rFonts w:cs="Times New Roman"/>
          <w:noProof/>
          <w:sz w:val="24"/>
          <w:szCs w:val="24"/>
          <w:lang w:val="en-GB"/>
        </w:rPr>
        <w:t>, adding five new rare earth elements, expected to come into effect on 8</w:t>
      </w:r>
      <w:r>
        <w:rPr>
          <w:rFonts w:cs="Times New Roman"/>
          <w:noProof/>
          <w:sz w:val="24"/>
          <w:szCs w:val="24"/>
          <w:lang w:val="en-GB"/>
        </w:rPr>
        <w:t> </w:t>
      </w:r>
      <w:r w:rsidRPr="00BC048A">
        <w:rPr>
          <w:rFonts w:cs="Times New Roman"/>
          <w:noProof/>
          <w:sz w:val="24"/>
          <w:szCs w:val="24"/>
          <w:lang w:val="en-GB"/>
        </w:rPr>
        <w:t>November 2025. In addition, the new export controls include extraterritorial provisions, requiring export licen</w:t>
      </w:r>
      <w:r>
        <w:rPr>
          <w:rFonts w:cs="Times New Roman"/>
          <w:noProof/>
          <w:sz w:val="24"/>
          <w:szCs w:val="24"/>
          <w:lang w:val="en-GB"/>
        </w:rPr>
        <w:t>c</w:t>
      </w:r>
      <w:r w:rsidRPr="00BC048A">
        <w:rPr>
          <w:rFonts w:cs="Times New Roman"/>
          <w:noProof/>
          <w:sz w:val="24"/>
          <w:szCs w:val="24"/>
          <w:lang w:val="en-GB"/>
        </w:rPr>
        <w:t>es for products made outside China if they contain Chinese-origin materials or are produced using Chinese technologies.</w:t>
      </w:r>
    </w:p>
    <w:p w14:paraId="09D37033" w14:textId="03CF38F6" w:rsidR="00267A77" w:rsidRPr="00BC048A" w:rsidRDefault="00267A77" w:rsidP="00267A77">
      <w:pPr>
        <w:pStyle w:val="ListParagraph"/>
        <w:numPr>
          <w:ilvl w:val="0"/>
          <w:numId w:val="9"/>
        </w:numPr>
        <w:spacing w:line="250" w:lineRule="auto"/>
        <w:ind w:left="714" w:hanging="357"/>
        <w:contextualSpacing w:val="0"/>
        <w:jc w:val="both"/>
        <w:rPr>
          <w:rStyle w:val="Heading4Char"/>
          <w:rFonts w:ascii="Times New Roman" w:eastAsia="Times New Roman" w:hAnsi="Times New Roman" w:cs="Times New Roman"/>
          <w:i w:val="0"/>
          <w:iCs w:val="0"/>
          <w:noProof/>
          <w:color w:val="auto"/>
          <w:sz w:val="24"/>
          <w:szCs w:val="24"/>
          <w:lang w:val="en-GB"/>
        </w:rPr>
      </w:pPr>
      <w:r w:rsidRPr="00BC048A">
        <w:rPr>
          <w:rFonts w:cs="Times New Roman"/>
          <w:noProof/>
          <w:sz w:val="24"/>
          <w:szCs w:val="24"/>
          <w:lang w:val="en-GB"/>
        </w:rPr>
        <w:t xml:space="preserve">In </w:t>
      </w:r>
      <w:r w:rsidRPr="00BC048A">
        <w:rPr>
          <w:rFonts w:eastAsia="Times New Roman" w:cs="Times New Roman"/>
          <w:noProof/>
          <w:sz w:val="24"/>
          <w:szCs w:val="24"/>
          <w:lang w:val="en-GB"/>
        </w:rPr>
        <w:t>April 2025</w:t>
      </w:r>
      <w:r w:rsidRPr="00BC048A">
        <w:rPr>
          <w:rFonts w:cs="Times New Roman"/>
          <w:noProof/>
          <w:sz w:val="24"/>
          <w:szCs w:val="24"/>
          <w:lang w:val="en-GB"/>
        </w:rPr>
        <w:t xml:space="preserve">, China imposed </w:t>
      </w:r>
      <w:r w:rsidRPr="00BC048A">
        <w:rPr>
          <w:rFonts w:eastAsia="Times New Roman" w:cs="Times New Roman"/>
          <w:noProof/>
          <w:sz w:val="24"/>
          <w:szCs w:val="24"/>
          <w:lang w:val="en-GB"/>
        </w:rPr>
        <w:t>new export licensing requirements</w:t>
      </w:r>
      <w:r w:rsidRPr="00BC048A">
        <w:rPr>
          <w:rFonts w:cs="Times New Roman"/>
          <w:noProof/>
          <w:sz w:val="24"/>
          <w:szCs w:val="24"/>
          <w:lang w:val="en-GB"/>
        </w:rPr>
        <w:t xml:space="preserve"> </w:t>
      </w:r>
      <w:r w:rsidRPr="00BC048A">
        <w:rPr>
          <w:rFonts w:eastAsia="Times New Roman" w:cs="Times New Roman"/>
          <w:noProof/>
          <w:sz w:val="24"/>
          <w:szCs w:val="24"/>
          <w:lang w:val="en-GB"/>
        </w:rPr>
        <w:t>on seven medium-to-heavy rare earth elements (REEs)</w:t>
      </w:r>
      <w:r w:rsidRPr="00BC048A">
        <w:rPr>
          <w:rFonts w:cs="Times New Roman"/>
          <w:noProof/>
          <w:sz w:val="24"/>
          <w:szCs w:val="24"/>
          <w:lang w:val="en-GB"/>
        </w:rPr>
        <w:t xml:space="preserve"> – samarium, gadolinium, terbium, dysprosium, lutetium, scandium, and yttrium – along with their oxides, compounds, alloys and magnets. Under China’s Export Control Law</w:t>
      </w:r>
      <w:r w:rsidRPr="00BC048A">
        <w:rPr>
          <w:rFonts w:eastAsia="Times New Roman" w:cs="Times New Roman"/>
          <w:noProof/>
          <w:sz w:val="24"/>
          <w:szCs w:val="24"/>
          <w:lang w:val="en-GB"/>
        </w:rPr>
        <w:t xml:space="preserve"> </w:t>
      </w:r>
      <w:r w:rsidRPr="00BC048A">
        <w:rPr>
          <w:rFonts w:cs="Times New Roman"/>
          <w:noProof/>
          <w:sz w:val="24"/>
          <w:szCs w:val="24"/>
          <w:lang w:val="en-GB"/>
        </w:rPr>
        <w:t xml:space="preserve">(2020) all shipments of these listed REEs now require special export licences issued by the Ministry of Commerce. The move follows earlier export bans on gallium, germanium and antimony, and was introduced in direct response to US tariff escalations. However, the controls are widely viewed as part of a longer-term strategy to </w:t>
      </w:r>
      <w:r>
        <w:rPr>
          <w:rFonts w:cs="Times New Roman"/>
          <w:noProof/>
          <w:sz w:val="24"/>
          <w:szCs w:val="24"/>
          <w:lang w:val="en-GB"/>
        </w:rPr>
        <w:t>consolidate</w:t>
      </w:r>
      <w:r w:rsidRPr="00BC048A">
        <w:rPr>
          <w:rFonts w:cs="Times New Roman"/>
          <w:noProof/>
          <w:sz w:val="24"/>
          <w:szCs w:val="24"/>
          <w:lang w:val="en-GB"/>
        </w:rPr>
        <w:t xml:space="preserve"> China’s dominance across global critical mineral supply chains. </w:t>
      </w:r>
      <w:bookmarkStart w:id="359" w:name="_Toc185239953"/>
      <w:bookmarkStart w:id="360" w:name="_Toc185264720"/>
      <w:bookmarkStart w:id="361" w:name="_Toc185525816"/>
      <w:bookmarkStart w:id="362" w:name="_Toc214539738"/>
    </w:p>
    <w:p w14:paraId="0F84181E" w14:textId="77777777" w:rsidR="00267A77" w:rsidRPr="00BC048A" w:rsidRDefault="00267A77" w:rsidP="00267A77">
      <w:pPr>
        <w:pStyle w:val="Title3"/>
        <w:spacing w:after="160" w:line="250" w:lineRule="auto"/>
        <w:ind w:left="0"/>
        <w:rPr>
          <w:b w:val="0"/>
          <w:bCs w:val="0"/>
          <w:noProof/>
          <w:szCs w:val="24"/>
          <w:lang w:val="en-GB"/>
        </w:rPr>
      </w:pPr>
      <w:bookmarkStart w:id="363" w:name="_Toc215659834"/>
      <w:bookmarkStart w:id="364" w:name="_Toc220103507"/>
      <w:r w:rsidRPr="00BC048A">
        <w:rPr>
          <w:rStyle w:val="Heading4Char"/>
          <w:rFonts w:ascii="Times New Roman" w:hAnsi="Times New Roman" w:cs="Times New Roman"/>
          <w:b w:val="0"/>
          <w:bCs w:val="0"/>
          <w:noProof/>
          <w:color w:val="auto"/>
          <w:lang w:val="en-GB"/>
        </w:rPr>
        <w:t>Japan</w:t>
      </w:r>
      <w:bookmarkEnd w:id="359"/>
      <w:bookmarkEnd w:id="360"/>
      <w:bookmarkEnd w:id="361"/>
      <w:r w:rsidRPr="00BC048A">
        <w:rPr>
          <w:b w:val="0"/>
          <w:bCs w:val="0"/>
          <w:noProof/>
          <w:szCs w:val="24"/>
          <w:lang w:val="en-GB"/>
        </w:rPr>
        <w:t xml:space="preserve"> </w:t>
      </w:r>
      <w:r w:rsidRPr="00BC048A">
        <w:rPr>
          <w:b w:val="0"/>
          <w:bCs w:val="0"/>
          <w:noProof/>
          <w:szCs w:val="24"/>
          <w:lang w:val="en-GB" w:eastAsia="en-GB"/>
        </w:rPr>
        <w:drawing>
          <wp:inline distT="0" distB="0" distL="0" distR="0" wp14:anchorId="0AD900D8" wp14:editId="4202079B">
            <wp:extent cx="146050" cy="146050"/>
            <wp:effectExtent l="0" t="0" r="6350" b="6350"/>
            <wp:docPr id="7961042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bookmarkEnd w:id="362"/>
      <w:bookmarkEnd w:id="363"/>
      <w:bookmarkEnd w:id="364"/>
    </w:p>
    <w:p w14:paraId="599DE43B" w14:textId="724D4F6D"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Pr>
          <w:rFonts w:eastAsia="Times New Roman" w:cs="Times New Roman"/>
          <w:noProof/>
          <w:sz w:val="24"/>
          <w:szCs w:val="24"/>
          <w:lang w:val="en-GB"/>
        </w:rPr>
        <w:t xml:space="preserve">As at </w:t>
      </w:r>
      <w:r w:rsidRPr="00BC048A">
        <w:rPr>
          <w:rFonts w:eastAsia="Times New Roman" w:cs="Times New Roman"/>
          <w:noProof/>
          <w:sz w:val="24"/>
          <w:szCs w:val="24"/>
          <w:lang w:val="en-GB"/>
        </w:rPr>
        <w:t>September 2025, Japan ha</w:t>
      </w:r>
      <w:r>
        <w:rPr>
          <w:rFonts w:eastAsia="Times New Roman" w:cs="Times New Roman"/>
          <w:noProof/>
          <w:sz w:val="24"/>
          <w:szCs w:val="24"/>
          <w:lang w:val="en-GB"/>
        </w:rPr>
        <w:t>d</w:t>
      </w:r>
      <w:r w:rsidRPr="00BC048A">
        <w:rPr>
          <w:rFonts w:eastAsia="Times New Roman" w:cs="Times New Roman"/>
          <w:noProof/>
          <w:sz w:val="24"/>
          <w:szCs w:val="24"/>
          <w:lang w:val="en-GB"/>
        </w:rPr>
        <w:t xml:space="preserve"> launched four anti-dumping investigations on Chinese products. The investigations include investigatin</w:t>
      </w:r>
      <w:r>
        <w:rPr>
          <w:rFonts w:eastAsia="Times New Roman" w:cs="Times New Roman"/>
          <w:noProof/>
          <w:sz w:val="24"/>
          <w:szCs w:val="24"/>
          <w:lang w:val="en-GB"/>
        </w:rPr>
        <w:t>g</w:t>
      </w:r>
      <w:r w:rsidRPr="00BC048A">
        <w:rPr>
          <w:rFonts w:eastAsia="Times New Roman" w:cs="Times New Roman"/>
          <w:noProof/>
          <w:sz w:val="24"/>
          <w:szCs w:val="24"/>
          <w:lang w:val="en-GB"/>
        </w:rPr>
        <w:t xml:space="preserve"> different types of steel </w:t>
      </w:r>
      <w:r>
        <w:rPr>
          <w:rFonts w:eastAsia="Times New Roman" w:cs="Times New Roman"/>
          <w:noProof/>
          <w:sz w:val="24"/>
          <w:szCs w:val="24"/>
          <w:lang w:val="en-GB"/>
        </w:rPr>
        <w:t xml:space="preserve">such as </w:t>
      </w:r>
      <w:r w:rsidRPr="00BC048A">
        <w:rPr>
          <w:rFonts w:eastAsia="Times New Roman" w:cs="Times New Roman"/>
          <w:noProof/>
          <w:sz w:val="24"/>
          <w:szCs w:val="24"/>
          <w:lang w:val="en-GB"/>
        </w:rPr>
        <w:t xml:space="preserve">cold-rolled stainless steel and galvanised steel. </w:t>
      </w:r>
    </w:p>
    <w:p w14:paraId="19498127" w14:textId="60BBF5EB"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May 2025, a draft industry guideline on preventing technology leakage was included in the revised Economic Security Action </w:t>
      </w:r>
      <w:r w:rsidRPr="00BC048A" w:rsidDel="003B0DE0">
        <w:rPr>
          <w:rFonts w:eastAsia="Times New Roman" w:cs="Times New Roman"/>
          <w:noProof/>
          <w:sz w:val="24"/>
          <w:szCs w:val="24"/>
          <w:lang w:val="en-GB"/>
        </w:rPr>
        <w:t>P</w:t>
      </w:r>
      <w:r w:rsidRPr="00BC048A">
        <w:rPr>
          <w:rFonts w:eastAsia="Times New Roman" w:cs="Times New Roman"/>
          <w:noProof/>
          <w:sz w:val="24"/>
          <w:szCs w:val="24"/>
          <w:lang w:val="en-GB"/>
        </w:rPr>
        <w:t xml:space="preserve">lan. The draft guideline includes requirements for companies in critical industries to prevent cross-border technology leaks in order to receive government assistance. </w:t>
      </w:r>
    </w:p>
    <w:p w14:paraId="33EC8737" w14:textId="4BFAF108"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In April 2025, the Japanese government tightened the exemption scheme for prior notification of certain investments in sensitive sectors such as weapons, dual-use items, electricity, railways and telecommunications. The revised rules introduced two new types of investors for which the scope of FDI screening exemptions is smaller. The revised rules follow the review of Japan’s Foreign Exchange and Foreign Trade Act.</w:t>
      </w:r>
      <w:bookmarkStart w:id="365" w:name="_Toc185239955"/>
      <w:bookmarkStart w:id="366" w:name="_Toc185264722"/>
      <w:bookmarkStart w:id="367" w:name="_Toc185525818"/>
      <w:bookmarkStart w:id="368" w:name="_Toc214539739"/>
      <w:bookmarkStart w:id="369" w:name="_Toc185237939"/>
    </w:p>
    <w:p w14:paraId="140C1EDA" w14:textId="77777777" w:rsidR="00267A77" w:rsidRPr="00BC048A" w:rsidRDefault="00267A77" w:rsidP="00267A77">
      <w:pPr>
        <w:pStyle w:val="ListParagraph"/>
        <w:spacing w:line="250" w:lineRule="auto"/>
        <w:ind w:left="284"/>
        <w:contextualSpacing w:val="0"/>
        <w:jc w:val="both"/>
        <w:rPr>
          <w:rFonts w:eastAsia="Times New Roman" w:cs="Times New Roman"/>
          <w:noProof/>
          <w:sz w:val="24"/>
          <w:szCs w:val="24"/>
          <w:lang w:val="en-GB"/>
        </w:rPr>
      </w:pPr>
    </w:p>
    <w:p w14:paraId="7432A395" w14:textId="77777777" w:rsidR="00267A77" w:rsidRPr="00BC048A" w:rsidRDefault="00267A77" w:rsidP="00267A77">
      <w:pPr>
        <w:pStyle w:val="Heading3"/>
        <w:spacing w:before="0" w:after="160" w:line="250" w:lineRule="auto"/>
        <w:rPr>
          <w:rFonts w:ascii="Times New Roman" w:hAnsi="Times New Roman"/>
          <w:b/>
          <w:bCs/>
          <w:noProof/>
          <w:color w:val="auto"/>
        </w:rPr>
      </w:pPr>
      <w:bookmarkStart w:id="370" w:name="_Toc215659835"/>
      <w:bookmarkStart w:id="371" w:name="_Toc220103508"/>
      <w:r w:rsidRPr="00BC048A">
        <w:rPr>
          <w:rFonts w:ascii="Times New Roman" w:hAnsi="Times New Roman"/>
          <w:b/>
          <w:bCs/>
          <w:noProof/>
          <w:color w:val="auto"/>
        </w:rPr>
        <w:t>2.5 International deals and partnerships</w:t>
      </w:r>
      <w:bookmarkEnd w:id="365"/>
      <w:bookmarkEnd w:id="366"/>
      <w:bookmarkEnd w:id="367"/>
      <w:bookmarkEnd w:id="368"/>
      <w:bookmarkEnd w:id="369"/>
      <w:bookmarkEnd w:id="370"/>
      <w:bookmarkEnd w:id="371"/>
    </w:p>
    <w:p w14:paraId="55BA8F60" w14:textId="77777777" w:rsidR="00267A77" w:rsidRPr="00BC048A" w:rsidRDefault="00267A77" w:rsidP="00267A77">
      <w:pPr>
        <w:pStyle w:val="Heading3"/>
        <w:spacing w:before="0" w:after="160" w:line="250" w:lineRule="auto"/>
        <w:rPr>
          <w:rFonts w:ascii="Times New Roman" w:hAnsi="Times New Roman"/>
          <w:b/>
          <w:bCs/>
          <w:noProof/>
          <w:color w:val="auto"/>
        </w:rPr>
      </w:pPr>
      <w:bookmarkStart w:id="372" w:name="_Toc185239956"/>
      <w:bookmarkStart w:id="373" w:name="_Toc185264723"/>
      <w:bookmarkStart w:id="374" w:name="_Toc185525819"/>
      <w:bookmarkStart w:id="375" w:name="_Toc214539740"/>
      <w:bookmarkStart w:id="376" w:name="_Toc215659836"/>
    </w:p>
    <w:p w14:paraId="711B46A4" w14:textId="77777777" w:rsidR="00267A77" w:rsidRPr="00BC048A" w:rsidRDefault="00267A77" w:rsidP="00267A77">
      <w:pPr>
        <w:pStyle w:val="Heading3"/>
        <w:spacing w:before="0" w:after="160" w:line="250" w:lineRule="auto"/>
        <w:rPr>
          <w:rFonts w:ascii="Times New Roman" w:hAnsi="Times New Roman"/>
          <w:b/>
          <w:bCs/>
          <w:noProof/>
          <w:color w:val="auto"/>
        </w:rPr>
      </w:pPr>
      <w:bookmarkStart w:id="377" w:name="_Toc220103509"/>
      <w:r w:rsidRPr="00BC048A">
        <w:rPr>
          <w:rFonts w:ascii="Times New Roman" w:hAnsi="Times New Roman"/>
          <w:b/>
          <w:bCs/>
          <w:noProof/>
          <w:color w:val="auto"/>
        </w:rPr>
        <w:t>BILATERAL PARTNERSHIPS</w:t>
      </w:r>
      <w:bookmarkEnd w:id="372"/>
      <w:bookmarkEnd w:id="373"/>
      <w:bookmarkEnd w:id="374"/>
      <w:bookmarkEnd w:id="375"/>
      <w:bookmarkEnd w:id="376"/>
      <w:bookmarkEnd w:id="377"/>
      <w:r w:rsidRPr="00BC048A">
        <w:rPr>
          <w:rFonts w:ascii="Times New Roman" w:hAnsi="Times New Roman"/>
          <w:b/>
          <w:bCs/>
          <w:noProof/>
          <w:color w:val="auto"/>
        </w:rPr>
        <w:t xml:space="preserve"> </w:t>
      </w:r>
    </w:p>
    <w:p w14:paraId="3E71E994" w14:textId="77777777" w:rsidR="00267A77" w:rsidRPr="00BC048A" w:rsidRDefault="00267A77" w:rsidP="00267A77">
      <w:pPr>
        <w:pStyle w:val="Title3"/>
        <w:spacing w:after="160" w:line="250" w:lineRule="auto"/>
        <w:ind w:left="0"/>
        <w:rPr>
          <w:b w:val="0"/>
          <w:bCs w:val="0"/>
          <w:noProof/>
          <w:szCs w:val="24"/>
          <w:lang w:val="en-GB"/>
        </w:rPr>
      </w:pPr>
      <w:bookmarkStart w:id="378" w:name="_Toc185239957"/>
      <w:bookmarkStart w:id="379" w:name="_Toc185264724"/>
      <w:bookmarkStart w:id="380" w:name="_Toc185525820"/>
      <w:bookmarkStart w:id="381" w:name="_Toc214539741"/>
      <w:bookmarkStart w:id="382" w:name="_Toc215659837"/>
      <w:bookmarkStart w:id="383" w:name="_Toc220103510"/>
      <w:r w:rsidRPr="00BC048A">
        <w:rPr>
          <w:rStyle w:val="Heading4Char"/>
          <w:rFonts w:ascii="Times New Roman" w:hAnsi="Times New Roman" w:cs="Times New Roman"/>
          <w:b w:val="0"/>
          <w:bCs w:val="0"/>
          <w:noProof/>
          <w:color w:val="auto"/>
          <w:lang w:val="en-GB"/>
        </w:rPr>
        <w:t>United States</w:t>
      </w:r>
      <w:bookmarkEnd w:id="378"/>
      <w:bookmarkEnd w:id="379"/>
      <w:bookmarkEnd w:id="380"/>
      <w:r w:rsidRPr="00BC048A">
        <w:rPr>
          <w:b w:val="0"/>
          <w:bCs w:val="0"/>
          <w:noProof/>
          <w:szCs w:val="24"/>
          <w:lang w:val="en-GB"/>
        </w:rPr>
        <w:t xml:space="preserve"> </w:t>
      </w:r>
      <w:r w:rsidRPr="00BC048A">
        <w:rPr>
          <w:rFonts w:eastAsia="Franklin Gothic Book"/>
          <w:b w:val="0"/>
          <w:bCs w:val="0"/>
          <w:noProof/>
          <w:szCs w:val="24"/>
          <w:lang w:val="en-GB" w:eastAsia="en-GB"/>
        </w:rPr>
        <mc:AlternateContent>
          <mc:Choice Requires="wps">
            <w:drawing>
              <wp:inline distT="0" distB="0" distL="0" distR="0" wp14:anchorId="62EA946E" wp14:editId="12FC10D7">
                <wp:extent cx="147711" cy="138093"/>
                <wp:effectExtent l="0" t="0" r="5080" b="0"/>
                <wp:docPr id="1208230599"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Y7tFUkkGAABJBg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" w14:anchorId="78BE5323">
                <v:fill type="frame" o:title="" recolor="t" rotate="t" r:id="rId19"/>
                <v:stroke joinstyle="miter"/>
                <w10:anchorlock/>
              </v:oval>
            </w:pict>
          </mc:Fallback>
        </mc:AlternateContent>
      </w:r>
      <w:bookmarkEnd w:id="381"/>
      <w:bookmarkEnd w:id="382"/>
      <w:bookmarkEnd w:id="383"/>
    </w:p>
    <w:p w14:paraId="331AB11A" w14:textId="1F032BAA"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US-Saudi Arabia</w:t>
      </w:r>
      <w:r>
        <w:rPr>
          <w:rFonts w:eastAsia="Times New Roman" w:cs="Times New Roman"/>
          <w:noProof/>
          <w:sz w:val="24"/>
          <w:szCs w:val="24"/>
          <w:lang w:val="en-GB"/>
        </w:rPr>
        <w:t>.</w:t>
      </w:r>
      <w:r w:rsidRPr="00BC048A">
        <w:rPr>
          <w:rFonts w:cs="Times New Roman"/>
          <w:noProof/>
          <w:sz w:val="24"/>
          <w:szCs w:val="24"/>
          <w:lang w:val="en-GB"/>
        </w:rPr>
        <w:t xml:space="preserve"> In </w:t>
      </w:r>
      <w:r w:rsidRPr="00BC048A">
        <w:rPr>
          <w:rFonts w:eastAsia="Times New Roman" w:cs="Times New Roman"/>
          <w:noProof/>
          <w:sz w:val="24"/>
          <w:szCs w:val="24"/>
          <w:lang w:val="en-GB"/>
        </w:rPr>
        <w:t>November 2025</w:t>
      </w:r>
      <w:r w:rsidRPr="00BC048A">
        <w:rPr>
          <w:rFonts w:cs="Times New Roman"/>
          <w:noProof/>
          <w:sz w:val="24"/>
          <w:szCs w:val="24"/>
          <w:lang w:val="en-GB"/>
        </w:rPr>
        <w:t xml:space="preserve">, the United States and Saudi Arabia finalised </w:t>
      </w:r>
      <w:r w:rsidRPr="00BC048A">
        <w:rPr>
          <w:rFonts w:eastAsia="Times New Roman" w:cs="Times New Roman"/>
          <w:noProof/>
          <w:sz w:val="24"/>
          <w:szCs w:val="24"/>
          <w:lang w:val="en-GB"/>
        </w:rPr>
        <w:t>several agreements</w:t>
      </w:r>
      <w:r w:rsidRPr="00BC048A">
        <w:rPr>
          <w:rFonts w:cs="Times New Roman"/>
          <w:noProof/>
          <w:sz w:val="24"/>
          <w:szCs w:val="24"/>
          <w:lang w:val="en-GB"/>
        </w:rPr>
        <w:t xml:space="preserve">. These included a </w:t>
      </w:r>
      <w:r w:rsidRPr="00BC048A">
        <w:rPr>
          <w:rFonts w:eastAsia="Times New Roman" w:cs="Times New Roman"/>
          <w:noProof/>
          <w:sz w:val="24"/>
          <w:szCs w:val="24"/>
          <w:lang w:val="en-GB"/>
        </w:rPr>
        <w:t>Critical Minerals Framework</w:t>
      </w:r>
      <w:r w:rsidRPr="00BC048A">
        <w:rPr>
          <w:rFonts w:cs="Times New Roman"/>
          <w:noProof/>
          <w:sz w:val="24"/>
          <w:szCs w:val="24"/>
          <w:lang w:val="en-GB"/>
        </w:rPr>
        <w:t>, which aims to deepen collaboration and strategies on critical mineral supply chains</w:t>
      </w:r>
      <w:r>
        <w:rPr>
          <w:rFonts w:cs="Times New Roman"/>
          <w:noProof/>
          <w:sz w:val="24"/>
          <w:szCs w:val="24"/>
          <w:lang w:val="en-GB"/>
        </w:rPr>
        <w:t>,</w:t>
      </w:r>
      <w:r w:rsidRPr="00BC048A">
        <w:rPr>
          <w:rFonts w:cs="Times New Roman"/>
          <w:noProof/>
          <w:sz w:val="24"/>
          <w:szCs w:val="24"/>
          <w:lang w:val="en-GB"/>
        </w:rPr>
        <w:t xml:space="preserve"> </w:t>
      </w:r>
      <w:r w:rsidRPr="00BC048A">
        <w:rPr>
          <w:rFonts w:eastAsia="Times New Roman" w:cs="Times New Roman"/>
          <w:noProof/>
          <w:sz w:val="24"/>
          <w:szCs w:val="24"/>
          <w:lang w:val="en-GB"/>
        </w:rPr>
        <w:t>a Joint Declaration on the Completion of Negotiations on Civil Nuclear Energy Cooperation</w:t>
      </w:r>
      <w:r w:rsidRPr="00BC048A">
        <w:rPr>
          <w:rFonts w:cs="Times New Roman"/>
          <w:noProof/>
          <w:sz w:val="24"/>
          <w:szCs w:val="24"/>
          <w:lang w:val="en-GB"/>
        </w:rPr>
        <w:t>, which set a nuclear energy partnership between the two parties</w:t>
      </w:r>
      <w:r>
        <w:rPr>
          <w:rFonts w:cs="Times New Roman"/>
          <w:noProof/>
          <w:sz w:val="24"/>
          <w:szCs w:val="24"/>
          <w:lang w:val="en-GB"/>
        </w:rPr>
        <w:t>,</w:t>
      </w:r>
      <w:r w:rsidRPr="00BC048A">
        <w:rPr>
          <w:rFonts w:cs="Times New Roman"/>
          <w:noProof/>
          <w:sz w:val="24"/>
          <w:szCs w:val="24"/>
          <w:lang w:val="en-GB"/>
        </w:rPr>
        <w:t xml:space="preserve"> and an </w:t>
      </w:r>
      <w:r w:rsidRPr="00BC048A">
        <w:rPr>
          <w:rFonts w:eastAsia="Times New Roman" w:cs="Times New Roman"/>
          <w:noProof/>
          <w:sz w:val="24"/>
          <w:szCs w:val="24"/>
          <w:lang w:val="en-GB"/>
        </w:rPr>
        <w:t xml:space="preserve">AI </w:t>
      </w:r>
      <w:r>
        <w:rPr>
          <w:rFonts w:eastAsia="Times New Roman" w:cs="Times New Roman"/>
          <w:noProof/>
          <w:sz w:val="24"/>
          <w:szCs w:val="24"/>
          <w:lang w:val="en-GB"/>
        </w:rPr>
        <w:t>Memorandum of Understanding (</w:t>
      </w:r>
      <w:r w:rsidRPr="00BC048A">
        <w:rPr>
          <w:rFonts w:eastAsia="Times New Roman" w:cs="Times New Roman"/>
          <w:noProof/>
          <w:sz w:val="24"/>
          <w:szCs w:val="24"/>
          <w:lang w:val="en-GB"/>
        </w:rPr>
        <w:t>MoU</w:t>
      </w:r>
      <w:r>
        <w:rPr>
          <w:rFonts w:eastAsia="Times New Roman" w:cs="Times New Roman"/>
          <w:noProof/>
          <w:sz w:val="24"/>
          <w:szCs w:val="24"/>
          <w:lang w:val="en-GB"/>
        </w:rPr>
        <w:t>)</w:t>
      </w:r>
      <w:r w:rsidRPr="00BC048A">
        <w:rPr>
          <w:rFonts w:cs="Times New Roman"/>
          <w:noProof/>
          <w:sz w:val="24"/>
          <w:szCs w:val="24"/>
          <w:lang w:val="en-GB"/>
        </w:rPr>
        <w:t xml:space="preserve">, which gives Saudi Arabia access to American systems while protecting US technology from foreign influence. Saudi Arabia also committed to </w:t>
      </w:r>
      <w:r>
        <w:rPr>
          <w:rFonts w:cs="Times New Roman"/>
          <w:noProof/>
          <w:sz w:val="24"/>
          <w:szCs w:val="24"/>
          <w:lang w:val="en-GB"/>
        </w:rPr>
        <w:t xml:space="preserve">make </w:t>
      </w:r>
      <w:r w:rsidRPr="00BC048A">
        <w:rPr>
          <w:rFonts w:cs="Times New Roman"/>
          <w:noProof/>
          <w:sz w:val="24"/>
          <w:szCs w:val="24"/>
          <w:lang w:val="en-GB"/>
        </w:rPr>
        <w:t>USD</w:t>
      </w:r>
      <w:r>
        <w:rPr>
          <w:rFonts w:cs="Times New Roman"/>
          <w:noProof/>
          <w:sz w:val="24"/>
          <w:szCs w:val="24"/>
          <w:lang w:val="en-GB"/>
        </w:rPr>
        <w:t> </w:t>
      </w:r>
      <w:r w:rsidRPr="00BC048A">
        <w:rPr>
          <w:rFonts w:cs="Times New Roman"/>
          <w:noProof/>
          <w:sz w:val="24"/>
          <w:szCs w:val="24"/>
          <w:lang w:val="en-GB"/>
        </w:rPr>
        <w:t>1 t</w:t>
      </w:r>
      <w:r>
        <w:rPr>
          <w:rFonts w:cs="Times New Roman"/>
          <w:noProof/>
          <w:sz w:val="24"/>
          <w:szCs w:val="24"/>
          <w:lang w:val="en-GB"/>
        </w:rPr>
        <w:t>r</w:t>
      </w:r>
      <w:r w:rsidRPr="00BC048A">
        <w:rPr>
          <w:rFonts w:cs="Times New Roman"/>
          <w:noProof/>
          <w:sz w:val="24"/>
          <w:szCs w:val="24"/>
          <w:lang w:val="en-GB"/>
        </w:rPr>
        <w:t xml:space="preserve">illion of investments in US infrastructure, technology and industry. </w:t>
      </w:r>
    </w:p>
    <w:p w14:paraId="22090039" w14:textId="47DC3021"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US-Switzerland-Lichtenstein</w:t>
      </w:r>
      <w:r>
        <w:rPr>
          <w:rFonts w:eastAsia="Times New Roman" w:cs="Times New Roman"/>
          <w:noProof/>
          <w:sz w:val="24"/>
          <w:szCs w:val="24"/>
          <w:lang w:val="en-GB"/>
        </w:rPr>
        <w:t>.</w:t>
      </w:r>
      <w:r w:rsidRPr="00BC048A">
        <w:rPr>
          <w:rFonts w:cs="Times New Roman"/>
          <w:noProof/>
          <w:sz w:val="24"/>
          <w:szCs w:val="24"/>
          <w:lang w:val="en-GB"/>
        </w:rPr>
        <w:t xml:space="preserve"> In </w:t>
      </w:r>
      <w:r w:rsidRPr="00BC048A">
        <w:rPr>
          <w:rFonts w:eastAsia="Times New Roman" w:cs="Times New Roman"/>
          <w:noProof/>
          <w:sz w:val="24"/>
          <w:szCs w:val="24"/>
          <w:lang w:val="en-GB"/>
        </w:rPr>
        <w:t>November 2025</w:t>
      </w:r>
      <w:r w:rsidRPr="00BC048A">
        <w:rPr>
          <w:rFonts w:cs="Times New Roman"/>
          <w:noProof/>
          <w:sz w:val="24"/>
          <w:szCs w:val="24"/>
          <w:lang w:val="en-GB"/>
        </w:rPr>
        <w:t xml:space="preserve">, the United States, Switzerland and Liechtenstein agreed on a </w:t>
      </w:r>
      <w:r w:rsidRPr="00BC048A">
        <w:rPr>
          <w:rFonts w:eastAsia="Times New Roman" w:cs="Times New Roman"/>
          <w:noProof/>
          <w:sz w:val="24"/>
          <w:szCs w:val="24"/>
          <w:lang w:val="en-GB"/>
        </w:rPr>
        <w:t>Framework on the intention to negotiate an Agreement on Fair, Balanced, and Reciprocal Trade</w:t>
      </w:r>
      <w:r w:rsidRPr="00BC048A">
        <w:rPr>
          <w:rFonts w:cs="Times New Roman"/>
          <w:noProof/>
          <w:sz w:val="24"/>
          <w:szCs w:val="24"/>
          <w:lang w:val="en-GB"/>
        </w:rPr>
        <w:t>. Switzerland intends to encourage and facilitate at least USD</w:t>
      </w:r>
      <w:r>
        <w:rPr>
          <w:rFonts w:cs="Times New Roman"/>
          <w:noProof/>
          <w:sz w:val="24"/>
          <w:szCs w:val="24"/>
          <w:lang w:val="en-GB"/>
        </w:rPr>
        <w:t> </w:t>
      </w:r>
      <w:r w:rsidRPr="00BC048A">
        <w:rPr>
          <w:rFonts w:cs="Times New Roman"/>
          <w:noProof/>
          <w:sz w:val="24"/>
          <w:szCs w:val="24"/>
          <w:lang w:val="en-GB"/>
        </w:rPr>
        <w:t>200 billion of investment into the United States over the next five years to create manufacturing and R&amp;D jobs. Liechtenstein intends to encourage and facilitate at least USD</w:t>
      </w:r>
      <w:r>
        <w:rPr>
          <w:rFonts w:cs="Times New Roman"/>
          <w:noProof/>
          <w:sz w:val="24"/>
          <w:szCs w:val="24"/>
          <w:lang w:val="en-GB"/>
        </w:rPr>
        <w:t> </w:t>
      </w:r>
      <w:r w:rsidRPr="00BC048A">
        <w:rPr>
          <w:rFonts w:cs="Times New Roman"/>
          <w:noProof/>
          <w:sz w:val="24"/>
          <w:szCs w:val="24"/>
          <w:lang w:val="en-GB"/>
        </w:rPr>
        <w:t xml:space="preserve">300 million of investment into the United States and increase by 50% over the next five years the number of jobs created by its private sector in the United States. Switzerland and Liechtenstein intend to encourage and facilitate one third of these investments by the end of 2026. The US intends to lower tariffs to </w:t>
      </w:r>
      <w:r>
        <w:rPr>
          <w:rFonts w:cs="Times New Roman"/>
          <w:noProof/>
          <w:sz w:val="24"/>
          <w:szCs w:val="24"/>
          <w:lang w:val="en-GB"/>
        </w:rPr>
        <w:t>m</w:t>
      </w:r>
      <w:r w:rsidRPr="00BC048A">
        <w:rPr>
          <w:rFonts w:cs="Times New Roman"/>
          <w:noProof/>
          <w:sz w:val="24"/>
          <w:szCs w:val="24"/>
          <w:lang w:val="en-GB"/>
        </w:rPr>
        <w:t>ost</w:t>
      </w:r>
      <w:r>
        <w:rPr>
          <w:rFonts w:cs="Times New Roman"/>
          <w:noProof/>
          <w:sz w:val="24"/>
          <w:szCs w:val="24"/>
          <w:lang w:val="en-GB"/>
        </w:rPr>
        <w:t>-f</w:t>
      </w:r>
      <w:r w:rsidRPr="00BC048A">
        <w:rPr>
          <w:rFonts w:cs="Times New Roman"/>
          <w:noProof/>
          <w:sz w:val="24"/>
          <w:szCs w:val="24"/>
          <w:lang w:val="en-GB"/>
        </w:rPr>
        <w:t xml:space="preserve">avoured </w:t>
      </w:r>
      <w:r>
        <w:rPr>
          <w:rFonts w:cs="Times New Roman"/>
          <w:noProof/>
          <w:sz w:val="24"/>
          <w:szCs w:val="24"/>
          <w:lang w:val="en-GB"/>
        </w:rPr>
        <w:t>n</w:t>
      </w:r>
      <w:r w:rsidRPr="00BC048A">
        <w:rPr>
          <w:rFonts w:cs="Times New Roman"/>
          <w:noProof/>
          <w:sz w:val="24"/>
          <w:szCs w:val="24"/>
          <w:lang w:val="en-GB"/>
        </w:rPr>
        <w:t xml:space="preserve">ation tariffs or </w:t>
      </w:r>
      <w:r>
        <w:rPr>
          <w:rFonts w:cs="Times New Roman"/>
          <w:noProof/>
          <w:sz w:val="24"/>
          <w:szCs w:val="24"/>
          <w:lang w:val="en-GB"/>
        </w:rPr>
        <w:t xml:space="preserve">to the </w:t>
      </w:r>
      <w:r w:rsidRPr="00BC048A">
        <w:rPr>
          <w:rFonts w:cs="Times New Roman"/>
          <w:noProof/>
          <w:sz w:val="24"/>
          <w:szCs w:val="24"/>
          <w:lang w:val="en-GB"/>
        </w:rPr>
        <w:t>15% rate, with some exceptions. The participants intend to begin negotiations o</w:t>
      </w:r>
      <w:r>
        <w:rPr>
          <w:rFonts w:cs="Times New Roman"/>
          <w:noProof/>
          <w:sz w:val="24"/>
          <w:szCs w:val="24"/>
          <w:lang w:val="en-GB"/>
        </w:rPr>
        <w:t>n</w:t>
      </w:r>
      <w:r w:rsidRPr="00BC048A">
        <w:rPr>
          <w:rFonts w:cs="Times New Roman"/>
          <w:noProof/>
          <w:sz w:val="24"/>
          <w:szCs w:val="24"/>
          <w:lang w:val="en-GB"/>
        </w:rPr>
        <w:t xml:space="preserve"> the </w:t>
      </w:r>
      <w:r>
        <w:rPr>
          <w:rFonts w:cs="Times New Roman"/>
          <w:noProof/>
          <w:sz w:val="24"/>
          <w:szCs w:val="24"/>
          <w:lang w:val="en-GB"/>
        </w:rPr>
        <w:t>a</w:t>
      </w:r>
      <w:r w:rsidRPr="00BC048A">
        <w:rPr>
          <w:rFonts w:cs="Times New Roman"/>
          <w:noProof/>
          <w:sz w:val="24"/>
          <w:szCs w:val="24"/>
          <w:lang w:val="en-GB"/>
        </w:rPr>
        <w:t xml:space="preserve">greement with </w:t>
      </w:r>
      <w:r>
        <w:rPr>
          <w:rFonts w:cs="Times New Roman"/>
          <w:noProof/>
          <w:sz w:val="24"/>
          <w:szCs w:val="24"/>
          <w:lang w:val="en-GB"/>
        </w:rPr>
        <w:t>a</w:t>
      </w:r>
      <w:r w:rsidRPr="00BC048A">
        <w:rPr>
          <w:rFonts w:cs="Times New Roman"/>
          <w:noProof/>
          <w:sz w:val="24"/>
          <w:szCs w:val="24"/>
          <w:lang w:val="en-GB"/>
        </w:rPr>
        <w:t xml:space="preserve"> view </w:t>
      </w:r>
      <w:r>
        <w:rPr>
          <w:rFonts w:cs="Times New Roman"/>
          <w:noProof/>
          <w:sz w:val="24"/>
          <w:szCs w:val="24"/>
          <w:lang w:val="en-GB"/>
        </w:rPr>
        <w:t>t</w:t>
      </w:r>
      <w:r w:rsidRPr="00BC048A">
        <w:rPr>
          <w:rFonts w:cs="Times New Roman"/>
          <w:noProof/>
          <w:sz w:val="24"/>
          <w:szCs w:val="24"/>
          <w:lang w:val="en-GB"/>
        </w:rPr>
        <w:t>o concluding it by the first quarter of 2026.</w:t>
      </w:r>
    </w:p>
    <w:p w14:paraId="4E5A5303" w14:textId="5DEF1E84"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US-Ecuador</w:t>
      </w:r>
      <w:r>
        <w:rPr>
          <w:rFonts w:eastAsia="Times New Roman" w:cs="Times New Roman"/>
          <w:noProof/>
          <w:sz w:val="24"/>
          <w:szCs w:val="24"/>
          <w:lang w:val="en-GB"/>
        </w:rPr>
        <w:t>.</w:t>
      </w:r>
      <w:r w:rsidRPr="00BC048A">
        <w:rPr>
          <w:rFonts w:cs="Times New Roman"/>
          <w:noProof/>
          <w:sz w:val="24"/>
          <w:szCs w:val="24"/>
          <w:lang w:val="en-GB"/>
        </w:rPr>
        <w:t xml:space="preserve"> In </w:t>
      </w:r>
      <w:r w:rsidRPr="00BC048A">
        <w:rPr>
          <w:rFonts w:eastAsia="Times New Roman" w:cs="Times New Roman"/>
          <w:noProof/>
          <w:sz w:val="24"/>
          <w:szCs w:val="24"/>
          <w:lang w:val="en-GB"/>
        </w:rPr>
        <w:t>November 2025</w:t>
      </w:r>
      <w:r w:rsidRPr="00BC048A">
        <w:rPr>
          <w:rFonts w:cs="Times New Roman"/>
          <w:noProof/>
          <w:sz w:val="24"/>
          <w:szCs w:val="24"/>
          <w:lang w:val="en-GB"/>
        </w:rPr>
        <w:t xml:space="preserve">, the United States and the Republic of Ecuador agreed on a </w:t>
      </w:r>
      <w:r w:rsidRPr="00BC048A">
        <w:rPr>
          <w:rFonts w:eastAsia="Times New Roman" w:cs="Times New Roman"/>
          <w:noProof/>
          <w:sz w:val="24"/>
          <w:szCs w:val="24"/>
          <w:lang w:val="en-GB"/>
        </w:rPr>
        <w:t xml:space="preserve">Framework for an Agreement on Reciprocal Trade. </w:t>
      </w:r>
      <w:r w:rsidRPr="00BC048A">
        <w:rPr>
          <w:rFonts w:cs="Times New Roman"/>
          <w:noProof/>
          <w:sz w:val="24"/>
          <w:szCs w:val="24"/>
          <w:lang w:val="en-GB"/>
        </w:rPr>
        <w:t>The agreement focuses primarily on non-tariff barriers and includes commitments to refrain from imposing digital services taxes,</w:t>
      </w:r>
      <w:r w:rsidRPr="00BC048A">
        <w:rPr>
          <w:rFonts w:eastAsia="Times New Roman" w:cs="Times New Roman"/>
          <w:noProof/>
          <w:sz w:val="24"/>
          <w:szCs w:val="24"/>
          <w:lang w:val="en-GB"/>
        </w:rPr>
        <w:t xml:space="preserve"> </w:t>
      </w:r>
      <w:r>
        <w:rPr>
          <w:rFonts w:eastAsia="Times New Roman" w:cs="Times New Roman"/>
          <w:noProof/>
          <w:sz w:val="24"/>
          <w:szCs w:val="24"/>
          <w:lang w:val="en-GB"/>
        </w:rPr>
        <w:t xml:space="preserve">to </w:t>
      </w:r>
      <w:r w:rsidRPr="00BC048A">
        <w:rPr>
          <w:rFonts w:cs="Times New Roman"/>
          <w:noProof/>
          <w:sz w:val="24"/>
          <w:szCs w:val="24"/>
          <w:lang w:val="en-GB"/>
        </w:rPr>
        <w:t xml:space="preserve">address intellectual property disputes and </w:t>
      </w:r>
      <w:r>
        <w:rPr>
          <w:rFonts w:cs="Times New Roman"/>
          <w:noProof/>
          <w:sz w:val="24"/>
          <w:szCs w:val="24"/>
          <w:lang w:val="en-GB"/>
        </w:rPr>
        <w:t xml:space="preserve">to </w:t>
      </w:r>
      <w:r w:rsidRPr="00BC048A">
        <w:rPr>
          <w:rFonts w:cs="Times New Roman"/>
          <w:noProof/>
          <w:sz w:val="24"/>
          <w:szCs w:val="24"/>
          <w:lang w:val="en-GB"/>
        </w:rPr>
        <w:t>raise food, health and safety standards. Ecuador also committed to reduce or eliminate tariffs in key sectors, including machinery, health products, ICT goods, chemicals, motor vehicles and certain agricultural products. The United States committed to remove its reciprocal tariffs on certain qualifying exports from Ecuador. The agreement aims to provide access to each other</w:t>
      </w:r>
      <w:r>
        <w:rPr>
          <w:rFonts w:cs="Times New Roman"/>
          <w:noProof/>
          <w:sz w:val="24"/>
          <w:szCs w:val="24"/>
          <w:lang w:val="en-GB"/>
        </w:rPr>
        <w:t>’s</w:t>
      </w:r>
      <w:r w:rsidRPr="00BC048A">
        <w:rPr>
          <w:rFonts w:cs="Times New Roman"/>
          <w:noProof/>
          <w:sz w:val="24"/>
          <w:szCs w:val="24"/>
          <w:lang w:val="en-GB"/>
        </w:rPr>
        <w:t xml:space="preserve"> markets and increase alignment on economic and national security matters. </w:t>
      </w:r>
    </w:p>
    <w:p w14:paraId="7A2F7ECA" w14:textId="7D56DFCE"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US-Argentina</w:t>
      </w:r>
      <w:r>
        <w:rPr>
          <w:rFonts w:eastAsia="Times New Roman" w:cs="Times New Roman"/>
          <w:noProof/>
          <w:sz w:val="24"/>
          <w:szCs w:val="24"/>
          <w:lang w:val="en-GB"/>
        </w:rPr>
        <w:t>.</w:t>
      </w:r>
      <w:r w:rsidRPr="00BC048A">
        <w:rPr>
          <w:rFonts w:cs="Times New Roman"/>
          <w:noProof/>
          <w:sz w:val="24"/>
          <w:szCs w:val="24"/>
          <w:lang w:val="en-GB"/>
        </w:rPr>
        <w:t xml:space="preserve"> In </w:t>
      </w:r>
      <w:r w:rsidRPr="00BC048A">
        <w:rPr>
          <w:rFonts w:eastAsia="Times New Roman" w:cs="Times New Roman"/>
          <w:noProof/>
          <w:sz w:val="24"/>
          <w:szCs w:val="24"/>
          <w:lang w:val="en-GB"/>
        </w:rPr>
        <w:t>November 2025</w:t>
      </w:r>
      <w:r w:rsidRPr="00BC048A">
        <w:rPr>
          <w:rFonts w:cs="Times New Roman"/>
          <w:noProof/>
          <w:sz w:val="24"/>
          <w:szCs w:val="24"/>
          <w:lang w:val="en-GB"/>
        </w:rPr>
        <w:t xml:space="preserve">, the United States and Argentine Republic agreed on a </w:t>
      </w:r>
      <w:r>
        <w:rPr>
          <w:rFonts w:eastAsia="Times New Roman" w:cs="Times New Roman"/>
          <w:noProof/>
          <w:sz w:val="24"/>
          <w:szCs w:val="24"/>
          <w:lang w:val="en-GB"/>
        </w:rPr>
        <w:t>f</w:t>
      </w:r>
      <w:r w:rsidRPr="00BC048A">
        <w:rPr>
          <w:rFonts w:eastAsia="Times New Roman" w:cs="Times New Roman"/>
          <w:noProof/>
          <w:sz w:val="24"/>
          <w:szCs w:val="24"/>
          <w:lang w:val="en-GB"/>
        </w:rPr>
        <w:t>ramework to deepen bilateral trade and investment cooperation</w:t>
      </w:r>
      <w:r w:rsidRPr="00BC048A">
        <w:rPr>
          <w:rFonts w:cs="Times New Roman"/>
          <w:noProof/>
          <w:sz w:val="24"/>
          <w:szCs w:val="24"/>
          <w:lang w:val="en-GB"/>
        </w:rPr>
        <w:t xml:space="preserve">. The agreement focused primarily on non-tariff barriers and included a commitment to refrain from imposing digital services taxes, </w:t>
      </w:r>
      <w:r>
        <w:rPr>
          <w:rFonts w:cs="Times New Roman"/>
          <w:noProof/>
          <w:sz w:val="24"/>
          <w:szCs w:val="24"/>
          <w:lang w:val="en-GB"/>
        </w:rPr>
        <w:t xml:space="preserve">to </w:t>
      </w:r>
      <w:r w:rsidRPr="00BC048A">
        <w:rPr>
          <w:rFonts w:cs="Times New Roman"/>
          <w:noProof/>
          <w:sz w:val="24"/>
          <w:szCs w:val="24"/>
          <w:lang w:val="en-GB"/>
        </w:rPr>
        <w:t xml:space="preserve">address intellectual property disputes and </w:t>
      </w:r>
      <w:r>
        <w:rPr>
          <w:rFonts w:cs="Times New Roman"/>
          <w:noProof/>
          <w:sz w:val="24"/>
          <w:szCs w:val="24"/>
          <w:lang w:val="en-GB"/>
        </w:rPr>
        <w:t xml:space="preserve">to </w:t>
      </w:r>
      <w:r w:rsidRPr="00BC048A">
        <w:rPr>
          <w:rFonts w:cs="Times New Roman"/>
          <w:noProof/>
          <w:sz w:val="24"/>
          <w:szCs w:val="24"/>
          <w:lang w:val="en-GB"/>
        </w:rPr>
        <w:t>raise food, health and safety standards. Argentina agreed to provide preferential market access for US goods exports, while the United States agreed to remove the reciprocal tariffs on certain unavailable natural resources and non-patented articles for use in pharmaceutical applications.</w:t>
      </w:r>
    </w:p>
    <w:p w14:paraId="0B201062" w14:textId="6B6BDA4E"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US-El Salvador</w:t>
      </w:r>
      <w:r>
        <w:rPr>
          <w:rFonts w:eastAsia="Times New Roman" w:cs="Times New Roman"/>
          <w:noProof/>
          <w:sz w:val="24"/>
          <w:szCs w:val="24"/>
          <w:lang w:val="en-GB"/>
        </w:rPr>
        <w:t>.</w:t>
      </w:r>
      <w:r w:rsidRPr="00BC048A">
        <w:rPr>
          <w:rFonts w:cs="Times New Roman"/>
          <w:noProof/>
          <w:sz w:val="24"/>
          <w:szCs w:val="24"/>
          <w:lang w:val="en-GB"/>
        </w:rPr>
        <w:t xml:space="preserve"> In </w:t>
      </w:r>
      <w:r w:rsidRPr="00BC048A">
        <w:rPr>
          <w:rFonts w:eastAsia="Times New Roman" w:cs="Times New Roman"/>
          <w:noProof/>
          <w:sz w:val="24"/>
          <w:szCs w:val="24"/>
          <w:lang w:val="en-GB"/>
        </w:rPr>
        <w:t>November 2025</w:t>
      </w:r>
      <w:r w:rsidRPr="00BC048A">
        <w:rPr>
          <w:rFonts w:cs="Times New Roman"/>
          <w:noProof/>
          <w:sz w:val="24"/>
          <w:szCs w:val="24"/>
          <w:lang w:val="en-GB"/>
        </w:rPr>
        <w:t xml:space="preserve">, the United States and the Republic of El Salvador agreed to a </w:t>
      </w:r>
      <w:r w:rsidRPr="00BC048A">
        <w:rPr>
          <w:rFonts w:eastAsia="Times New Roman" w:cs="Times New Roman"/>
          <w:noProof/>
          <w:sz w:val="24"/>
          <w:szCs w:val="24"/>
          <w:lang w:val="en-GB"/>
        </w:rPr>
        <w:t>Framework for an Agreement on Reciprocal Trade</w:t>
      </w:r>
      <w:r w:rsidRPr="00BC048A">
        <w:rPr>
          <w:rFonts w:cs="Times New Roman"/>
          <w:noProof/>
          <w:sz w:val="24"/>
          <w:szCs w:val="24"/>
          <w:lang w:val="en-GB"/>
        </w:rPr>
        <w:t xml:space="preserve">. The agreement focused primarily on non-tariff barriers and included a commitment to refrain from imposing digital services taxes, </w:t>
      </w:r>
      <w:r>
        <w:rPr>
          <w:rFonts w:cs="Times New Roman"/>
          <w:noProof/>
          <w:sz w:val="24"/>
          <w:szCs w:val="24"/>
          <w:lang w:val="en-GB"/>
        </w:rPr>
        <w:t xml:space="preserve">to </w:t>
      </w:r>
      <w:r w:rsidRPr="00BC048A">
        <w:rPr>
          <w:rFonts w:cs="Times New Roman"/>
          <w:noProof/>
          <w:sz w:val="24"/>
          <w:szCs w:val="24"/>
          <w:lang w:val="en-GB"/>
        </w:rPr>
        <w:t xml:space="preserve">address intellectual property disputes and </w:t>
      </w:r>
      <w:r>
        <w:rPr>
          <w:rFonts w:cs="Times New Roman"/>
          <w:noProof/>
          <w:sz w:val="24"/>
          <w:szCs w:val="24"/>
          <w:lang w:val="en-GB"/>
        </w:rPr>
        <w:t xml:space="preserve">to </w:t>
      </w:r>
      <w:r w:rsidRPr="00BC048A">
        <w:rPr>
          <w:rFonts w:cs="Times New Roman"/>
          <w:noProof/>
          <w:sz w:val="24"/>
          <w:szCs w:val="24"/>
          <w:lang w:val="en-GB"/>
        </w:rPr>
        <w:t>raise food, health and safety standards.</w:t>
      </w:r>
      <w:r w:rsidRPr="00BC048A">
        <w:rPr>
          <w:rFonts w:eastAsia="Times New Roman" w:cs="Times New Roman"/>
          <w:noProof/>
          <w:sz w:val="24"/>
          <w:szCs w:val="24"/>
          <w:lang w:val="en-GB"/>
        </w:rPr>
        <w:t xml:space="preserve"> </w:t>
      </w:r>
      <w:r w:rsidRPr="00BC048A">
        <w:rPr>
          <w:rFonts w:cs="Times New Roman"/>
          <w:noProof/>
          <w:sz w:val="24"/>
          <w:szCs w:val="24"/>
          <w:lang w:val="en-GB"/>
        </w:rPr>
        <w:t>El Salvador also committed to move forward with certain international intellectual property treaties, provide transparency and fairness regarding geographical indications,</w:t>
      </w:r>
      <w:r w:rsidRPr="00BC048A">
        <w:rPr>
          <w:rFonts w:eastAsia="Times New Roman" w:cs="Times New Roman"/>
          <w:noProof/>
          <w:sz w:val="24"/>
          <w:szCs w:val="24"/>
          <w:lang w:val="en-GB"/>
        </w:rPr>
        <w:t xml:space="preserve"> </w:t>
      </w:r>
      <w:r w:rsidRPr="00BC048A">
        <w:rPr>
          <w:rFonts w:cs="Times New Roman"/>
          <w:noProof/>
          <w:sz w:val="24"/>
          <w:szCs w:val="24"/>
          <w:lang w:val="en-GB"/>
        </w:rPr>
        <w:t>adopt and maintain high levels of environmental protection and to effectively enforce its environmental laws, among others. The United States committed to remove the reciprocal tariffs on certain qualifying exports from El Salvador that cannot be grown, mined or naturally produced in the United States in sufficient quantities, as well as certain products, such as textiles and apparel products.</w:t>
      </w:r>
    </w:p>
    <w:p w14:paraId="682142F6" w14:textId="3ACB3A9A"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US-Guatemala</w:t>
      </w:r>
      <w:r>
        <w:rPr>
          <w:rFonts w:eastAsia="Times New Roman" w:cs="Times New Roman"/>
          <w:noProof/>
          <w:sz w:val="24"/>
          <w:szCs w:val="24"/>
          <w:lang w:val="en-GB"/>
        </w:rPr>
        <w:t>.</w:t>
      </w:r>
      <w:r w:rsidRPr="00BC048A">
        <w:rPr>
          <w:rFonts w:cs="Times New Roman"/>
          <w:noProof/>
          <w:sz w:val="24"/>
          <w:szCs w:val="24"/>
          <w:lang w:val="en-GB"/>
        </w:rPr>
        <w:t xml:space="preserve"> In </w:t>
      </w:r>
      <w:r w:rsidRPr="00BC048A">
        <w:rPr>
          <w:rFonts w:eastAsia="Times New Roman" w:cs="Times New Roman"/>
          <w:noProof/>
          <w:sz w:val="24"/>
          <w:szCs w:val="24"/>
          <w:lang w:val="en-GB"/>
        </w:rPr>
        <w:t>November 2025</w:t>
      </w:r>
      <w:r w:rsidRPr="00BC048A">
        <w:rPr>
          <w:rFonts w:cs="Times New Roman"/>
          <w:noProof/>
          <w:sz w:val="24"/>
          <w:szCs w:val="24"/>
          <w:lang w:val="en-GB"/>
        </w:rPr>
        <w:t xml:space="preserve">, the United States and the Republic of Guatemala agreed to a </w:t>
      </w:r>
      <w:r w:rsidRPr="00BC048A">
        <w:rPr>
          <w:rFonts w:eastAsia="Times New Roman" w:cs="Times New Roman"/>
          <w:noProof/>
          <w:sz w:val="24"/>
          <w:szCs w:val="24"/>
          <w:lang w:val="en-GB"/>
        </w:rPr>
        <w:t>Framework for an Agreement on Reciprocal Trade</w:t>
      </w:r>
      <w:r w:rsidRPr="00BC048A">
        <w:rPr>
          <w:rFonts w:cs="Times New Roman"/>
          <w:noProof/>
          <w:sz w:val="24"/>
          <w:szCs w:val="24"/>
          <w:lang w:val="en-GB"/>
        </w:rPr>
        <w:t xml:space="preserve">. The agreement focused primarily on non-tariff barriers and included a commitment to refrain from imposing digital services taxes, </w:t>
      </w:r>
      <w:r>
        <w:rPr>
          <w:rFonts w:cs="Times New Roman"/>
          <w:noProof/>
          <w:sz w:val="24"/>
          <w:szCs w:val="24"/>
          <w:lang w:val="en-GB"/>
        </w:rPr>
        <w:t xml:space="preserve">to </w:t>
      </w:r>
      <w:r w:rsidRPr="00BC048A">
        <w:rPr>
          <w:rFonts w:cs="Times New Roman"/>
          <w:noProof/>
          <w:sz w:val="24"/>
          <w:szCs w:val="24"/>
          <w:lang w:val="en-GB"/>
        </w:rPr>
        <w:t xml:space="preserve">address intellectual property disputes and </w:t>
      </w:r>
      <w:r>
        <w:rPr>
          <w:rFonts w:cs="Times New Roman"/>
          <w:noProof/>
          <w:sz w:val="24"/>
          <w:szCs w:val="24"/>
          <w:lang w:val="en-GB"/>
        </w:rPr>
        <w:t xml:space="preserve">to </w:t>
      </w:r>
      <w:r w:rsidRPr="00BC048A">
        <w:rPr>
          <w:rFonts w:cs="Times New Roman"/>
          <w:noProof/>
          <w:sz w:val="24"/>
          <w:szCs w:val="24"/>
          <w:lang w:val="en-GB"/>
        </w:rPr>
        <w:t>raise food, health and safety standards. Guatemala also committed to provide transparency and fairness regarding geographical indications, protect internationally recognised labour rights, to adopt and maintain high levels of environmental protection and to effectively enforce its environmental laws, among others. The United States committed to remove the reciprocal tariffs on certain qualifying exports from Guatemala that cannot be grown, mined or naturally produced in the United States in sufficient quantities, as well as certain products, such as textiles and apparel products.</w:t>
      </w:r>
    </w:p>
    <w:p w14:paraId="5F12BC85" w14:textId="209366F8"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US-China</w:t>
      </w:r>
      <w:r>
        <w:rPr>
          <w:rFonts w:eastAsia="Times New Roman" w:cs="Times New Roman"/>
          <w:noProof/>
          <w:sz w:val="24"/>
          <w:szCs w:val="24"/>
          <w:lang w:val="en-GB"/>
        </w:rPr>
        <w:t>.</w:t>
      </w:r>
      <w:r w:rsidRPr="00BC048A">
        <w:rPr>
          <w:rFonts w:cs="Times New Roman"/>
          <w:noProof/>
          <w:sz w:val="24"/>
          <w:szCs w:val="24"/>
          <w:lang w:val="en-GB"/>
        </w:rPr>
        <w:t xml:space="preserve"> In </w:t>
      </w:r>
      <w:r w:rsidRPr="00BC048A">
        <w:rPr>
          <w:rFonts w:eastAsia="Times New Roman" w:cs="Times New Roman"/>
          <w:noProof/>
          <w:sz w:val="24"/>
          <w:szCs w:val="24"/>
          <w:lang w:val="en-GB"/>
        </w:rPr>
        <w:t>October 2025,</w:t>
      </w:r>
      <w:r w:rsidRPr="00BC048A">
        <w:rPr>
          <w:rFonts w:cs="Times New Roman"/>
          <w:noProof/>
          <w:sz w:val="24"/>
          <w:szCs w:val="24"/>
          <w:lang w:val="en-GB"/>
        </w:rPr>
        <w:t xml:space="preserve"> the United States and China reached a </w:t>
      </w:r>
      <w:r w:rsidRPr="00BC048A">
        <w:rPr>
          <w:rFonts w:eastAsia="Times New Roman" w:cs="Times New Roman"/>
          <w:noProof/>
          <w:sz w:val="24"/>
          <w:szCs w:val="24"/>
          <w:lang w:val="en-GB"/>
        </w:rPr>
        <w:t>deal on economic and trade relations</w:t>
      </w:r>
      <w:r w:rsidRPr="00BC048A">
        <w:rPr>
          <w:rFonts w:cs="Times New Roman"/>
          <w:noProof/>
          <w:sz w:val="24"/>
          <w:szCs w:val="24"/>
          <w:lang w:val="en-GB"/>
        </w:rPr>
        <w:t>. The agreement covers notably Chinese commitments to suspend for a year current and past export controls restrictions on rare earths. In addition, China will take significant measures to end the flow of fentanyl to the US; will suspend all of the retaliatory tariffs that it had announced since March 2025;</w:t>
      </w:r>
      <w:r w:rsidRPr="00BC048A">
        <w:rPr>
          <w:rFonts w:eastAsia="Times New Roman" w:cs="Times New Roman"/>
          <w:noProof/>
          <w:sz w:val="24"/>
          <w:szCs w:val="24"/>
          <w:lang w:val="en-GB"/>
        </w:rPr>
        <w:t xml:space="preserve"> and </w:t>
      </w:r>
      <w:r w:rsidRPr="00BC048A">
        <w:rPr>
          <w:rFonts w:cs="Times New Roman"/>
          <w:noProof/>
          <w:sz w:val="24"/>
          <w:szCs w:val="24"/>
          <w:lang w:val="en-GB"/>
        </w:rPr>
        <w:t>will purchase at least 25 million metric ton</w:t>
      </w:r>
      <w:r>
        <w:rPr>
          <w:rFonts w:cs="Times New Roman"/>
          <w:noProof/>
          <w:sz w:val="24"/>
          <w:szCs w:val="24"/>
          <w:lang w:val="en-GB"/>
        </w:rPr>
        <w:t>ne</w:t>
      </w:r>
      <w:r w:rsidRPr="00BC048A">
        <w:rPr>
          <w:rFonts w:cs="Times New Roman"/>
          <w:noProof/>
          <w:sz w:val="24"/>
          <w:szCs w:val="24"/>
          <w:lang w:val="en-GB"/>
        </w:rPr>
        <w:t xml:space="preserve">s of US soybeans in the coming years. China will also remove measures it took in retaliation for the US’s announcement of a Section 301 investigation on shipbuilding and remove sanctions imposed on various shipping entities. The United States will notably lower the tariffs on Chinese imports by </w:t>
      </w:r>
      <w:r>
        <w:rPr>
          <w:rFonts w:cs="Times New Roman"/>
          <w:noProof/>
          <w:sz w:val="24"/>
          <w:szCs w:val="24"/>
          <w:lang w:val="en-GB"/>
        </w:rPr>
        <w:t>10</w:t>
      </w:r>
      <w:r w:rsidRPr="00BC048A">
        <w:rPr>
          <w:rFonts w:cs="Times New Roman"/>
          <w:noProof/>
          <w:sz w:val="24"/>
          <w:szCs w:val="24"/>
          <w:lang w:val="en-GB"/>
        </w:rPr>
        <w:t xml:space="preserve"> percentage points and will maintain its suspension of heightened reciprocal tariffs on Chinese imports until 10</w:t>
      </w:r>
      <w:r>
        <w:rPr>
          <w:rFonts w:cs="Times New Roman"/>
          <w:noProof/>
          <w:sz w:val="24"/>
          <w:szCs w:val="24"/>
          <w:lang w:val="en-GB"/>
        </w:rPr>
        <w:t> </w:t>
      </w:r>
      <w:r w:rsidRPr="00BC048A">
        <w:rPr>
          <w:rFonts w:cs="Times New Roman"/>
          <w:noProof/>
          <w:sz w:val="24"/>
          <w:szCs w:val="24"/>
          <w:lang w:val="en-GB"/>
        </w:rPr>
        <w:t>November 2026.  The current 10% reciprocal tariff will remain in effect during this suspension period; the US will suspend for one year implementation of the interim final rule Expansion of End-User Controls to Cover Affiliates of Certain Listed Entities; and the US will suspend for one year implementation of the restrictive measures taken in relation with shipbuilding.</w:t>
      </w:r>
    </w:p>
    <w:p w14:paraId="6CD71C65" w14:textId="77777777"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US-Thailand</w:t>
      </w:r>
      <w:r w:rsidRPr="00BC048A">
        <w:rPr>
          <w:rFonts w:cs="Times New Roman"/>
          <w:noProof/>
          <w:sz w:val="24"/>
          <w:szCs w:val="24"/>
          <w:lang w:val="en-GB"/>
        </w:rPr>
        <w:t xml:space="preserve">: </w:t>
      </w:r>
    </w:p>
    <w:p w14:paraId="136945FB" w14:textId="6810786B" w:rsidR="00267A77" w:rsidRPr="00BC048A" w:rsidRDefault="00267A77" w:rsidP="00267A77">
      <w:pPr>
        <w:pStyle w:val="ListParagraph"/>
        <w:numPr>
          <w:ilvl w:val="1"/>
          <w:numId w:val="27"/>
        </w:numPr>
        <w:spacing w:line="250" w:lineRule="auto"/>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On 26</w:t>
      </w:r>
      <w:r>
        <w:rPr>
          <w:rFonts w:eastAsia="Times New Roman" w:cs="Times New Roman"/>
          <w:noProof/>
          <w:sz w:val="24"/>
          <w:szCs w:val="24"/>
          <w:lang w:val="en-GB"/>
        </w:rPr>
        <w:t> </w:t>
      </w:r>
      <w:r w:rsidRPr="00BC048A">
        <w:rPr>
          <w:rFonts w:eastAsia="Times New Roman" w:cs="Times New Roman"/>
          <w:noProof/>
          <w:sz w:val="24"/>
          <w:szCs w:val="24"/>
          <w:lang w:val="en-GB"/>
        </w:rPr>
        <w:t xml:space="preserve">October 2025, the US reached a new trade framework with Thailand. Thailand will remove tariffs on 99% of goods and both sides will address non-tariff barriers. The US will keep a 19% reciprocal tariff while identifying </w:t>
      </w:r>
      <w:r>
        <w:rPr>
          <w:rFonts w:eastAsia="Times New Roman" w:cs="Times New Roman"/>
          <w:noProof/>
          <w:sz w:val="24"/>
          <w:szCs w:val="24"/>
          <w:lang w:val="en-GB"/>
        </w:rPr>
        <w:t xml:space="preserve">the </w:t>
      </w:r>
      <w:r w:rsidRPr="00BC048A">
        <w:rPr>
          <w:rFonts w:eastAsia="Times New Roman" w:cs="Times New Roman"/>
          <w:noProof/>
          <w:sz w:val="24"/>
          <w:szCs w:val="24"/>
          <w:lang w:val="en-GB"/>
        </w:rPr>
        <w:t xml:space="preserve">items eligible for 0% rates. </w:t>
      </w:r>
    </w:p>
    <w:p w14:paraId="48AE6841" w14:textId="43220F5C" w:rsidR="00267A77" w:rsidRPr="00BC048A" w:rsidRDefault="00267A77" w:rsidP="00267A77">
      <w:pPr>
        <w:pStyle w:val="ListParagraph"/>
        <w:numPr>
          <w:ilvl w:val="1"/>
          <w:numId w:val="27"/>
        </w:numPr>
        <w:spacing w:line="250" w:lineRule="auto"/>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Also </w:t>
      </w:r>
      <w:r>
        <w:rPr>
          <w:rFonts w:eastAsia="Times New Roman" w:cs="Times New Roman"/>
          <w:noProof/>
          <w:sz w:val="24"/>
          <w:szCs w:val="24"/>
          <w:lang w:val="en-GB"/>
        </w:rPr>
        <w:t>i</w:t>
      </w:r>
      <w:r w:rsidRPr="00BC048A">
        <w:rPr>
          <w:rFonts w:eastAsia="Times New Roman" w:cs="Times New Roman"/>
          <w:noProof/>
          <w:sz w:val="24"/>
          <w:szCs w:val="24"/>
          <w:lang w:val="en-GB"/>
        </w:rPr>
        <w:t xml:space="preserve">n October 2025, the US and Thailand signed a Memorandum of Understanding to diversify global critical mineral supply chains and promote investments. Areas of cooperation include sharing information and expertise; coordinating on priority projects; engagement between governments, </w:t>
      </w:r>
      <w:r>
        <w:rPr>
          <w:rFonts w:eastAsia="Times New Roman" w:cs="Times New Roman"/>
          <w:noProof/>
          <w:sz w:val="24"/>
          <w:szCs w:val="24"/>
          <w:lang w:val="en-GB"/>
        </w:rPr>
        <w:t xml:space="preserve">the </w:t>
      </w:r>
      <w:r w:rsidRPr="00BC048A">
        <w:rPr>
          <w:rFonts w:eastAsia="Times New Roman" w:cs="Times New Roman"/>
          <w:noProof/>
          <w:sz w:val="24"/>
          <w:szCs w:val="24"/>
          <w:lang w:val="en-GB"/>
        </w:rPr>
        <w:t>private sector, universities; streamlining permitting and investment practices; transparency in competitive tendering; and protecting markets based on fair‑trade and high standards.</w:t>
      </w:r>
    </w:p>
    <w:p w14:paraId="65E256AF" w14:textId="77777777"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US-Malaysia</w:t>
      </w:r>
      <w:r w:rsidRPr="00BC048A">
        <w:rPr>
          <w:rFonts w:cs="Times New Roman"/>
          <w:noProof/>
          <w:sz w:val="24"/>
          <w:szCs w:val="24"/>
          <w:lang w:val="en-GB"/>
        </w:rPr>
        <w:t xml:space="preserve">: </w:t>
      </w:r>
    </w:p>
    <w:p w14:paraId="372465F2" w14:textId="4866C3C2" w:rsidR="00267A77" w:rsidRPr="00BC048A" w:rsidRDefault="00267A77" w:rsidP="00267A77">
      <w:pPr>
        <w:pStyle w:val="ListParagraph"/>
        <w:numPr>
          <w:ilvl w:val="1"/>
          <w:numId w:val="27"/>
        </w:numPr>
        <w:spacing w:line="250" w:lineRule="auto"/>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On 26</w:t>
      </w:r>
      <w:r>
        <w:rPr>
          <w:rFonts w:eastAsia="Times New Roman" w:cs="Times New Roman"/>
          <w:noProof/>
          <w:sz w:val="24"/>
          <w:szCs w:val="24"/>
          <w:lang w:val="en-GB"/>
        </w:rPr>
        <w:t> </w:t>
      </w:r>
      <w:r w:rsidRPr="00BC048A">
        <w:rPr>
          <w:rFonts w:eastAsia="Times New Roman" w:cs="Times New Roman"/>
          <w:noProof/>
          <w:sz w:val="24"/>
          <w:szCs w:val="24"/>
          <w:lang w:val="en-GB"/>
        </w:rPr>
        <w:t xml:space="preserve">October 2025, the US announced </w:t>
      </w:r>
      <w:r>
        <w:rPr>
          <w:rFonts w:eastAsia="Times New Roman" w:cs="Times New Roman"/>
          <w:noProof/>
          <w:sz w:val="24"/>
          <w:szCs w:val="24"/>
          <w:lang w:val="en-GB"/>
        </w:rPr>
        <w:t xml:space="preserve">a </w:t>
      </w:r>
      <w:r w:rsidRPr="00BC048A">
        <w:rPr>
          <w:rFonts w:eastAsia="Times New Roman" w:cs="Times New Roman"/>
          <w:noProof/>
          <w:sz w:val="24"/>
          <w:szCs w:val="24"/>
          <w:lang w:val="en-GB"/>
        </w:rPr>
        <w:t>new trade agreement with Malaysia, maintaining a 19% rate on goods, with some exemptions. The deal includes commitments to avoid restrictive import licensing, ensure fair market access for US agricultural products, and strengthen intellectual property protection. Malaysia also agreed to cooperate with the US on regulating sensitive technologies, aligning export controls, and sharing information on certain investments.</w:t>
      </w:r>
    </w:p>
    <w:p w14:paraId="0A67BDBF" w14:textId="33477F1D" w:rsidR="00267A77" w:rsidRPr="00BC048A" w:rsidRDefault="00267A77" w:rsidP="00267A77">
      <w:pPr>
        <w:pStyle w:val="ListParagraph"/>
        <w:numPr>
          <w:ilvl w:val="1"/>
          <w:numId w:val="27"/>
        </w:numPr>
        <w:spacing w:line="250" w:lineRule="auto"/>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On 26</w:t>
      </w:r>
      <w:r>
        <w:rPr>
          <w:rFonts w:eastAsia="Times New Roman" w:cs="Times New Roman"/>
          <w:noProof/>
          <w:sz w:val="24"/>
          <w:szCs w:val="24"/>
          <w:lang w:val="en-GB"/>
        </w:rPr>
        <w:t> </w:t>
      </w:r>
      <w:r w:rsidRPr="00BC048A">
        <w:rPr>
          <w:rFonts w:eastAsia="Times New Roman" w:cs="Times New Roman"/>
          <w:noProof/>
          <w:sz w:val="24"/>
          <w:szCs w:val="24"/>
          <w:lang w:val="en-GB"/>
        </w:rPr>
        <w:t xml:space="preserve">October 2025, the US and Malaysia agreed on a MoU to strengthen cooperation </w:t>
      </w:r>
      <w:r>
        <w:rPr>
          <w:rFonts w:eastAsia="Times New Roman" w:cs="Times New Roman"/>
          <w:noProof/>
          <w:sz w:val="24"/>
          <w:szCs w:val="24"/>
          <w:lang w:val="en-GB"/>
        </w:rPr>
        <w:t xml:space="preserve">to develop and expand </w:t>
      </w:r>
      <w:r w:rsidRPr="00BC048A">
        <w:rPr>
          <w:rFonts w:eastAsia="Times New Roman" w:cs="Times New Roman"/>
          <w:noProof/>
          <w:sz w:val="24"/>
          <w:szCs w:val="24"/>
          <w:lang w:val="en-GB"/>
        </w:rPr>
        <w:t>critical mineral supply chains; to promote trade and investment in critical mineral resource exploration, extraction, processing and refining, manufacturing, and recycling and recovery; and to support the transition to efficient and secure critical mineral and rare earths markets.</w:t>
      </w:r>
    </w:p>
    <w:p w14:paraId="48E71124" w14:textId="47E9D357"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US-Cambodia</w:t>
      </w:r>
      <w:r>
        <w:rPr>
          <w:rFonts w:eastAsia="Times New Roman" w:cs="Times New Roman"/>
          <w:noProof/>
          <w:sz w:val="24"/>
          <w:szCs w:val="24"/>
          <w:lang w:val="en-GB"/>
        </w:rPr>
        <w:t>.</w:t>
      </w:r>
      <w:r w:rsidRPr="00BC048A">
        <w:rPr>
          <w:rFonts w:cs="Times New Roman"/>
          <w:noProof/>
          <w:sz w:val="24"/>
          <w:szCs w:val="24"/>
          <w:lang w:val="en-GB"/>
        </w:rPr>
        <w:t xml:space="preserve"> On 26</w:t>
      </w:r>
      <w:r>
        <w:rPr>
          <w:rFonts w:cs="Times New Roman"/>
          <w:noProof/>
          <w:sz w:val="24"/>
          <w:szCs w:val="24"/>
          <w:lang w:val="en-GB"/>
        </w:rPr>
        <w:t> </w:t>
      </w:r>
      <w:r w:rsidRPr="00BC048A">
        <w:rPr>
          <w:rFonts w:eastAsia="Times New Roman" w:cs="Times New Roman"/>
          <w:noProof/>
          <w:sz w:val="24"/>
          <w:szCs w:val="24"/>
          <w:lang w:val="en-GB"/>
        </w:rPr>
        <w:t>October 2025</w:t>
      </w:r>
      <w:r w:rsidRPr="00BC048A">
        <w:rPr>
          <w:rFonts w:cs="Times New Roman"/>
          <w:noProof/>
          <w:sz w:val="24"/>
          <w:szCs w:val="24"/>
          <w:lang w:val="en-GB"/>
        </w:rPr>
        <w:t xml:space="preserve">, the US announced a new </w:t>
      </w:r>
      <w:r w:rsidRPr="00BC048A">
        <w:rPr>
          <w:rFonts w:eastAsia="Times New Roman" w:cs="Times New Roman"/>
          <w:noProof/>
          <w:sz w:val="24"/>
          <w:szCs w:val="24"/>
          <w:lang w:val="en-GB"/>
        </w:rPr>
        <w:t>trade agreement</w:t>
      </w:r>
      <w:r w:rsidRPr="00BC048A">
        <w:rPr>
          <w:rFonts w:cs="Times New Roman"/>
          <w:noProof/>
          <w:sz w:val="24"/>
          <w:szCs w:val="24"/>
          <w:lang w:val="en-GB"/>
        </w:rPr>
        <w:t xml:space="preserve"> with Cambodia,</w:t>
      </w:r>
      <w:r w:rsidRPr="00BC048A">
        <w:rPr>
          <w:rFonts w:eastAsia="Times New Roman" w:cs="Times New Roman"/>
          <w:noProof/>
          <w:sz w:val="24"/>
          <w:szCs w:val="24"/>
          <w:lang w:val="en-GB"/>
        </w:rPr>
        <w:t xml:space="preserve"> maintaining a 19% rate on goods, with some exemptions. The deal includes commitments to avoid restrictive import licensing, ensure fair market access for US agricultural products and strengthen intellectual property protection. Cambodia also agreed to cooperate with the US on regulating sensitive technologies, aligning export controls and sharing information on certain investments.</w:t>
      </w:r>
    </w:p>
    <w:p w14:paraId="63897A3A" w14:textId="0FF4C72B"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US-Vietnam</w:t>
      </w:r>
      <w:r>
        <w:rPr>
          <w:rFonts w:eastAsia="Times New Roman" w:cs="Times New Roman"/>
          <w:noProof/>
          <w:sz w:val="24"/>
          <w:szCs w:val="24"/>
          <w:lang w:val="en-GB"/>
        </w:rPr>
        <w:t>.</w:t>
      </w:r>
      <w:r w:rsidRPr="00BC048A">
        <w:rPr>
          <w:rFonts w:cs="Times New Roman"/>
          <w:noProof/>
          <w:sz w:val="24"/>
          <w:szCs w:val="24"/>
          <w:lang w:val="en-GB"/>
        </w:rPr>
        <w:t xml:space="preserve"> On 26</w:t>
      </w:r>
      <w:r>
        <w:rPr>
          <w:rFonts w:cs="Times New Roman"/>
          <w:noProof/>
          <w:sz w:val="24"/>
          <w:szCs w:val="24"/>
          <w:lang w:val="en-GB"/>
        </w:rPr>
        <w:t> </w:t>
      </w:r>
      <w:r w:rsidRPr="00BC048A">
        <w:rPr>
          <w:rFonts w:eastAsia="Times New Roman" w:cs="Times New Roman"/>
          <w:noProof/>
          <w:sz w:val="24"/>
          <w:szCs w:val="24"/>
          <w:lang w:val="en-GB"/>
        </w:rPr>
        <w:t>October 2025</w:t>
      </w:r>
      <w:r w:rsidRPr="00BC048A">
        <w:rPr>
          <w:rFonts w:cs="Times New Roman"/>
          <w:noProof/>
          <w:sz w:val="24"/>
          <w:szCs w:val="24"/>
          <w:lang w:val="en-GB"/>
        </w:rPr>
        <w:t xml:space="preserve">, the US announced </w:t>
      </w:r>
      <w:r>
        <w:rPr>
          <w:rFonts w:cs="Times New Roman"/>
          <w:noProof/>
          <w:sz w:val="24"/>
          <w:szCs w:val="24"/>
          <w:lang w:val="en-GB"/>
        </w:rPr>
        <w:t xml:space="preserve">a </w:t>
      </w:r>
      <w:r w:rsidRPr="00BC048A">
        <w:rPr>
          <w:rFonts w:eastAsia="Times New Roman" w:cs="Times New Roman"/>
          <w:noProof/>
          <w:sz w:val="24"/>
          <w:szCs w:val="24"/>
          <w:lang w:val="en-GB"/>
        </w:rPr>
        <w:t>trade framework</w:t>
      </w:r>
      <w:r w:rsidRPr="00BC048A">
        <w:rPr>
          <w:rFonts w:cs="Times New Roman"/>
          <w:noProof/>
          <w:sz w:val="24"/>
          <w:szCs w:val="24"/>
          <w:lang w:val="en-GB"/>
        </w:rPr>
        <w:t xml:space="preserve"> with Vietnam. K</w:t>
      </w:r>
      <w:r w:rsidRPr="00BC048A">
        <w:rPr>
          <w:rFonts w:eastAsia="Times New Roman" w:cs="Times New Roman"/>
          <w:noProof/>
          <w:sz w:val="24"/>
          <w:szCs w:val="24"/>
          <w:lang w:val="en-GB"/>
        </w:rPr>
        <w:t xml:space="preserve">ey terms of the framework include preferential market access for US exports, a 20% reciprocal tariff and collaboration on non-tariff barriers, digital trade, services and investment. </w:t>
      </w:r>
    </w:p>
    <w:p w14:paraId="2C22EF58" w14:textId="77777777"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US-Japan</w:t>
      </w:r>
      <w:r w:rsidRPr="00BC048A">
        <w:rPr>
          <w:rFonts w:cs="Times New Roman"/>
          <w:noProof/>
          <w:sz w:val="24"/>
          <w:szCs w:val="24"/>
          <w:lang w:val="en-GB"/>
        </w:rPr>
        <w:t xml:space="preserve">: </w:t>
      </w:r>
    </w:p>
    <w:p w14:paraId="5344C880" w14:textId="7E9B8C64" w:rsidR="00267A77" w:rsidRPr="00BC048A" w:rsidRDefault="00267A77" w:rsidP="00267A77">
      <w:pPr>
        <w:pStyle w:val="ListParagraph"/>
        <w:numPr>
          <w:ilvl w:val="1"/>
          <w:numId w:val="9"/>
        </w:numPr>
        <w:spacing w:line="250" w:lineRule="auto"/>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October 2025, the President of the United States and the Prime Minister of Japan signed a Framework for Securing the Supply of Critical Minerals and Rare Earths through Mining and Processing (US-JP Framework). This agreement commits the two nations to bolster their collaborative efforts in securing a steady supply of essential minerals and rare earths required for their domestic industries. This is achieved via financial support mechanisms, trade initiatives and strategic stockpiling systems for critical minerals. Within six months, both countries plan to implement measures that will provide financial backing to select projects aimed at producing end products for distribution to buyers in the US, Japan and other allied nations. </w:t>
      </w:r>
    </w:p>
    <w:p w14:paraId="10CCC5EC" w14:textId="6BBA0AC4" w:rsidR="00267A77" w:rsidRPr="00BC048A" w:rsidRDefault="00267A77" w:rsidP="00267A77">
      <w:pPr>
        <w:pStyle w:val="ListParagraph"/>
        <w:numPr>
          <w:ilvl w:val="1"/>
          <w:numId w:val="9"/>
        </w:numPr>
        <w:spacing w:line="250" w:lineRule="auto"/>
        <w:ind w:left="143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October 2025, the US and Japan published a detailed plan for </w:t>
      </w:r>
      <w:r>
        <w:rPr>
          <w:rFonts w:eastAsia="Times New Roman" w:cs="Times New Roman"/>
          <w:noProof/>
          <w:sz w:val="24"/>
          <w:szCs w:val="24"/>
          <w:lang w:val="en-GB"/>
        </w:rPr>
        <w:t xml:space="preserve">Japan to invest </w:t>
      </w:r>
      <w:r w:rsidRPr="00BC048A">
        <w:rPr>
          <w:rFonts w:eastAsia="Times New Roman" w:cs="Times New Roman"/>
          <w:noProof/>
          <w:sz w:val="24"/>
          <w:szCs w:val="24"/>
          <w:lang w:val="en-GB"/>
        </w:rPr>
        <w:t>USD</w:t>
      </w:r>
      <w:r>
        <w:rPr>
          <w:rFonts w:eastAsia="Times New Roman" w:cs="Times New Roman"/>
          <w:noProof/>
          <w:sz w:val="24"/>
          <w:szCs w:val="24"/>
          <w:lang w:val="en-GB"/>
        </w:rPr>
        <w:t> </w:t>
      </w:r>
      <w:r w:rsidRPr="00BC048A">
        <w:rPr>
          <w:rFonts w:eastAsia="Times New Roman" w:cs="Times New Roman"/>
          <w:noProof/>
          <w:sz w:val="24"/>
          <w:szCs w:val="24"/>
          <w:lang w:val="en-GB"/>
        </w:rPr>
        <w:t xml:space="preserve">550 billion in the United States. A total of 21 projects are listed in the fact sheet, spanning sectors such as critical energy infrastructure, AI and critical minerals. </w:t>
      </w:r>
    </w:p>
    <w:p w14:paraId="1AD1A609" w14:textId="1DE819B4"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US-Australia</w:t>
      </w:r>
      <w:r>
        <w:rPr>
          <w:rFonts w:eastAsia="Times New Roman" w:cs="Times New Roman"/>
          <w:noProof/>
          <w:sz w:val="24"/>
          <w:szCs w:val="24"/>
          <w:lang w:val="en-GB"/>
        </w:rPr>
        <w:t>.</w:t>
      </w:r>
      <w:r w:rsidRPr="00BC048A">
        <w:rPr>
          <w:rFonts w:eastAsia="Times New Roman" w:cs="Times New Roman"/>
          <w:noProof/>
          <w:sz w:val="24"/>
          <w:szCs w:val="24"/>
          <w:lang w:val="en-GB"/>
        </w:rPr>
        <w:t xml:space="preserve"> In October 2025, the United States and Australia signed a framework agreement for securing supply in the mining and processing of critical minerals and rare earth. The framework covers closer cooperation with third parties and provisions on securing supply, investment in mining and processing, permitting, price mechanisms, asset sales, scrap, stockpiling and geological mapping as well as establishing rapid response groups. It aims to mobilise USD</w:t>
      </w:r>
      <w:r>
        <w:rPr>
          <w:rFonts w:eastAsia="Times New Roman" w:cs="Times New Roman"/>
          <w:noProof/>
          <w:sz w:val="24"/>
          <w:szCs w:val="24"/>
          <w:lang w:val="en-GB"/>
        </w:rPr>
        <w:t> </w:t>
      </w:r>
      <w:r w:rsidRPr="00BC048A">
        <w:rPr>
          <w:rFonts w:eastAsia="Times New Roman" w:cs="Times New Roman"/>
          <w:noProof/>
          <w:sz w:val="24"/>
          <w:szCs w:val="24"/>
          <w:lang w:val="en-GB"/>
        </w:rPr>
        <w:t xml:space="preserve">8.5 billion to enhance the mining and processing of critical minerals and rare earths and </w:t>
      </w:r>
      <w:r>
        <w:rPr>
          <w:rFonts w:eastAsia="Times New Roman" w:cs="Times New Roman"/>
          <w:noProof/>
          <w:sz w:val="24"/>
          <w:szCs w:val="24"/>
          <w:lang w:val="en-GB"/>
        </w:rPr>
        <w:t xml:space="preserve">to </w:t>
      </w:r>
      <w:r w:rsidRPr="00BC048A">
        <w:rPr>
          <w:rFonts w:eastAsia="Times New Roman" w:cs="Times New Roman"/>
          <w:noProof/>
          <w:sz w:val="24"/>
          <w:szCs w:val="24"/>
          <w:lang w:val="en-GB"/>
        </w:rPr>
        <w:t>reduce dependence on China. Both nations committed to investing at least USD</w:t>
      </w:r>
      <w:r>
        <w:rPr>
          <w:rFonts w:eastAsia="Times New Roman" w:cs="Times New Roman"/>
          <w:noProof/>
          <w:sz w:val="24"/>
          <w:szCs w:val="24"/>
          <w:lang w:val="en-GB"/>
        </w:rPr>
        <w:t> </w:t>
      </w:r>
      <w:r w:rsidRPr="00BC048A">
        <w:rPr>
          <w:rFonts w:eastAsia="Times New Roman" w:cs="Times New Roman"/>
          <w:noProof/>
          <w:sz w:val="24"/>
          <w:szCs w:val="24"/>
          <w:lang w:val="en-GB"/>
        </w:rPr>
        <w:t xml:space="preserve">1 billion each within six months to support projects in their respective countries. </w:t>
      </w:r>
    </w:p>
    <w:p w14:paraId="77DB5CB1" w14:textId="197F6F53" w:rsidR="00267A77" w:rsidRPr="00BC048A" w:rsidRDefault="00267A77" w:rsidP="00267A77">
      <w:pPr>
        <w:pStyle w:val="ListParagraph"/>
        <w:numPr>
          <w:ilvl w:val="0"/>
          <w:numId w:val="9"/>
        </w:numPr>
        <w:spacing w:line="250" w:lineRule="auto"/>
        <w:contextualSpacing w:val="0"/>
        <w:jc w:val="both"/>
        <w:rPr>
          <w:rFonts w:cs="Times New Roman"/>
          <w:noProof/>
          <w:sz w:val="24"/>
          <w:szCs w:val="24"/>
          <w:lang w:val="en-GB"/>
        </w:rPr>
      </w:pPr>
      <w:r w:rsidRPr="00BC048A">
        <w:rPr>
          <w:rFonts w:eastAsia="Times New Roman" w:cs="Times New Roman"/>
          <w:noProof/>
          <w:sz w:val="24"/>
          <w:szCs w:val="24"/>
          <w:lang w:val="en-GB"/>
        </w:rPr>
        <w:t>US-Republic of Korea</w:t>
      </w:r>
      <w:r>
        <w:rPr>
          <w:rFonts w:eastAsia="Times New Roman" w:cs="Times New Roman"/>
          <w:noProof/>
          <w:sz w:val="24"/>
          <w:szCs w:val="24"/>
          <w:lang w:val="en-GB"/>
        </w:rPr>
        <w:t>.</w:t>
      </w:r>
      <w:r w:rsidRPr="00BC048A">
        <w:rPr>
          <w:rFonts w:cs="Times New Roman"/>
          <w:noProof/>
          <w:sz w:val="24"/>
          <w:szCs w:val="24"/>
          <w:lang w:val="en-GB"/>
        </w:rPr>
        <w:t xml:space="preserve"> In </w:t>
      </w:r>
      <w:r w:rsidRPr="00BC048A">
        <w:rPr>
          <w:rFonts w:eastAsia="Times New Roman" w:cs="Times New Roman"/>
          <w:noProof/>
          <w:sz w:val="24"/>
          <w:szCs w:val="24"/>
          <w:lang w:val="en-GB"/>
        </w:rPr>
        <w:t>July 2025</w:t>
      </w:r>
      <w:r w:rsidRPr="00BC048A">
        <w:rPr>
          <w:rFonts w:cs="Times New Roman"/>
          <w:noProof/>
          <w:sz w:val="24"/>
          <w:szCs w:val="24"/>
          <w:lang w:val="en-GB"/>
        </w:rPr>
        <w:t xml:space="preserve">, the US and the Republic of Korea announced the </w:t>
      </w:r>
      <w:r w:rsidRPr="00BC048A">
        <w:rPr>
          <w:rFonts w:eastAsia="Times New Roman" w:cs="Times New Roman"/>
          <w:noProof/>
          <w:sz w:val="24"/>
          <w:szCs w:val="24"/>
          <w:lang w:val="en-GB"/>
        </w:rPr>
        <w:t>US-Korea Strategic Trade and Investment deal</w:t>
      </w:r>
      <w:r w:rsidRPr="00BC048A">
        <w:rPr>
          <w:rFonts w:cs="Times New Roman"/>
          <w:noProof/>
          <w:sz w:val="24"/>
          <w:szCs w:val="24"/>
          <w:lang w:val="en-GB"/>
        </w:rPr>
        <w:t xml:space="preserve">. In October 2025, the two parties reaffirmed their announcement, and in November 2025, a </w:t>
      </w:r>
      <w:r>
        <w:rPr>
          <w:rFonts w:cs="Times New Roman"/>
          <w:noProof/>
          <w:sz w:val="24"/>
          <w:szCs w:val="24"/>
          <w:lang w:val="en-GB"/>
        </w:rPr>
        <w:t>f</w:t>
      </w:r>
      <w:r w:rsidRPr="00BC048A">
        <w:rPr>
          <w:rFonts w:cs="Times New Roman"/>
          <w:noProof/>
          <w:sz w:val="24"/>
          <w:szCs w:val="24"/>
          <w:lang w:val="en-GB"/>
        </w:rPr>
        <w:t xml:space="preserve">act </w:t>
      </w:r>
      <w:r>
        <w:rPr>
          <w:rFonts w:cs="Times New Roman"/>
          <w:noProof/>
          <w:sz w:val="24"/>
          <w:szCs w:val="24"/>
          <w:lang w:val="en-GB"/>
        </w:rPr>
        <w:t>s</w:t>
      </w:r>
      <w:r w:rsidRPr="00BC048A">
        <w:rPr>
          <w:rFonts w:cs="Times New Roman"/>
          <w:noProof/>
          <w:sz w:val="24"/>
          <w:szCs w:val="24"/>
          <w:lang w:val="en-GB"/>
        </w:rPr>
        <w:t>heet was published detailing the terms of the deal. The Republic of Korea will invest USD</w:t>
      </w:r>
      <w:r>
        <w:rPr>
          <w:rFonts w:cs="Times New Roman"/>
          <w:noProof/>
          <w:sz w:val="24"/>
          <w:szCs w:val="24"/>
          <w:lang w:val="en-GB"/>
        </w:rPr>
        <w:t> </w:t>
      </w:r>
      <w:r w:rsidRPr="00BC048A">
        <w:rPr>
          <w:rFonts w:cs="Times New Roman"/>
          <w:noProof/>
          <w:sz w:val="24"/>
          <w:szCs w:val="24"/>
          <w:lang w:val="en-GB"/>
        </w:rPr>
        <w:t>200 billion (USD</w:t>
      </w:r>
      <w:r>
        <w:rPr>
          <w:rFonts w:cs="Times New Roman"/>
          <w:noProof/>
          <w:sz w:val="24"/>
          <w:szCs w:val="24"/>
          <w:lang w:val="en-GB"/>
        </w:rPr>
        <w:t> </w:t>
      </w:r>
      <w:r w:rsidRPr="00BC048A">
        <w:rPr>
          <w:rFonts w:cs="Times New Roman"/>
          <w:noProof/>
          <w:sz w:val="24"/>
          <w:szCs w:val="24"/>
          <w:lang w:val="en-GB"/>
        </w:rPr>
        <w:t xml:space="preserve">20 billion a year) across several sectors including semiconductors, energy, AI and critical raw materials, and will set aside another </w:t>
      </w:r>
      <w:r>
        <w:rPr>
          <w:rFonts w:cs="Times New Roman"/>
          <w:noProof/>
          <w:sz w:val="24"/>
          <w:szCs w:val="24"/>
          <w:lang w:val="en-GB"/>
        </w:rPr>
        <w:t>USD </w:t>
      </w:r>
      <w:r w:rsidRPr="00BC048A">
        <w:rPr>
          <w:rFonts w:cs="Times New Roman"/>
          <w:noProof/>
          <w:sz w:val="24"/>
          <w:szCs w:val="24"/>
          <w:lang w:val="en-GB"/>
        </w:rPr>
        <w:t xml:space="preserve">150 billion to invest in shipbuilding. The reciprocal tariff rate will remain at 15%, as agreed upon </w:t>
      </w:r>
      <w:r>
        <w:rPr>
          <w:rFonts w:cs="Times New Roman"/>
          <w:noProof/>
          <w:sz w:val="24"/>
          <w:szCs w:val="24"/>
          <w:lang w:val="en-GB"/>
        </w:rPr>
        <w:t xml:space="preserve">at </w:t>
      </w:r>
      <w:r w:rsidRPr="00BC048A">
        <w:rPr>
          <w:rFonts w:cs="Times New Roman"/>
          <w:noProof/>
          <w:sz w:val="24"/>
          <w:szCs w:val="24"/>
          <w:lang w:val="en-GB"/>
        </w:rPr>
        <w:t>the tentative trade deal in July. The deal also includes provisions to prevent foreign exchange market instability, limiting required dollar funding to USD</w:t>
      </w:r>
      <w:r>
        <w:rPr>
          <w:rFonts w:cs="Times New Roman"/>
          <w:noProof/>
          <w:sz w:val="24"/>
          <w:szCs w:val="24"/>
          <w:lang w:val="en-GB"/>
        </w:rPr>
        <w:t> </w:t>
      </w:r>
      <w:r w:rsidRPr="00BC048A">
        <w:rPr>
          <w:rFonts w:cs="Times New Roman"/>
          <w:noProof/>
          <w:sz w:val="24"/>
          <w:szCs w:val="24"/>
          <w:lang w:val="en-GB"/>
        </w:rPr>
        <w:t>20 billion annually, eliminatin</w:t>
      </w:r>
      <w:r>
        <w:rPr>
          <w:rFonts w:cs="Times New Roman"/>
          <w:noProof/>
          <w:sz w:val="24"/>
          <w:szCs w:val="24"/>
          <w:lang w:val="en-GB"/>
        </w:rPr>
        <w:t>g</w:t>
      </w:r>
      <w:r w:rsidRPr="00BC048A">
        <w:rPr>
          <w:rFonts w:cs="Times New Roman"/>
          <w:noProof/>
          <w:sz w:val="24"/>
          <w:szCs w:val="24"/>
          <w:lang w:val="en-GB"/>
        </w:rPr>
        <w:t xml:space="preserve"> a cap on US vehicle</w:t>
      </w:r>
      <w:r>
        <w:rPr>
          <w:rFonts w:cs="Times New Roman"/>
          <w:noProof/>
          <w:sz w:val="24"/>
          <w:szCs w:val="24"/>
          <w:lang w:val="en-GB"/>
        </w:rPr>
        <w:t>s</w:t>
      </w:r>
      <w:r w:rsidRPr="00BC048A">
        <w:rPr>
          <w:rFonts w:cs="Times New Roman"/>
          <w:noProof/>
          <w:sz w:val="24"/>
          <w:szCs w:val="24"/>
          <w:lang w:val="en-GB"/>
        </w:rPr>
        <w:t>, streamlining agricultural product approval and reduc</w:t>
      </w:r>
      <w:r>
        <w:rPr>
          <w:rFonts w:cs="Times New Roman"/>
          <w:noProof/>
          <w:sz w:val="24"/>
          <w:szCs w:val="24"/>
          <w:lang w:val="en-GB"/>
        </w:rPr>
        <w:t xml:space="preserve">ing </w:t>
      </w:r>
      <w:r w:rsidRPr="00BC048A">
        <w:rPr>
          <w:rFonts w:cs="Times New Roman"/>
          <w:noProof/>
          <w:sz w:val="24"/>
          <w:szCs w:val="24"/>
          <w:lang w:val="en-GB"/>
        </w:rPr>
        <w:t>digital service barriers.</w:t>
      </w:r>
    </w:p>
    <w:p w14:paraId="357FDFB2" w14:textId="112AB50F"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US-Indonesia</w:t>
      </w:r>
      <w:r>
        <w:rPr>
          <w:rFonts w:eastAsia="Times New Roman" w:cs="Times New Roman"/>
          <w:noProof/>
          <w:sz w:val="24"/>
          <w:szCs w:val="24"/>
          <w:lang w:val="en-GB"/>
        </w:rPr>
        <w:t>.</w:t>
      </w:r>
      <w:r w:rsidRPr="00BC048A">
        <w:rPr>
          <w:rFonts w:eastAsia="Times New Roman" w:cs="Times New Roman"/>
          <w:noProof/>
          <w:sz w:val="24"/>
          <w:szCs w:val="24"/>
          <w:lang w:val="en-GB"/>
        </w:rPr>
        <w:t xml:space="preserve"> In July 2025, the US and Indonesia reached an agreement on a framework to negotiate an Agreement on Reciprocal Trade aimed at enhancing their bilateral economic ties. This agreement commits Indonesia to eliminate tariff barriers on over 99% of US exports, covering sectors like agriculture, health products, ICT, automotive and chemicals</w:t>
      </w:r>
      <w:r>
        <w:rPr>
          <w:rFonts w:eastAsia="Times New Roman" w:cs="Times New Roman"/>
          <w:noProof/>
          <w:sz w:val="24"/>
          <w:szCs w:val="24"/>
          <w:lang w:val="en-GB"/>
        </w:rPr>
        <w:t>. It also</w:t>
      </w:r>
      <w:r w:rsidRPr="00BC048A">
        <w:rPr>
          <w:rFonts w:eastAsia="Times New Roman" w:cs="Times New Roman"/>
          <w:noProof/>
          <w:sz w:val="24"/>
          <w:szCs w:val="24"/>
          <w:lang w:val="en-GB"/>
        </w:rPr>
        <w:t xml:space="preserve"> address</w:t>
      </w:r>
      <w:r>
        <w:rPr>
          <w:rFonts w:eastAsia="Times New Roman" w:cs="Times New Roman"/>
          <w:noProof/>
          <w:sz w:val="24"/>
          <w:szCs w:val="24"/>
          <w:lang w:val="en-GB"/>
        </w:rPr>
        <w:t>es</w:t>
      </w:r>
      <w:r w:rsidRPr="00BC048A">
        <w:rPr>
          <w:rFonts w:eastAsia="Times New Roman" w:cs="Times New Roman"/>
          <w:noProof/>
          <w:sz w:val="24"/>
          <w:szCs w:val="24"/>
          <w:lang w:val="en-GB"/>
        </w:rPr>
        <w:t xml:space="preserve"> a broad slate of non-tariff barriers for US industrial, agricultural and digital exports</w:t>
      </w:r>
      <w:r>
        <w:rPr>
          <w:rFonts w:eastAsia="Times New Roman" w:cs="Times New Roman"/>
          <w:noProof/>
          <w:sz w:val="24"/>
          <w:szCs w:val="24"/>
          <w:lang w:val="en-GB"/>
        </w:rPr>
        <w:t>,</w:t>
      </w:r>
      <w:r w:rsidRPr="00BC048A">
        <w:rPr>
          <w:rFonts w:eastAsia="Times New Roman" w:cs="Times New Roman"/>
          <w:noProof/>
          <w:sz w:val="24"/>
          <w:szCs w:val="24"/>
          <w:lang w:val="en-GB"/>
        </w:rPr>
        <w:t xml:space="preserve"> adopt</w:t>
      </w:r>
      <w:r>
        <w:rPr>
          <w:rFonts w:eastAsia="Times New Roman" w:cs="Times New Roman"/>
          <w:noProof/>
          <w:sz w:val="24"/>
          <w:szCs w:val="24"/>
          <w:lang w:val="en-GB"/>
        </w:rPr>
        <w:t>s</w:t>
      </w:r>
      <w:r w:rsidRPr="00BC048A">
        <w:rPr>
          <w:rFonts w:eastAsia="Times New Roman" w:cs="Times New Roman"/>
          <w:noProof/>
          <w:sz w:val="24"/>
          <w:szCs w:val="24"/>
          <w:lang w:val="en-GB"/>
        </w:rPr>
        <w:t xml:space="preserve"> more facilitative rules of origin and </w:t>
      </w:r>
      <w:r>
        <w:rPr>
          <w:rFonts w:eastAsia="Times New Roman" w:cs="Times New Roman"/>
          <w:noProof/>
          <w:sz w:val="24"/>
          <w:szCs w:val="24"/>
          <w:lang w:val="en-GB"/>
        </w:rPr>
        <w:t xml:space="preserve">covers </w:t>
      </w:r>
      <w:r w:rsidRPr="00BC048A">
        <w:rPr>
          <w:rFonts w:eastAsia="Times New Roman" w:cs="Times New Roman"/>
          <w:noProof/>
          <w:sz w:val="24"/>
          <w:szCs w:val="24"/>
          <w:lang w:val="en-GB"/>
        </w:rPr>
        <w:t>cooperat</w:t>
      </w:r>
      <w:r>
        <w:rPr>
          <w:rFonts w:eastAsia="Times New Roman" w:cs="Times New Roman"/>
          <w:noProof/>
          <w:sz w:val="24"/>
          <w:szCs w:val="24"/>
          <w:lang w:val="en-GB"/>
        </w:rPr>
        <w:t>ion</w:t>
      </w:r>
      <w:r w:rsidRPr="00BC048A">
        <w:rPr>
          <w:rFonts w:eastAsia="Times New Roman" w:cs="Times New Roman"/>
          <w:noProof/>
          <w:sz w:val="24"/>
          <w:szCs w:val="24"/>
          <w:lang w:val="en-GB"/>
        </w:rPr>
        <w:t xml:space="preserve"> on economic security (including removing export limits on industrial commodities and critical minerals) and labour standards.</w:t>
      </w:r>
    </w:p>
    <w:p w14:paraId="05B59100" w14:textId="37AA6E96"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US-UK</w:t>
      </w:r>
      <w:r>
        <w:rPr>
          <w:rFonts w:eastAsia="Times New Roman" w:cs="Times New Roman"/>
          <w:noProof/>
          <w:sz w:val="24"/>
          <w:szCs w:val="24"/>
          <w:lang w:val="en-GB"/>
        </w:rPr>
        <w:t>.</w:t>
      </w:r>
      <w:r w:rsidRPr="00BC048A">
        <w:rPr>
          <w:rFonts w:eastAsia="Times New Roman" w:cs="Times New Roman"/>
          <w:noProof/>
          <w:sz w:val="24"/>
          <w:szCs w:val="24"/>
          <w:lang w:val="en-GB"/>
        </w:rPr>
        <w:t xml:space="preserve"> In May 2025, the United States and the United Kingdom announced a trade deal. While the 10% US reciprocal tariff remains in place for most products, the trade deal </w:t>
      </w:r>
      <w:r>
        <w:rPr>
          <w:rFonts w:eastAsia="Times New Roman" w:cs="Times New Roman"/>
          <w:noProof/>
          <w:sz w:val="24"/>
          <w:szCs w:val="24"/>
          <w:lang w:val="en-GB"/>
        </w:rPr>
        <w:t xml:space="preserve">brings </w:t>
      </w:r>
      <w:r w:rsidRPr="00BC048A">
        <w:rPr>
          <w:rFonts w:eastAsia="Times New Roman" w:cs="Times New Roman"/>
          <w:noProof/>
          <w:sz w:val="24"/>
          <w:szCs w:val="24"/>
          <w:lang w:val="en-GB"/>
        </w:rPr>
        <w:t xml:space="preserve">in selected tariff relief and market access improvements, particularly in agriculture, autos, metals and aerospace. Key measures include a new quota system for autos and steel/aluminium, reduced or eliminated tariffs on US exports like ethanol and beef, aerospace cooperation with Rolls Royce and Boeing, and plans for future agreements on economic security, pharmaceuticals and technology. The deal also introduces faster trade and customs processes. </w:t>
      </w:r>
    </w:p>
    <w:p w14:paraId="21885E9B" w14:textId="6B38CB0E"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eastAsia="Times New Roman" w:cs="Times New Roman"/>
          <w:noProof/>
          <w:sz w:val="24"/>
          <w:szCs w:val="24"/>
          <w:lang w:val="en-GB"/>
        </w:rPr>
        <w:t>US-Ukraine</w:t>
      </w:r>
      <w:r>
        <w:rPr>
          <w:rFonts w:eastAsia="Times New Roman" w:cs="Times New Roman"/>
          <w:noProof/>
          <w:sz w:val="24"/>
          <w:szCs w:val="24"/>
          <w:lang w:val="en-GB"/>
        </w:rPr>
        <w:t>.</w:t>
      </w:r>
      <w:r w:rsidRPr="00BC048A">
        <w:rPr>
          <w:rFonts w:eastAsia="Times New Roman" w:cs="Times New Roman"/>
          <w:noProof/>
          <w:sz w:val="24"/>
          <w:szCs w:val="24"/>
          <w:lang w:val="en-GB"/>
        </w:rPr>
        <w:t xml:space="preserve"> In May 2025, the United States and Ukraine signed an agreement on resource extraction and reconstruction, establishing a jointly managed investment fund to support mining, energy and infrastructure projects. The deal grants the US priority access to newly licensed critical natural resources, including rare earths, lithium, graphite, titanium and manganese, while ensuring Ukrainian ownership and excluding any actors linked to Russia’s war effort. </w:t>
      </w:r>
      <w:r w:rsidRPr="00BC048A">
        <w:rPr>
          <w:rFonts w:cs="Times New Roman"/>
          <w:noProof/>
          <w:sz w:val="24"/>
          <w:szCs w:val="24"/>
          <w:lang w:val="en-GB"/>
        </w:rPr>
        <w:t xml:space="preserve">Both countries will contribute equally to the fund, with future US military aid counting as the American share. The deal excludes sovereign debt obligations, ports and nuclear assets, and includes provisions on technology transfer and innovation. </w:t>
      </w:r>
    </w:p>
    <w:p w14:paraId="07A21D3B" w14:textId="7D21588D"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US-India</w:t>
      </w:r>
      <w:r>
        <w:rPr>
          <w:rFonts w:eastAsia="Times New Roman" w:cs="Times New Roman"/>
          <w:noProof/>
          <w:sz w:val="24"/>
          <w:szCs w:val="24"/>
          <w:lang w:val="en-GB"/>
        </w:rPr>
        <w:t>.</w:t>
      </w:r>
      <w:r w:rsidRPr="00BC048A">
        <w:rPr>
          <w:rFonts w:cs="Times New Roman"/>
          <w:noProof/>
          <w:sz w:val="24"/>
          <w:szCs w:val="24"/>
          <w:lang w:val="en-GB"/>
        </w:rPr>
        <w:t xml:space="preserve"> In </w:t>
      </w:r>
      <w:r w:rsidRPr="00BC048A">
        <w:rPr>
          <w:rFonts w:eastAsia="Times New Roman" w:cs="Times New Roman"/>
          <w:noProof/>
          <w:sz w:val="24"/>
          <w:szCs w:val="24"/>
          <w:lang w:val="en-GB"/>
        </w:rPr>
        <w:t>February 2025</w:t>
      </w:r>
      <w:r w:rsidRPr="00BC048A">
        <w:rPr>
          <w:rFonts w:cs="Times New Roman"/>
          <w:noProof/>
          <w:sz w:val="24"/>
          <w:szCs w:val="24"/>
          <w:lang w:val="en-GB"/>
        </w:rPr>
        <w:t xml:space="preserve">, </w:t>
      </w:r>
      <w:r w:rsidR="009863BD">
        <w:rPr>
          <w:rFonts w:cs="Times New Roman"/>
          <w:noProof/>
          <w:sz w:val="24"/>
          <w:szCs w:val="24"/>
          <w:lang w:val="en-GB"/>
        </w:rPr>
        <w:t>t</w:t>
      </w:r>
      <w:r w:rsidR="007D5A44">
        <w:rPr>
          <w:rFonts w:cs="Times New Roman"/>
          <w:noProof/>
          <w:sz w:val="24"/>
          <w:szCs w:val="24"/>
          <w:lang w:val="en-GB"/>
        </w:rPr>
        <w:t xml:space="preserve">he </w:t>
      </w:r>
      <w:r w:rsidR="00B76A8B">
        <w:rPr>
          <w:rFonts w:cs="Times New Roman"/>
          <w:noProof/>
          <w:sz w:val="24"/>
          <w:szCs w:val="24"/>
          <w:lang w:val="en-GB"/>
        </w:rPr>
        <w:t>p</w:t>
      </w:r>
      <w:r w:rsidR="00F4658A">
        <w:rPr>
          <w:rFonts w:cs="Times New Roman"/>
          <w:noProof/>
          <w:sz w:val="24"/>
          <w:szCs w:val="24"/>
          <w:lang w:val="en-GB"/>
        </w:rPr>
        <w:t xml:space="preserve">rime </w:t>
      </w:r>
      <w:r w:rsidR="00B76A8B">
        <w:rPr>
          <w:rFonts w:cs="Times New Roman"/>
          <w:noProof/>
          <w:sz w:val="24"/>
          <w:szCs w:val="24"/>
          <w:lang w:val="en-GB"/>
        </w:rPr>
        <w:t>m</w:t>
      </w:r>
      <w:r w:rsidR="00F4658A">
        <w:rPr>
          <w:rFonts w:cs="Times New Roman"/>
          <w:noProof/>
          <w:sz w:val="24"/>
          <w:szCs w:val="24"/>
          <w:lang w:val="en-GB"/>
        </w:rPr>
        <w:t>inister</w:t>
      </w:r>
      <w:r w:rsidR="007D5A44">
        <w:rPr>
          <w:rFonts w:cs="Times New Roman"/>
          <w:noProof/>
          <w:sz w:val="24"/>
          <w:szCs w:val="24"/>
          <w:lang w:val="en-GB"/>
        </w:rPr>
        <w:t xml:space="preserve"> of India and the President of the United States have</w:t>
      </w:r>
      <w:r w:rsidRPr="00BC048A">
        <w:rPr>
          <w:rFonts w:cs="Times New Roman"/>
          <w:noProof/>
          <w:sz w:val="24"/>
          <w:szCs w:val="24"/>
          <w:lang w:val="en-GB"/>
        </w:rPr>
        <w:t xml:space="preserve"> signed the </w:t>
      </w:r>
      <w:r w:rsidRPr="00BC048A">
        <w:rPr>
          <w:rFonts w:eastAsia="Times New Roman" w:cs="Times New Roman"/>
          <w:noProof/>
          <w:sz w:val="24"/>
          <w:szCs w:val="24"/>
          <w:lang w:val="en-GB"/>
        </w:rPr>
        <w:t>Transforming Relationship Utilising Strategic Technology (TRUST) initiative</w:t>
      </w:r>
      <w:r w:rsidRPr="00BC048A">
        <w:rPr>
          <w:rFonts w:cs="Times New Roman"/>
          <w:noProof/>
          <w:sz w:val="24"/>
          <w:szCs w:val="24"/>
          <w:lang w:val="en-GB"/>
        </w:rPr>
        <w:t>. This initiative focuses on AI, semiconductors, defence, space and biotech</w:t>
      </w:r>
      <w:r>
        <w:rPr>
          <w:rFonts w:cs="Times New Roman"/>
          <w:noProof/>
          <w:sz w:val="24"/>
          <w:szCs w:val="24"/>
          <w:lang w:val="en-GB"/>
        </w:rPr>
        <w:t>.</w:t>
      </w:r>
      <w:r w:rsidRPr="00BC048A">
        <w:rPr>
          <w:rFonts w:cs="Times New Roman"/>
          <w:noProof/>
          <w:sz w:val="24"/>
          <w:szCs w:val="24"/>
          <w:lang w:val="en-GB"/>
        </w:rPr>
        <w:t xml:space="preserve"> </w:t>
      </w:r>
      <w:r>
        <w:rPr>
          <w:rFonts w:cs="Times New Roman"/>
          <w:noProof/>
          <w:sz w:val="24"/>
          <w:szCs w:val="24"/>
          <w:lang w:val="en-GB"/>
        </w:rPr>
        <w:t xml:space="preserve">It </w:t>
      </w:r>
      <w:r w:rsidRPr="00BC048A">
        <w:rPr>
          <w:rFonts w:cs="Times New Roman"/>
          <w:noProof/>
          <w:sz w:val="24"/>
          <w:szCs w:val="24"/>
          <w:lang w:val="en-GB"/>
        </w:rPr>
        <w:t xml:space="preserve">aims to develop manufacturing capacity in India while ensuring resilient supply chains for the United States. It is designed to foster collaboration between governments, academia and the private sector with the aim of promoting the application of critical and emerging technologies in these sectors. Alongside this initiative, a US-India Roadmap on Accelerating AI Infrastructure was </w:t>
      </w:r>
      <w:r>
        <w:rPr>
          <w:rFonts w:cs="Times New Roman"/>
          <w:noProof/>
          <w:sz w:val="24"/>
          <w:szCs w:val="24"/>
          <w:lang w:val="en-GB"/>
        </w:rPr>
        <w:t>drawn up</w:t>
      </w:r>
      <w:r w:rsidRPr="00BC048A">
        <w:rPr>
          <w:rFonts w:cs="Times New Roman"/>
          <w:noProof/>
          <w:sz w:val="24"/>
          <w:szCs w:val="24"/>
          <w:lang w:val="en-GB"/>
        </w:rPr>
        <w:t xml:space="preserve">, targeting the creation of pathways for enabling industry partnerships and investments in next-generation data centres, as well as improving access to compute and processors for AI. The Joint Statement issued following the meeting between </w:t>
      </w:r>
      <w:r w:rsidR="00B76A8B">
        <w:rPr>
          <w:rFonts w:cs="Times New Roman"/>
          <w:noProof/>
          <w:sz w:val="24"/>
          <w:szCs w:val="24"/>
          <w:lang w:val="en-GB"/>
        </w:rPr>
        <w:t>the prime minister of India and the President of the United States</w:t>
      </w:r>
      <w:r w:rsidRPr="00BC048A">
        <w:rPr>
          <w:rFonts w:cs="Times New Roman"/>
          <w:noProof/>
          <w:sz w:val="24"/>
          <w:szCs w:val="24"/>
          <w:lang w:val="en-GB"/>
        </w:rPr>
        <w:t xml:space="preserve"> also announced the launch of the Strategic Mineral Recovery Initiative, a programme dedicated to the recovery and processing of critical minerals such as lithium, cobalt and rare earths. The TRUST initiative was later expanded to include AI infrastructure and critical mineral recovery.</w:t>
      </w:r>
      <w:bookmarkStart w:id="384" w:name="_Toc185239959"/>
      <w:bookmarkStart w:id="385" w:name="_Toc185264726"/>
      <w:bookmarkStart w:id="386" w:name="_Toc185525822"/>
      <w:bookmarkStart w:id="387" w:name="_Toc214539742"/>
    </w:p>
    <w:p w14:paraId="71480765" w14:textId="77777777" w:rsidR="00267A77" w:rsidRPr="00BC048A" w:rsidRDefault="00267A77" w:rsidP="00267A77">
      <w:pPr>
        <w:pStyle w:val="Title3"/>
        <w:spacing w:after="160" w:line="250" w:lineRule="auto"/>
        <w:ind w:left="0"/>
        <w:rPr>
          <w:b w:val="0"/>
          <w:bCs w:val="0"/>
          <w:noProof/>
          <w:szCs w:val="24"/>
          <w:lang w:val="en-GB"/>
        </w:rPr>
      </w:pPr>
      <w:bookmarkStart w:id="388" w:name="_Toc215659838"/>
      <w:bookmarkStart w:id="389" w:name="_Toc220103511"/>
      <w:r w:rsidRPr="00BC048A">
        <w:rPr>
          <w:rStyle w:val="Heading4Char"/>
          <w:rFonts w:ascii="Times New Roman" w:hAnsi="Times New Roman" w:cs="Times New Roman"/>
          <w:b w:val="0"/>
          <w:bCs w:val="0"/>
          <w:noProof/>
          <w:color w:val="auto"/>
          <w:lang w:val="en-GB"/>
        </w:rPr>
        <w:t>United Kingdom</w:t>
      </w:r>
      <w:bookmarkEnd w:id="384"/>
      <w:bookmarkEnd w:id="385"/>
      <w:bookmarkEnd w:id="386"/>
      <w:r w:rsidRPr="00BC048A">
        <w:rPr>
          <w:b w:val="0"/>
          <w:bCs w:val="0"/>
          <w:noProof/>
          <w:szCs w:val="24"/>
          <w:lang w:val="en-GB"/>
        </w:rPr>
        <w:t xml:space="preserve"> </w:t>
      </w:r>
      <w:r w:rsidRPr="00BC048A">
        <w:rPr>
          <w:rFonts w:eastAsia="Franklin Gothic Book"/>
          <w:b w:val="0"/>
          <w:bCs w:val="0"/>
          <w:noProof/>
          <w:szCs w:val="24"/>
          <w:lang w:val="en-GB" w:eastAsia="en-GB"/>
        </w:rPr>
        <w:drawing>
          <wp:inline distT="0" distB="0" distL="0" distR="0" wp14:anchorId="198F6959" wp14:editId="2DC93A59">
            <wp:extent cx="133350" cy="133350"/>
            <wp:effectExtent l="0" t="0" r="0" b="0"/>
            <wp:docPr id="1872900239" name="Picture 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ic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bookmarkEnd w:id="387"/>
      <w:bookmarkEnd w:id="388"/>
      <w:bookmarkEnd w:id="389"/>
    </w:p>
    <w:p w14:paraId="735098E9" w14:textId="77777777"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cs="Times New Roman"/>
          <w:noProof/>
          <w:sz w:val="24"/>
          <w:szCs w:val="24"/>
          <w:lang w:val="en-GB"/>
        </w:rPr>
        <w:t xml:space="preserve">UK-Japan: </w:t>
      </w:r>
    </w:p>
    <w:p w14:paraId="76072025" w14:textId="77777777" w:rsidR="00267A77" w:rsidRPr="00BC048A" w:rsidRDefault="00267A77" w:rsidP="00267A77">
      <w:pPr>
        <w:pStyle w:val="ListParagraph"/>
        <w:numPr>
          <w:ilvl w:val="1"/>
          <w:numId w:val="9"/>
        </w:numPr>
        <w:spacing w:line="250" w:lineRule="auto"/>
        <w:contextualSpacing w:val="0"/>
        <w:jc w:val="both"/>
        <w:rPr>
          <w:rFonts w:eastAsia="Times New Roman" w:cs="Times New Roman"/>
          <w:noProof/>
          <w:sz w:val="24"/>
          <w:szCs w:val="24"/>
          <w:lang w:val="en-GB"/>
        </w:rPr>
      </w:pPr>
      <w:r w:rsidRPr="00BC048A">
        <w:rPr>
          <w:rFonts w:eastAsia="Times New Roman" w:cs="Times New Roman"/>
          <w:noProof/>
          <w:sz w:val="24"/>
          <w:szCs w:val="24"/>
          <w:lang w:val="en-GB"/>
        </w:rPr>
        <w:t xml:space="preserve">In </w:t>
      </w:r>
      <w:r w:rsidRPr="00BC048A">
        <w:rPr>
          <w:rFonts w:cs="Times New Roman"/>
          <w:noProof/>
          <w:sz w:val="24"/>
          <w:szCs w:val="24"/>
          <w:lang w:val="en-GB"/>
        </w:rPr>
        <w:t>March 2025</w:t>
      </w:r>
      <w:r w:rsidRPr="00BC048A">
        <w:rPr>
          <w:rFonts w:eastAsia="Times New Roman" w:cs="Times New Roman"/>
          <w:noProof/>
          <w:sz w:val="24"/>
          <w:szCs w:val="24"/>
          <w:lang w:val="en-GB"/>
        </w:rPr>
        <w:t xml:space="preserve">, the Department for Business and Trade and the Department for Energy Security and Net Zero of the Government of the United Kingdom of Great Britain and Northern Ireland and the Ministry of Economy, Trade and Industry of Japan signed a </w:t>
      </w:r>
      <w:r w:rsidRPr="00BC048A">
        <w:rPr>
          <w:rFonts w:cs="Times New Roman"/>
          <w:noProof/>
          <w:sz w:val="24"/>
          <w:szCs w:val="24"/>
          <w:lang w:val="en-GB"/>
        </w:rPr>
        <w:t>MoU on offshore wind</w:t>
      </w:r>
      <w:r w:rsidRPr="00BC048A">
        <w:rPr>
          <w:rFonts w:eastAsia="Times New Roman" w:cs="Times New Roman"/>
          <w:noProof/>
          <w:sz w:val="24"/>
          <w:szCs w:val="24"/>
          <w:lang w:val="en-GB"/>
        </w:rPr>
        <w:t xml:space="preserve">. The aim of the MoU is to support and encourage collaboration on offshore wind, in particular on exchanging policies and best practices, encouraging activities that help build sustainable supply chain capabilities for offshore wind projects, support bilateral investments and encourage collaboration between industries. </w:t>
      </w:r>
    </w:p>
    <w:p w14:paraId="0A69353D" w14:textId="33551502" w:rsidR="00267A77" w:rsidRPr="00BC048A" w:rsidRDefault="00267A77" w:rsidP="00267A77">
      <w:pPr>
        <w:pStyle w:val="ListParagraph"/>
        <w:numPr>
          <w:ilvl w:val="1"/>
          <w:numId w:val="9"/>
        </w:numPr>
        <w:spacing w:line="250" w:lineRule="auto"/>
        <w:contextualSpacing w:val="0"/>
        <w:jc w:val="both"/>
        <w:rPr>
          <w:rFonts w:cs="Times New Roman"/>
          <w:noProof/>
          <w:sz w:val="24"/>
          <w:szCs w:val="24"/>
          <w:lang w:val="en-GB"/>
        </w:rPr>
      </w:pPr>
      <w:r w:rsidRPr="00BC048A">
        <w:rPr>
          <w:rFonts w:cs="Times New Roman"/>
          <w:noProof/>
          <w:sz w:val="24"/>
          <w:szCs w:val="24"/>
          <w:lang w:val="en-GB"/>
        </w:rPr>
        <w:t xml:space="preserve">In </w:t>
      </w:r>
      <w:r w:rsidRPr="00BC048A">
        <w:rPr>
          <w:rFonts w:eastAsia="Times New Roman" w:cs="Times New Roman"/>
          <w:b/>
          <w:bCs/>
          <w:noProof/>
          <w:sz w:val="24"/>
          <w:szCs w:val="24"/>
          <w:lang w:val="en-GB"/>
        </w:rPr>
        <w:t>March 2025</w:t>
      </w:r>
      <w:r w:rsidRPr="00BC048A">
        <w:rPr>
          <w:rFonts w:cs="Times New Roman"/>
          <w:noProof/>
          <w:sz w:val="24"/>
          <w:szCs w:val="24"/>
          <w:lang w:val="en-GB"/>
        </w:rPr>
        <w:t xml:space="preserve">, the United Kingdom Atomic Energy Authority and the Fukushima Institute for Research, Education and Innovation signed a </w:t>
      </w:r>
      <w:r w:rsidRPr="00BC048A">
        <w:rPr>
          <w:rFonts w:eastAsia="Times New Roman" w:cs="Times New Roman"/>
          <w:b/>
          <w:bCs/>
          <w:noProof/>
          <w:sz w:val="24"/>
          <w:szCs w:val="24"/>
          <w:lang w:val="en-GB"/>
        </w:rPr>
        <w:t>Memorandum of Cooperation on joint research in robotics and autonomous systems</w:t>
      </w:r>
      <w:r w:rsidRPr="00BC048A">
        <w:rPr>
          <w:rFonts w:cs="Times New Roman"/>
          <w:noProof/>
          <w:sz w:val="24"/>
          <w:szCs w:val="24"/>
          <w:lang w:val="en-GB"/>
        </w:rPr>
        <w:t>. The MoC aims to foster collaboration between the two government-funded organisations, mainly on advanced manufacturing, sharing best practices in research institutions, and initiatives to drive partnerships and support talent and skills development.</w:t>
      </w:r>
    </w:p>
    <w:p w14:paraId="012C1A23" w14:textId="77777777" w:rsidR="00267A77" w:rsidRPr="00BC048A" w:rsidRDefault="00267A77" w:rsidP="00267A77">
      <w:pPr>
        <w:pStyle w:val="Title3"/>
        <w:spacing w:after="160" w:line="250" w:lineRule="auto"/>
        <w:ind w:left="0"/>
        <w:rPr>
          <w:b w:val="0"/>
          <w:bCs w:val="0"/>
          <w:noProof/>
          <w:szCs w:val="24"/>
          <w:lang w:val="en-GB"/>
        </w:rPr>
      </w:pPr>
      <w:bookmarkStart w:id="390" w:name="_Toc185239960"/>
      <w:bookmarkStart w:id="391" w:name="_Toc185264727"/>
      <w:bookmarkStart w:id="392" w:name="_Toc185525823"/>
      <w:bookmarkStart w:id="393" w:name="_Toc214539743"/>
      <w:bookmarkStart w:id="394" w:name="_Toc215659839"/>
      <w:bookmarkStart w:id="395" w:name="_Toc220103512"/>
      <w:r w:rsidRPr="00BC048A">
        <w:rPr>
          <w:rStyle w:val="Heading4Char"/>
          <w:rFonts w:ascii="Times New Roman" w:hAnsi="Times New Roman" w:cs="Times New Roman"/>
          <w:b w:val="0"/>
          <w:bCs w:val="0"/>
          <w:noProof/>
          <w:color w:val="auto"/>
          <w:lang w:val="en-GB"/>
        </w:rPr>
        <w:t>Australia</w:t>
      </w:r>
      <w:bookmarkEnd w:id="390"/>
      <w:bookmarkEnd w:id="391"/>
      <w:bookmarkEnd w:id="392"/>
      <w:r w:rsidRPr="00BC048A">
        <w:rPr>
          <w:b w:val="0"/>
          <w:bCs w:val="0"/>
          <w:noProof/>
          <w:szCs w:val="24"/>
          <w:lang w:val="en-GB"/>
        </w:rPr>
        <w:t xml:space="preserve"> </w:t>
      </w:r>
      <w:r w:rsidRPr="00BC048A">
        <w:rPr>
          <w:rFonts w:eastAsia="Franklin Gothic Book"/>
          <w:b w:val="0"/>
          <w:bCs w:val="0"/>
          <w:noProof/>
          <w:szCs w:val="24"/>
          <w:lang w:val="en-GB" w:eastAsia="en-GB"/>
        </w:rPr>
        <w:drawing>
          <wp:inline distT="0" distB="0" distL="0" distR="0" wp14:anchorId="1BD038F5" wp14:editId="1E25D391">
            <wp:extent cx="140400" cy="140400"/>
            <wp:effectExtent l="0" t="0" r="0" b="0"/>
            <wp:docPr id="872798796" name="Picture 1" descr="A flag of australia with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0133" name="Picture 1" descr="A flag of australia with stars&#10;&#10;AI-generated content may be incorrect."/>
                    <pic:cNvPicPr/>
                  </pic:nvPicPr>
                  <pic:blipFill>
                    <a:blip r:embed="rId25"/>
                    <a:stretch>
                      <a:fillRect/>
                    </a:stretch>
                  </pic:blipFill>
                  <pic:spPr>
                    <a:xfrm>
                      <a:off x="0" y="0"/>
                      <a:ext cx="140400" cy="140400"/>
                    </a:xfrm>
                    <a:prstGeom prst="rect">
                      <a:avLst/>
                    </a:prstGeom>
                  </pic:spPr>
                </pic:pic>
              </a:graphicData>
            </a:graphic>
          </wp:inline>
        </w:drawing>
      </w:r>
      <w:bookmarkEnd w:id="393"/>
      <w:bookmarkEnd w:id="394"/>
      <w:bookmarkEnd w:id="395"/>
    </w:p>
    <w:p w14:paraId="13F3744E" w14:textId="27808987" w:rsidR="00267A77" w:rsidRPr="00BC048A" w:rsidRDefault="00267A77" w:rsidP="00267A77">
      <w:pPr>
        <w:pStyle w:val="ListParagraph"/>
        <w:numPr>
          <w:ilvl w:val="0"/>
          <w:numId w:val="9"/>
        </w:numPr>
        <w:spacing w:line="250" w:lineRule="auto"/>
        <w:contextualSpacing w:val="0"/>
        <w:jc w:val="both"/>
        <w:rPr>
          <w:rFonts w:cs="Times New Roman"/>
          <w:noProof/>
          <w:sz w:val="24"/>
          <w:szCs w:val="24"/>
          <w:lang w:val="en-GB"/>
        </w:rPr>
      </w:pPr>
      <w:bookmarkStart w:id="396" w:name="_Toc185239961"/>
      <w:bookmarkStart w:id="397" w:name="_Toc185264728"/>
      <w:r w:rsidRPr="00BC048A">
        <w:rPr>
          <w:rFonts w:cs="Times New Roman"/>
          <w:noProof/>
          <w:sz w:val="24"/>
          <w:szCs w:val="24"/>
          <w:lang w:val="en-GB"/>
        </w:rPr>
        <w:t>Australia-Singapore</w:t>
      </w:r>
      <w:r>
        <w:rPr>
          <w:rFonts w:cs="Times New Roman"/>
          <w:noProof/>
          <w:sz w:val="24"/>
          <w:szCs w:val="24"/>
          <w:lang w:val="en-GB"/>
        </w:rPr>
        <w:t>.</w:t>
      </w:r>
      <w:r w:rsidRPr="00BC048A">
        <w:rPr>
          <w:rFonts w:cs="Times New Roman"/>
          <w:noProof/>
          <w:sz w:val="24"/>
          <w:szCs w:val="24"/>
          <w:lang w:val="en-GB"/>
        </w:rPr>
        <w:t xml:space="preserve"> In October 2025, the two countries updated their Comprehensive Strategic Partnership (CSP). The CSP 2.0 encompasses </w:t>
      </w:r>
      <w:r>
        <w:rPr>
          <w:rFonts w:cs="Times New Roman"/>
          <w:noProof/>
          <w:sz w:val="24"/>
          <w:szCs w:val="24"/>
          <w:lang w:val="en-GB"/>
        </w:rPr>
        <w:t xml:space="preserve">closer </w:t>
      </w:r>
      <w:r w:rsidRPr="00BC048A">
        <w:rPr>
          <w:rFonts w:cs="Times New Roman"/>
          <w:noProof/>
          <w:sz w:val="24"/>
          <w:szCs w:val="24"/>
          <w:lang w:val="en-GB"/>
        </w:rPr>
        <w:t>cooperation in defence, supply chain resilience, green and digital economies, food security, renewable energy and innovation, as well as emerging areas such as artificial intelligence (AI) and space.</w:t>
      </w:r>
      <w:bookmarkStart w:id="398" w:name="_Toc185525824"/>
      <w:bookmarkStart w:id="399" w:name="_Toc214539744"/>
    </w:p>
    <w:p w14:paraId="7DC181AA" w14:textId="77777777" w:rsidR="00267A77" w:rsidRPr="00BC048A" w:rsidRDefault="00267A77" w:rsidP="00267A77">
      <w:pPr>
        <w:pStyle w:val="Title3"/>
        <w:spacing w:after="160" w:line="250" w:lineRule="auto"/>
        <w:ind w:left="0"/>
        <w:rPr>
          <w:b w:val="0"/>
          <w:bCs w:val="0"/>
          <w:noProof/>
          <w:szCs w:val="24"/>
          <w:lang w:val="en-GB"/>
        </w:rPr>
      </w:pPr>
      <w:bookmarkStart w:id="400" w:name="_Toc215659840"/>
      <w:bookmarkStart w:id="401" w:name="_Toc220103513"/>
      <w:r w:rsidRPr="00BC048A">
        <w:rPr>
          <w:rStyle w:val="Heading4Char"/>
          <w:rFonts w:ascii="Times New Roman" w:hAnsi="Times New Roman" w:cs="Times New Roman"/>
          <w:b w:val="0"/>
          <w:bCs w:val="0"/>
          <w:noProof/>
          <w:color w:val="auto"/>
          <w:lang w:val="en-GB"/>
        </w:rPr>
        <w:t>India</w:t>
      </w:r>
      <w:bookmarkEnd w:id="396"/>
      <w:bookmarkEnd w:id="397"/>
      <w:bookmarkEnd w:id="398"/>
      <w:r w:rsidRPr="00BC048A">
        <w:rPr>
          <w:b w:val="0"/>
          <w:bCs w:val="0"/>
          <w:noProof/>
          <w:szCs w:val="24"/>
          <w:lang w:val="en-GB"/>
        </w:rPr>
        <w:t xml:space="preserve"> </w:t>
      </w:r>
      <w:r w:rsidRPr="00BC048A">
        <w:rPr>
          <w:b w:val="0"/>
          <w:bCs w:val="0"/>
          <w:noProof/>
          <w:szCs w:val="24"/>
          <w:lang w:val="en-GB" w:eastAsia="en-GB"/>
        </w:rPr>
        <w:drawing>
          <wp:inline distT="0" distB="0" distL="0" distR="0" wp14:anchorId="2C321CDF" wp14:editId="198A5D86">
            <wp:extent cx="129540" cy="129540"/>
            <wp:effectExtent l="0" t="0" r="3810" b="3810"/>
            <wp:docPr id="14424022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bookmarkEnd w:id="399"/>
      <w:bookmarkEnd w:id="400"/>
      <w:bookmarkEnd w:id="401"/>
    </w:p>
    <w:p w14:paraId="03985E58" w14:textId="7D52DAC1"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India-Canada</w:t>
      </w:r>
      <w:r>
        <w:rPr>
          <w:rFonts w:cs="Times New Roman"/>
          <w:noProof/>
          <w:sz w:val="24"/>
          <w:szCs w:val="24"/>
          <w:lang w:val="en-GB"/>
        </w:rPr>
        <w:t>.</w:t>
      </w:r>
      <w:r w:rsidRPr="00BC048A">
        <w:rPr>
          <w:rFonts w:cs="Times New Roman"/>
          <w:noProof/>
          <w:sz w:val="24"/>
          <w:szCs w:val="24"/>
          <w:lang w:val="en-GB"/>
        </w:rPr>
        <w:t xml:space="preserve"> In November 2025, India and Canada announced long-term partnerships in critical minerals, clean energy and aerospace cooperation. Both sides acknowledged the importance of expanding collaboration in these areas due to their importance for </w:t>
      </w:r>
      <w:r>
        <w:rPr>
          <w:rFonts w:cs="Times New Roman"/>
          <w:noProof/>
          <w:sz w:val="24"/>
          <w:szCs w:val="24"/>
          <w:lang w:val="en-GB"/>
        </w:rPr>
        <w:t xml:space="preserve">the </w:t>
      </w:r>
      <w:r w:rsidRPr="00BC048A">
        <w:rPr>
          <w:rFonts w:cs="Times New Roman"/>
          <w:noProof/>
          <w:sz w:val="24"/>
          <w:szCs w:val="24"/>
          <w:lang w:val="en-GB"/>
        </w:rPr>
        <w:t>energy transition and industrial growth. The details of what the partnerships will consist of in practice are yet to be made public.</w:t>
      </w:r>
    </w:p>
    <w:p w14:paraId="07681057" w14:textId="00CBF96D"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India-Isreal</w:t>
      </w:r>
      <w:r>
        <w:rPr>
          <w:rFonts w:cs="Times New Roman"/>
          <w:noProof/>
          <w:sz w:val="24"/>
          <w:szCs w:val="24"/>
          <w:lang w:val="en-GB"/>
        </w:rPr>
        <w:t>.</w:t>
      </w:r>
      <w:r w:rsidRPr="00BC048A">
        <w:rPr>
          <w:rFonts w:cs="Times New Roman"/>
          <w:noProof/>
          <w:sz w:val="24"/>
          <w:szCs w:val="24"/>
          <w:lang w:val="en-GB"/>
        </w:rPr>
        <w:t xml:space="preserve"> In September 2025, India and Israel signed a bilateral investment treaty </w:t>
      </w:r>
      <w:r>
        <w:rPr>
          <w:rFonts w:cs="Times New Roman"/>
          <w:noProof/>
          <w:sz w:val="24"/>
          <w:szCs w:val="24"/>
          <w:lang w:val="en-GB"/>
        </w:rPr>
        <w:t xml:space="preserve">valued </w:t>
      </w:r>
      <w:r w:rsidRPr="00BC048A">
        <w:rPr>
          <w:rFonts w:cs="Times New Roman"/>
          <w:noProof/>
          <w:sz w:val="24"/>
          <w:szCs w:val="24"/>
          <w:lang w:val="en-GB"/>
        </w:rPr>
        <w:t xml:space="preserve">at USD 800 million, aiming to increase investment between the two nations. The details of the treaty are yet to be made public. </w:t>
      </w:r>
    </w:p>
    <w:p w14:paraId="3E47A030" w14:textId="785192FA"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India-RoW</w:t>
      </w:r>
      <w:r>
        <w:rPr>
          <w:rFonts w:cs="Times New Roman"/>
          <w:noProof/>
          <w:sz w:val="24"/>
          <w:szCs w:val="24"/>
          <w:lang w:val="en-GB"/>
        </w:rPr>
        <w:t>.</w:t>
      </w:r>
      <w:r w:rsidRPr="00BC048A">
        <w:rPr>
          <w:rFonts w:cs="Times New Roman"/>
          <w:noProof/>
          <w:sz w:val="24"/>
          <w:szCs w:val="24"/>
          <w:lang w:val="en-GB"/>
        </w:rPr>
        <w:t xml:space="preserve"> As </w:t>
      </w:r>
      <w:r>
        <w:rPr>
          <w:rFonts w:cs="Times New Roman"/>
          <w:noProof/>
          <w:sz w:val="24"/>
          <w:szCs w:val="24"/>
          <w:lang w:val="en-GB"/>
        </w:rPr>
        <w:t>at</w:t>
      </w:r>
      <w:r w:rsidRPr="00BC048A">
        <w:rPr>
          <w:rFonts w:cs="Times New Roman"/>
          <w:noProof/>
          <w:sz w:val="24"/>
          <w:szCs w:val="24"/>
          <w:lang w:val="en-GB"/>
        </w:rPr>
        <w:t xml:space="preserve"> May 2025, India has signed Mutual Recognition Agreements (MRAs) with the customs authorities of Republic of Korea, Hong Kong, Taiwan, the United States, the United Arab Emirates, Australia and Russia. These MRAs aim to reduce inspection requirements and accelerate customs clearance. </w:t>
      </w:r>
    </w:p>
    <w:p w14:paraId="5CD92F52" w14:textId="1A04E7CB"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India-United Arab Emirates</w:t>
      </w:r>
      <w:r>
        <w:rPr>
          <w:rFonts w:cs="Times New Roman"/>
          <w:noProof/>
          <w:sz w:val="24"/>
          <w:szCs w:val="24"/>
          <w:lang w:val="en-GB"/>
        </w:rPr>
        <w:t>.</w:t>
      </w:r>
      <w:r w:rsidRPr="00BC048A">
        <w:rPr>
          <w:rFonts w:cs="Times New Roman"/>
          <w:noProof/>
          <w:sz w:val="24"/>
          <w:szCs w:val="24"/>
          <w:lang w:val="en-GB"/>
        </w:rPr>
        <w:t xml:space="preserve"> In 2025, India and the United Arab Emirates (UAE) signed eight memoranda of understanding (MoUs) across various strategic sectors. These agreements aim to strengthen collaboration in investment promotion, digital infrastructure, local currency trade, port connectivity, renewable energy and skills development. The MoUs are part of a broader effort to institutionalise economic integration and secure supply chain resilience between the two nations. </w:t>
      </w:r>
    </w:p>
    <w:p w14:paraId="6A5A4F91" w14:textId="034F0E90" w:rsidR="00741837" w:rsidRDefault="00267A77" w:rsidP="3A52483A">
      <w:pPr>
        <w:pStyle w:val="ListParagraph"/>
        <w:numPr>
          <w:ilvl w:val="0"/>
          <w:numId w:val="9"/>
        </w:numPr>
        <w:spacing w:line="250" w:lineRule="auto"/>
        <w:ind w:left="714" w:hanging="357"/>
        <w:contextualSpacing w:val="0"/>
        <w:jc w:val="both"/>
        <w:rPr>
          <w:rFonts w:cs="Times New Roman"/>
          <w:noProof/>
          <w:sz w:val="24"/>
          <w:szCs w:val="24"/>
        </w:rPr>
      </w:pPr>
      <w:r w:rsidRPr="3A52483A">
        <w:rPr>
          <w:rFonts w:cs="Times New Roman"/>
          <w:noProof/>
          <w:sz w:val="24"/>
          <w:szCs w:val="24"/>
        </w:rPr>
        <w:t xml:space="preserve">India-Russia. In 2025, India and Russia agreed on six new strategic investment projects during the 8th India-Russia Working Group session in New Delhi. The projects aim to enhance bilateral investment and expand cooperation across key strategic sectors, as well as to reaffirm the commitment from both sides to deepen their long-standing ‘Special and Privileged Strategic Partnership’. </w:t>
      </w:r>
      <w:bookmarkStart w:id="402" w:name="_Toc185239962"/>
      <w:bookmarkStart w:id="403" w:name="_Toc185264729"/>
      <w:bookmarkStart w:id="404" w:name="_Toc185525825"/>
      <w:bookmarkStart w:id="405" w:name="_Toc214539745"/>
    </w:p>
    <w:p w14:paraId="66B154C9" w14:textId="77777777" w:rsidR="00EA6533" w:rsidRPr="006E0577" w:rsidRDefault="00EA6533" w:rsidP="00741837">
      <w:pPr>
        <w:pStyle w:val="ListParagraph"/>
        <w:spacing w:line="250" w:lineRule="auto"/>
        <w:ind w:left="714"/>
        <w:contextualSpacing w:val="0"/>
        <w:jc w:val="both"/>
        <w:rPr>
          <w:rFonts w:cs="Times New Roman"/>
          <w:noProof/>
          <w:sz w:val="24"/>
          <w:szCs w:val="24"/>
        </w:rPr>
      </w:pPr>
    </w:p>
    <w:p w14:paraId="2ADF547F" w14:textId="77777777" w:rsidR="00741837" w:rsidRPr="00AB3DEC" w:rsidRDefault="00741837" w:rsidP="00AB3DEC">
      <w:pPr>
        <w:pStyle w:val="ListParagraph"/>
        <w:spacing w:line="250" w:lineRule="auto"/>
        <w:ind w:left="714"/>
        <w:contextualSpacing w:val="0"/>
        <w:jc w:val="both"/>
        <w:rPr>
          <w:rFonts w:cs="Times New Roman"/>
          <w:noProof/>
          <w:sz w:val="24"/>
          <w:szCs w:val="24"/>
        </w:rPr>
      </w:pPr>
    </w:p>
    <w:p w14:paraId="011E48B8" w14:textId="77777777" w:rsidR="00267A77" w:rsidRPr="00BC048A" w:rsidRDefault="00267A77" w:rsidP="00267A77">
      <w:pPr>
        <w:pStyle w:val="Title3"/>
        <w:spacing w:after="160" w:line="250" w:lineRule="auto"/>
        <w:ind w:left="0"/>
        <w:rPr>
          <w:b w:val="0"/>
          <w:bCs w:val="0"/>
          <w:noProof/>
          <w:szCs w:val="24"/>
          <w:lang w:val="en-GB"/>
        </w:rPr>
      </w:pPr>
      <w:bookmarkStart w:id="406" w:name="_Toc215659841"/>
      <w:bookmarkStart w:id="407" w:name="_Toc220103514"/>
      <w:r w:rsidRPr="00BC048A">
        <w:rPr>
          <w:rStyle w:val="Heading4Char"/>
          <w:rFonts w:ascii="Times New Roman" w:hAnsi="Times New Roman" w:cs="Times New Roman"/>
          <w:b w:val="0"/>
          <w:bCs w:val="0"/>
          <w:noProof/>
          <w:color w:val="auto"/>
          <w:lang w:val="en-GB"/>
        </w:rPr>
        <w:t>Japan</w:t>
      </w:r>
      <w:bookmarkEnd w:id="402"/>
      <w:bookmarkEnd w:id="403"/>
      <w:bookmarkEnd w:id="404"/>
      <w:r w:rsidRPr="00BC048A">
        <w:rPr>
          <w:b w:val="0"/>
          <w:bCs w:val="0"/>
          <w:noProof/>
          <w:szCs w:val="24"/>
          <w:lang w:val="en-GB"/>
        </w:rPr>
        <w:t xml:space="preserve"> </w:t>
      </w:r>
      <w:r w:rsidRPr="00BC048A">
        <w:rPr>
          <w:b w:val="0"/>
          <w:bCs w:val="0"/>
          <w:noProof/>
          <w:szCs w:val="24"/>
          <w:lang w:val="en-GB" w:eastAsia="en-GB"/>
        </w:rPr>
        <w:drawing>
          <wp:inline distT="0" distB="0" distL="0" distR="0" wp14:anchorId="6C328E3B" wp14:editId="6A87623F">
            <wp:extent cx="146050" cy="146050"/>
            <wp:effectExtent l="0" t="0" r="6350" b="6350"/>
            <wp:docPr id="133041378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bookmarkEnd w:id="405"/>
      <w:bookmarkEnd w:id="406"/>
      <w:bookmarkEnd w:id="407"/>
    </w:p>
    <w:p w14:paraId="01D876F1" w14:textId="17A3841C"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cs="Times New Roman"/>
          <w:noProof/>
          <w:sz w:val="24"/>
          <w:szCs w:val="24"/>
          <w:lang w:val="en-GB"/>
        </w:rPr>
        <w:t>Japan-India</w:t>
      </w:r>
      <w:r>
        <w:rPr>
          <w:rFonts w:cs="Times New Roman"/>
          <w:noProof/>
          <w:sz w:val="24"/>
          <w:szCs w:val="24"/>
          <w:lang w:val="en-GB"/>
        </w:rPr>
        <w:t>.</w:t>
      </w:r>
      <w:r w:rsidRPr="00BC048A">
        <w:rPr>
          <w:rFonts w:eastAsia="Times New Roman" w:cs="Times New Roman"/>
          <w:noProof/>
          <w:sz w:val="24"/>
          <w:szCs w:val="24"/>
          <w:lang w:val="en-GB"/>
        </w:rPr>
        <w:t xml:space="preserve"> </w:t>
      </w:r>
      <w:r>
        <w:rPr>
          <w:rFonts w:eastAsia="Times New Roman" w:cs="Times New Roman"/>
          <w:noProof/>
          <w:sz w:val="24"/>
          <w:szCs w:val="24"/>
          <w:lang w:val="en-GB"/>
        </w:rPr>
        <w:t xml:space="preserve">At </w:t>
      </w:r>
      <w:r w:rsidRPr="00BC048A">
        <w:rPr>
          <w:rFonts w:eastAsia="Times New Roman" w:cs="Times New Roman"/>
          <w:noProof/>
          <w:sz w:val="24"/>
          <w:szCs w:val="24"/>
          <w:lang w:val="en-GB"/>
        </w:rPr>
        <w:t xml:space="preserve">their </w:t>
      </w:r>
      <w:r>
        <w:rPr>
          <w:rFonts w:eastAsia="Times New Roman" w:cs="Times New Roman"/>
          <w:noProof/>
          <w:sz w:val="24"/>
          <w:szCs w:val="24"/>
          <w:lang w:val="en-GB"/>
        </w:rPr>
        <w:t>s</w:t>
      </w:r>
      <w:r w:rsidRPr="00BC048A">
        <w:rPr>
          <w:rFonts w:eastAsia="Times New Roman" w:cs="Times New Roman"/>
          <w:noProof/>
          <w:sz w:val="24"/>
          <w:szCs w:val="24"/>
          <w:lang w:val="en-GB"/>
        </w:rPr>
        <w:t xml:space="preserve">ummit </w:t>
      </w:r>
      <w:r>
        <w:rPr>
          <w:rFonts w:eastAsia="Times New Roman" w:cs="Times New Roman"/>
          <w:noProof/>
          <w:sz w:val="24"/>
          <w:szCs w:val="24"/>
          <w:lang w:val="en-GB"/>
        </w:rPr>
        <w:t>m</w:t>
      </w:r>
      <w:r w:rsidRPr="00BC048A">
        <w:rPr>
          <w:rFonts w:eastAsia="Times New Roman" w:cs="Times New Roman"/>
          <w:noProof/>
          <w:sz w:val="24"/>
          <w:szCs w:val="24"/>
          <w:lang w:val="en-GB"/>
        </w:rPr>
        <w:t xml:space="preserve">eeting in </w:t>
      </w:r>
      <w:r w:rsidRPr="00BC048A">
        <w:rPr>
          <w:rFonts w:cs="Times New Roman"/>
          <w:noProof/>
          <w:sz w:val="24"/>
          <w:szCs w:val="24"/>
          <w:lang w:val="en-GB"/>
        </w:rPr>
        <w:t>August 2025</w:t>
      </w:r>
      <w:r w:rsidRPr="00BC048A">
        <w:rPr>
          <w:rFonts w:eastAsia="Times New Roman" w:cs="Times New Roman"/>
          <w:noProof/>
          <w:sz w:val="24"/>
          <w:szCs w:val="24"/>
          <w:lang w:val="en-GB"/>
        </w:rPr>
        <w:t xml:space="preserve">, Japan and India announced the </w:t>
      </w:r>
      <w:r w:rsidRPr="00BC048A">
        <w:rPr>
          <w:rFonts w:cs="Times New Roman"/>
          <w:noProof/>
          <w:sz w:val="24"/>
          <w:szCs w:val="24"/>
          <w:lang w:val="en-GB"/>
        </w:rPr>
        <w:t>Japan-India Economic Security Initiative</w:t>
      </w:r>
      <w:r w:rsidRPr="00BC048A">
        <w:rPr>
          <w:rFonts w:eastAsia="Times New Roman" w:cs="Times New Roman"/>
          <w:noProof/>
          <w:sz w:val="24"/>
          <w:szCs w:val="24"/>
          <w:lang w:val="en-GB"/>
        </w:rPr>
        <w:t xml:space="preserve">. The initiative encourages businesses to invest in and collaborate on projects across six key sectors: semiconductors, critical minerals, telecommunications, clean energy, pharmaceuticals and advanced technologies like AI. Both countries released a factsheet detailing ongoing partnership projects and highlighted the public funds </w:t>
      </w:r>
      <w:r>
        <w:rPr>
          <w:rFonts w:eastAsia="Times New Roman" w:cs="Times New Roman"/>
          <w:noProof/>
          <w:sz w:val="24"/>
          <w:szCs w:val="24"/>
          <w:lang w:val="en-GB"/>
        </w:rPr>
        <w:t xml:space="preserve">available </w:t>
      </w:r>
      <w:r w:rsidRPr="00BC048A">
        <w:rPr>
          <w:rFonts w:eastAsia="Times New Roman" w:cs="Times New Roman"/>
          <w:noProof/>
          <w:sz w:val="24"/>
          <w:szCs w:val="24"/>
          <w:lang w:val="en-GB"/>
        </w:rPr>
        <w:t xml:space="preserve">to provide financial backing and the forums </w:t>
      </w:r>
      <w:r>
        <w:rPr>
          <w:rFonts w:eastAsia="Times New Roman" w:cs="Times New Roman"/>
          <w:noProof/>
          <w:sz w:val="24"/>
          <w:szCs w:val="24"/>
          <w:lang w:val="en-GB"/>
        </w:rPr>
        <w:t xml:space="preserve">created </w:t>
      </w:r>
      <w:r w:rsidRPr="00BC048A">
        <w:rPr>
          <w:rFonts w:eastAsia="Times New Roman" w:cs="Times New Roman"/>
          <w:noProof/>
          <w:sz w:val="24"/>
          <w:szCs w:val="24"/>
          <w:lang w:val="en-GB"/>
        </w:rPr>
        <w:t xml:space="preserve">with businesses and experts to follow up on their commitments. The initiative aims to strengthen cooperation in economic security and includes support for the entire supply chain, from research and innovation to procurement. </w:t>
      </w:r>
    </w:p>
    <w:p w14:paraId="6857A296" w14:textId="3FD453D8"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BC048A">
        <w:rPr>
          <w:rFonts w:cs="Times New Roman"/>
          <w:noProof/>
          <w:sz w:val="24"/>
          <w:szCs w:val="24"/>
          <w:lang w:val="en-GB"/>
        </w:rPr>
        <w:t>Japan-Brazil</w:t>
      </w:r>
      <w:r>
        <w:rPr>
          <w:rFonts w:cs="Times New Roman"/>
          <w:noProof/>
          <w:sz w:val="24"/>
          <w:szCs w:val="24"/>
          <w:lang w:val="en-GB"/>
        </w:rPr>
        <w:t>.</w:t>
      </w:r>
      <w:r w:rsidRPr="00BC048A">
        <w:rPr>
          <w:rFonts w:cs="Times New Roman"/>
          <w:noProof/>
          <w:sz w:val="24"/>
          <w:szCs w:val="24"/>
          <w:lang w:val="en-GB"/>
        </w:rPr>
        <w:t xml:space="preserve"> </w:t>
      </w:r>
      <w:r w:rsidRPr="00BC048A">
        <w:rPr>
          <w:rFonts w:eastAsia="Times New Roman" w:cs="Times New Roman"/>
          <w:noProof/>
          <w:sz w:val="24"/>
          <w:szCs w:val="24"/>
          <w:lang w:val="en-GB"/>
        </w:rPr>
        <w:t xml:space="preserve">In </w:t>
      </w:r>
      <w:r w:rsidRPr="00BC048A">
        <w:rPr>
          <w:rFonts w:cs="Times New Roman"/>
          <w:noProof/>
          <w:sz w:val="24"/>
          <w:szCs w:val="24"/>
          <w:lang w:val="en-GB"/>
        </w:rPr>
        <w:t>March</w:t>
      </w:r>
      <w:r w:rsidRPr="00BC048A">
        <w:rPr>
          <w:rFonts w:eastAsia="Times New Roman" w:cs="Times New Roman"/>
          <w:noProof/>
          <w:sz w:val="24"/>
          <w:szCs w:val="24"/>
          <w:lang w:val="en-GB"/>
        </w:rPr>
        <w:t xml:space="preserve"> </w:t>
      </w:r>
      <w:r w:rsidRPr="00BC048A">
        <w:rPr>
          <w:rFonts w:cs="Times New Roman"/>
          <w:noProof/>
          <w:sz w:val="24"/>
          <w:szCs w:val="24"/>
          <w:lang w:val="en-GB"/>
        </w:rPr>
        <w:t>2025,</w:t>
      </w:r>
      <w:r w:rsidRPr="00BC048A">
        <w:rPr>
          <w:rFonts w:eastAsia="Times New Roman" w:cs="Times New Roman"/>
          <w:noProof/>
          <w:sz w:val="24"/>
          <w:szCs w:val="24"/>
          <w:lang w:val="en-GB"/>
        </w:rPr>
        <w:t xml:space="preserve"> Japan and Brazil signed a </w:t>
      </w:r>
      <w:r w:rsidRPr="00BC048A">
        <w:rPr>
          <w:rFonts w:cs="Times New Roman"/>
          <w:noProof/>
          <w:sz w:val="24"/>
          <w:szCs w:val="24"/>
          <w:lang w:val="en-GB"/>
        </w:rPr>
        <w:t>five-year action plan to strengthen their strategic partnership</w:t>
      </w:r>
      <w:r w:rsidRPr="00BC048A">
        <w:rPr>
          <w:rFonts w:eastAsia="Times New Roman" w:cs="Times New Roman"/>
          <w:noProof/>
          <w:sz w:val="24"/>
          <w:szCs w:val="24"/>
          <w:lang w:val="en-GB"/>
        </w:rPr>
        <w:t>. The plan includes holding reciprocal leader visits once every two years and a new consultative framework for senior officials to discuss diplomatic and defence</w:t>
      </w:r>
      <w:r>
        <w:rPr>
          <w:rFonts w:eastAsia="Times New Roman" w:cs="Times New Roman"/>
          <w:noProof/>
          <w:sz w:val="24"/>
          <w:szCs w:val="24"/>
          <w:lang w:val="en-GB"/>
        </w:rPr>
        <w:t>-</w:t>
      </w:r>
      <w:r w:rsidRPr="00BC048A">
        <w:rPr>
          <w:rFonts w:eastAsia="Times New Roman" w:cs="Times New Roman"/>
          <w:noProof/>
          <w:sz w:val="24"/>
          <w:szCs w:val="24"/>
          <w:lang w:val="en-GB"/>
        </w:rPr>
        <w:t>related issues.</w:t>
      </w:r>
      <w:r w:rsidRPr="00BC048A">
        <w:rPr>
          <w:rFonts w:cs="Times New Roman"/>
          <w:noProof/>
          <w:sz w:val="24"/>
          <w:szCs w:val="24"/>
          <w:lang w:val="en-GB"/>
        </w:rPr>
        <w:t xml:space="preserve"> </w:t>
      </w:r>
      <w:r w:rsidRPr="00BC048A">
        <w:rPr>
          <w:rFonts w:eastAsia="Times New Roman" w:cs="Times New Roman"/>
          <w:noProof/>
          <w:sz w:val="24"/>
          <w:szCs w:val="24"/>
          <w:lang w:val="en-GB"/>
        </w:rPr>
        <w:t>The initiative aims to</w:t>
      </w:r>
      <w:r w:rsidRPr="00BC048A">
        <w:rPr>
          <w:rFonts w:cs="Times New Roman"/>
          <w:noProof/>
          <w:sz w:val="24"/>
          <w:szCs w:val="24"/>
          <w:lang w:val="en-GB"/>
        </w:rPr>
        <w:t xml:space="preserve"> </w:t>
      </w:r>
      <w:r w:rsidRPr="00BC048A">
        <w:rPr>
          <w:rFonts w:eastAsia="Times New Roman" w:cs="Times New Roman"/>
          <w:noProof/>
          <w:sz w:val="24"/>
          <w:szCs w:val="24"/>
          <w:lang w:val="en-GB"/>
        </w:rPr>
        <w:t xml:space="preserve">strengthen cooperation in areas like the economy, climate change and security. </w:t>
      </w:r>
      <w:bookmarkStart w:id="408" w:name="_Toc185239963"/>
      <w:bookmarkStart w:id="409" w:name="_Toc185264730"/>
      <w:bookmarkStart w:id="410" w:name="_Toc185525826"/>
      <w:bookmarkStart w:id="411" w:name="_Toc214539746"/>
    </w:p>
    <w:p w14:paraId="05055230" w14:textId="77777777" w:rsidR="00267A77" w:rsidRPr="00BC048A" w:rsidRDefault="00267A77" w:rsidP="00267A77">
      <w:pPr>
        <w:pStyle w:val="Title3"/>
        <w:spacing w:after="160" w:line="250" w:lineRule="auto"/>
        <w:ind w:left="0"/>
        <w:rPr>
          <w:b w:val="0"/>
          <w:bCs w:val="0"/>
          <w:noProof/>
          <w:szCs w:val="24"/>
          <w:lang w:val="en-GB"/>
        </w:rPr>
      </w:pPr>
      <w:bookmarkStart w:id="412" w:name="_Toc215659842"/>
      <w:bookmarkStart w:id="413" w:name="_Toc220103515"/>
      <w:r w:rsidRPr="00BC048A">
        <w:rPr>
          <w:rStyle w:val="Heading4Char"/>
          <w:rFonts w:ascii="Times New Roman" w:hAnsi="Times New Roman" w:cs="Times New Roman"/>
          <w:b w:val="0"/>
          <w:bCs w:val="0"/>
          <w:noProof/>
          <w:color w:val="auto"/>
          <w:lang w:val="en-GB"/>
        </w:rPr>
        <w:t>Republic of Korea</w:t>
      </w:r>
      <w:bookmarkEnd w:id="408"/>
      <w:bookmarkEnd w:id="409"/>
      <w:bookmarkEnd w:id="410"/>
      <w:r w:rsidRPr="00BC048A">
        <w:rPr>
          <w:b w:val="0"/>
          <w:bCs w:val="0"/>
          <w:noProof/>
          <w:szCs w:val="24"/>
          <w:lang w:val="en-GB"/>
        </w:rPr>
        <w:t xml:space="preserve"> </w:t>
      </w:r>
      <w:r w:rsidRPr="00BC048A">
        <w:rPr>
          <w:b w:val="0"/>
          <w:bCs w:val="0"/>
          <w:noProof/>
          <w:szCs w:val="24"/>
          <w:lang w:val="en-GB" w:eastAsia="en-GB"/>
        </w:rPr>
        <w:drawing>
          <wp:inline distT="0" distB="0" distL="0" distR="0" wp14:anchorId="66D0EB9E" wp14:editId="77EBF957">
            <wp:extent cx="133350" cy="133350"/>
            <wp:effectExtent l="0" t="0" r="0" b="0"/>
            <wp:docPr id="13027052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bookmarkEnd w:id="411"/>
      <w:bookmarkEnd w:id="412"/>
      <w:bookmarkEnd w:id="413"/>
    </w:p>
    <w:p w14:paraId="382E9FB4" w14:textId="7A87C5C0" w:rsidR="00267A77" w:rsidRPr="00BC048A" w:rsidRDefault="00267A77" w:rsidP="00267A77">
      <w:pPr>
        <w:pStyle w:val="ListParagraph"/>
        <w:numPr>
          <w:ilvl w:val="0"/>
          <w:numId w:val="9"/>
        </w:numPr>
        <w:spacing w:line="250" w:lineRule="auto"/>
        <w:contextualSpacing w:val="0"/>
        <w:jc w:val="both"/>
        <w:rPr>
          <w:rFonts w:cs="Times New Roman"/>
          <w:noProof/>
          <w:sz w:val="24"/>
          <w:szCs w:val="24"/>
          <w:lang w:val="en-GB"/>
        </w:rPr>
      </w:pPr>
      <w:r w:rsidRPr="00BC048A">
        <w:rPr>
          <w:rFonts w:cs="Times New Roman"/>
          <w:noProof/>
          <w:sz w:val="24"/>
          <w:szCs w:val="24"/>
          <w:lang w:val="en-GB"/>
        </w:rPr>
        <w:t>Republic of Korea-India</w:t>
      </w:r>
      <w:r>
        <w:rPr>
          <w:rFonts w:cs="Times New Roman"/>
          <w:noProof/>
          <w:sz w:val="24"/>
          <w:szCs w:val="24"/>
          <w:lang w:val="en-GB"/>
        </w:rPr>
        <w:t>.</w:t>
      </w:r>
      <w:r w:rsidRPr="00BC048A">
        <w:rPr>
          <w:rFonts w:cs="Times New Roman"/>
          <w:noProof/>
          <w:sz w:val="24"/>
          <w:szCs w:val="24"/>
          <w:lang w:val="en-GB"/>
        </w:rPr>
        <w:t xml:space="preserve"> In August 2025, India and </w:t>
      </w:r>
      <w:r>
        <w:rPr>
          <w:rFonts w:cs="Times New Roman"/>
          <w:noProof/>
          <w:sz w:val="24"/>
          <w:szCs w:val="24"/>
          <w:lang w:val="en-GB"/>
        </w:rPr>
        <w:t xml:space="preserve">the </w:t>
      </w:r>
      <w:r w:rsidRPr="00BC048A">
        <w:rPr>
          <w:rFonts w:cs="Times New Roman"/>
          <w:noProof/>
          <w:sz w:val="24"/>
          <w:szCs w:val="24"/>
          <w:lang w:val="en-GB"/>
        </w:rPr>
        <w:t xml:space="preserve">Republic of Korea resolved to expand their strategic partnership to </w:t>
      </w:r>
      <w:r>
        <w:rPr>
          <w:rFonts w:cs="Times New Roman"/>
          <w:noProof/>
          <w:sz w:val="24"/>
          <w:szCs w:val="24"/>
          <w:lang w:val="en-GB"/>
        </w:rPr>
        <w:t xml:space="preserve">cover </w:t>
      </w:r>
      <w:r w:rsidRPr="00BC048A">
        <w:rPr>
          <w:rFonts w:cs="Times New Roman"/>
          <w:noProof/>
          <w:sz w:val="24"/>
          <w:szCs w:val="24"/>
          <w:lang w:val="en-GB"/>
        </w:rPr>
        <w:t xml:space="preserve">new industrial sectors such as semiconductors, defence, clean energy and artificial intelligence. </w:t>
      </w:r>
      <w:bookmarkStart w:id="414" w:name="_Toc214539747"/>
    </w:p>
    <w:p w14:paraId="6FB192EE" w14:textId="77777777" w:rsidR="00267A77" w:rsidRPr="00BC048A" w:rsidRDefault="00267A77" w:rsidP="00267A77">
      <w:pPr>
        <w:pStyle w:val="Title3"/>
        <w:spacing w:after="160" w:line="250" w:lineRule="auto"/>
        <w:ind w:left="0"/>
        <w:rPr>
          <w:b w:val="0"/>
          <w:bCs w:val="0"/>
          <w:noProof/>
          <w:szCs w:val="24"/>
          <w:lang w:val="en-GB"/>
        </w:rPr>
      </w:pPr>
      <w:bookmarkStart w:id="415" w:name="_Toc215659843"/>
      <w:bookmarkStart w:id="416" w:name="_Toc220103516"/>
      <w:r w:rsidRPr="00BC048A">
        <w:rPr>
          <w:rStyle w:val="Heading4Char"/>
          <w:rFonts w:ascii="Times New Roman" w:hAnsi="Times New Roman" w:cs="Times New Roman"/>
          <w:b w:val="0"/>
          <w:bCs w:val="0"/>
          <w:noProof/>
          <w:color w:val="auto"/>
          <w:lang w:val="en-GB"/>
        </w:rPr>
        <w:t xml:space="preserve">Vietnam </w:t>
      </w:r>
      <w:r w:rsidRPr="00BC048A">
        <w:rPr>
          <w:rFonts w:eastAsia="Franklin Gothic Book"/>
          <w:b w:val="0"/>
          <w:bCs w:val="0"/>
          <w:noProof/>
          <w:szCs w:val="24"/>
          <w:lang w:val="en-GB" w:eastAsia="en-GB"/>
        </w:rPr>
        <mc:AlternateContent>
          <mc:Choice Requires="wps">
            <w:drawing>
              <wp:inline distT="0" distB="0" distL="0" distR="0" wp14:anchorId="32C982DB" wp14:editId="22DCFDA9">
                <wp:extent cx="147711" cy="138093"/>
                <wp:effectExtent l="0" t="0" r="5080" b="0"/>
                <wp:docPr id="176253320" name="Oval 10"/>
                <wp:cNvGraphicFramePr/>
                <a:graphic xmlns:a="http://schemas.openxmlformats.org/drawingml/2006/main">
                  <a:graphicData uri="http://schemas.microsoft.com/office/word/2010/wordprocessingShape">
                    <wps:wsp>
                      <wps:cNvSpPr/>
                      <wps:spPr>
                        <a:xfrm>
                          <a:off x="0" y="0"/>
                          <a:ext cx="147711" cy="138093"/>
                        </a:xfrm>
                        <a:prstGeom prst="ellipse">
                          <a:avLst/>
                        </a:prstGeom>
                        <a:blipFill dpi="0" rotWithShape="1">
                          <a:blip r:embed="rId34"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svg="http://schemas.microsoft.com/office/drawing/2016/SVG/main" xmlns:pic="http://schemas.openxmlformats.org/drawingml/2006/picture" xmlns:a14="http://schemas.microsoft.com/office/drawing/2010/main" xmlns:a="http://schemas.openxmlformats.org/drawingml/2006/main">
            <w:pict>
              <v:oval id="Oval 10" style="width:11.65pt;height:10.85pt;visibility:visible;mso-wrap-style:square;mso-left-percent:-10001;mso-top-percent:-10001;mso-position-horizontal:absolute;mso-position-horizontal-relative:char;mso-position-vertical:absolute;mso-position-vertical-relative:line;mso-left-percent:-10001;mso-top-percent:-10001;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" w14:anchorId="47D9D7CF">
                <v:fill type="frame" o:title="" recolor="t" rotate="t" r:id="rId35"/>
                <v:stroke joinstyle="miter"/>
                <w10:anchorlock/>
              </v:oval>
            </w:pict>
          </mc:Fallback>
        </mc:AlternateContent>
      </w:r>
      <w:bookmarkEnd w:id="414"/>
      <w:bookmarkEnd w:id="415"/>
      <w:bookmarkEnd w:id="416"/>
    </w:p>
    <w:p w14:paraId="0A5EACCD" w14:textId="65F2B252" w:rsidR="00267A77" w:rsidRPr="00BC048A" w:rsidRDefault="00267A77" w:rsidP="3A52483A">
      <w:pPr>
        <w:pStyle w:val="ListParagraph"/>
        <w:numPr>
          <w:ilvl w:val="0"/>
          <w:numId w:val="9"/>
        </w:numPr>
        <w:spacing w:line="250" w:lineRule="auto"/>
        <w:contextualSpacing w:val="0"/>
        <w:jc w:val="both"/>
        <w:rPr>
          <w:rFonts w:cs="Times New Roman"/>
          <w:noProof/>
          <w:sz w:val="24"/>
          <w:szCs w:val="24"/>
        </w:rPr>
      </w:pPr>
      <w:r w:rsidRPr="3A52483A">
        <w:rPr>
          <w:rFonts w:cs="Times New Roman"/>
          <w:noProof/>
          <w:sz w:val="24"/>
          <w:szCs w:val="24"/>
        </w:rPr>
        <w:t xml:space="preserve">Vietnam-Thailand. In May 2025, Thailand and Vietnam upgraded their relationship to a Comprehensive Strategic Partnership. The two countries agreed to map out the ‘Three Connects’ plan in three main areas: supply chains, particularly in industries such as petrochemicals, food, electronics, logistics and semiconductors; local economies; and sustainable development, including green economy, renewable energy and the transition to a digital economy. The aim of the partnership is to promote the value chains between the two countries and advance growth. In July 2025, the two countries agreed to develop an action programme to implement the comprehensive partnership over the 2026-2030 period with concrete initiatives. It was also mentioned that a joint working group would be put in place to execute the ‘Three Connects’. </w:t>
      </w:r>
    </w:p>
    <w:p w14:paraId="6D17DD28" w14:textId="77777777" w:rsidR="00267A77" w:rsidRPr="00BC048A" w:rsidRDefault="00267A77" w:rsidP="00267A77">
      <w:pPr>
        <w:spacing w:after="160" w:line="250" w:lineRule="auto"/>
        <w:ind w:left="360"/>
        <w:jc w:val="both"/>
        <w:rPr>
          <w:rFonts w:cs="Times New Roman"/>
          <w:noProof/>
          <w:sz w:val="24"/>
          <w:szCs w:val="24"/>
        </w:rPr>
      </w:pPr>
    </w:p>
    <w:p w14:paraId="478C3992" w14:textId="77777777" w:rsidR="00267A77" w:rsidRPr="00BC048A" w:rsidRDefault="00267A77" w:rsidP="00267A77">
      <w:pPr>
        <w:pStyle w:val="Heading3"/>
        <w:spacing w:before="0" w:after="160" w:line="250" w:lineRule="auto"/>
        <w:rPr>
          <w:rFonts w:ascii="Times New Roman" w:hAnsi="Times New Roman"/>
          <w:b/>
          <w:bCs/>
          <w:noProof/>
        </w:rPr>
      </w:pPr>
      <w:bookmarkStart w:id="417" w:name="_Toc185239964"/>
      <w:bookmarkStart w:id="418" w:name="_Toc185264731"/>
      <w:bookmarkStart w:id="419" w:name="_Toc185525827"/>
      <w:bookmarkStart w:id="420" w:name="_Toc215659844"/>
      <w:bookmarkStart w:id="421" w:name="_Toc220103517"/>
      <w:r w:rsidRPr="00BC048A">
        <w:rPr>
          <w:rFonts w:ascii="Times New Roman" w:hAnsi="Times New Roman"/>
          <w:b/>
          <w:bCs/>
          <w:noProof/>
          <w:color w:val="auto"/>
        </w:rPr>
        <w:t>PLURILATERAL AND MULTILATERAL PARTNERSHIPS</w:t>
      </w:r>
      <w:bookmarkEnd w:id="417"/>
      <w:bookmarkEnd w:id="418"/>
      <w:bookmarkEnd w:id="419"/>
      <w:bookmarkEnd w:id="420"/>
      <w:bookmarkEnd w:id="421"/>
    </w:p>
    <w:p w14:paraId="6989818F" w14:textId="6D867C1A"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cs="Times New Roman"/>
          <w:noProof/>
          <w:sz w:val="24"/>
          <w:szCs w:val="24"/>
          <w:lang w:val="en-GB"/>
        </w:rPr>
        <w:t>Japan-India-Africa</w:t>
      </w:r>
      <w:r>
        <w:rPr>
          <w:rFonts w:cs="Times New Roman"/>
          <w:noProof/>
          <w:sz w:val="24"/>
          <w:szCs w:val="24"/>
          <w:lang w:val="en-GB"/>
        </w:rPr>
        <w:t>.</w:t>
      </w:r>
      <w:r w:rsidRPr="00BC048A">
        <w:rPr>
          <w:rFonts w:eastAsia="Times New Roman" w:cs="Times New Roman"/>
          <w:noProof/>
          <w:sz w:val="24"/>
          <w:szCs w:val="24"/>
          <w:lang w:val="en-GB"/>
        </w:rPr>
        <w:t xml:space="preserve"> In </w:t>
      </w:r>
      <w:r w:rsidRPr="00BC048A">
        <w:rPr>
          <w:rFonts w:cs="Times New Roman"/>
          <w:noProof/>
          <w:sz w:val="24"/>
          <w:szCs w:val="24"/>
          <w:lang w:val="en-GB"/>
        </w:rPr>
        <w:t>February 2025</w:t>
      </w:r>
      <w:r w:rsidRPr="00BC048A">
        <w:rPr>
          <w:rFonts w:eastAsia="Times New Roman" w:cs="Times New Roman"/>
          <w:noProof/>
          <w:sz w:val="24"/>
          <w:szCs w:val="24"/>
          <w:lang w:val="en-GB"/>
        </w:rPr>
        <w:t xml:space="preserve">, in the context of the Japan-India-Africa Business Forum, the </w:t>
      </w:r>
      <w:r w:rsidRPr="00BC048A">
        <w:rPr>
          <w:rFonts w:cs="Times New Roman"/>
          <w:noProof/>
          <w:sz w:val="24"/>
          <w:szCs w:val="24"/>
          <w:lang w:val="en-GB"/>
        </w:rPr>
        <w:t>Japan-India Cooperation Initiative for Sustainable Economic Development in Africa</w:t>
      </w:r>
      <w:r w:rsidRPr="00BC048A">
        <w:rPr>
          <w:rFonts w:eastAsia="Times New Roman" w:cs="Times New Roman"/>
          <w:noProof/>
          <w:sz w:val="24"/>
          <w:szCs w:val="24"/>
          <w:lang w:val="en-GB"/>
        </w:rPr>
        <w:t xml:space="preserve"> was launched. This initiative aims t</w:t>
      </w:r>
      <w:r>
        <w:rPr>
          <w:rFonts w:eastAsia="Times New Roman" w:cs="Times New Roman"/>
          <w:noProof/>
          <w:sz w:val="24"/>
          <w:szCs w:val="24"/>
          <w:lang w:val="en-GB"/>
        </w:rPr>
        <w:t>o</w:t>
      </w:r>
      <w:r w:rsidRPr="00BC048A">
        <w:rPr>
          <w:rFonts w:eastAsia="Times New Roman" w:cs="Times New Roman"/>
          <w:noProof/>
          <w:sz w:val="24"/>
          <w:szCs w:val="24"/>
          <w:lang w:val="en-GB"/>
        </w:rPr>
        <w:t xml:space="preserve"> promot</w:t>
      </w:r>
      <w:r>
        <w:rPr>
          <w:rFonts w:eastAsia="Times New Roman" w:cs="Times New Roman"/>
          <w:noProof/>
          <w:sz w:val="24"/>
          <w:szCs w:val="24"/>
          <w:lang w:val="en-GB"/>
        </w:rPr>
        <w:t>e</w:t>
      </w:r>
      <w:r w:rsidRPr="00BC048A">
        <w:rPr>
          <w:rFonts w:eastAsia="Times New Roman" w:cs="Times New Roman"/>
          <w:noProof/>
          <w:sz w:val="24"/>
          <w:szCs w:val="24"/>
          <w:lang w:val="en-GB"/>
        </w:rPr>
        <w:t xml:space="preserve"> Japanese investment in India as a business hub to facilitate Japanese private</w:t>
      </w:r>
      <w:r>
        <w:rPr>
          <w:rFonts w:eastAsia="Times New Roman" w:cs="Times New Roman"/>
          <w:noProof/>
          <w:sz w:val="24"/>
          <w:szCs w:val="24"/>
          <w:lang w:val="en-GB"/>
        </w:rPr>
        <w:t>-</w:t>
      </w:r>
      <w:r w:rsidRPr="00BC048A">
        <w:rPr>
          <w:rFonts w:eastAsia="Times New Roman" w:cs="Times New Roman"/>
          <w:noProof/>
          <w:sz w:val="24"/>
          <w:szCs w:val="24"/>
          <w:lang w:val="en-GB"/>
        </w:rPr>
        <w:t xml:space="preserve">sector investments in Africa, and </w:t>
      </w:r>
      <w:r>
        <w:rPr>
          <w:rFonts w:eastAsia="Times New Roman" w:cs="Times New Roman"/>
          <w:noProof/>
          <w:sz w:val="24"/>
          <w:szCs w:val="24"/>
          <w:lang w:val="en-GB"/>
        </w:rPr>
        <w:t xml:space="preserve">to </w:t>
      </w:r>
      <w:r w:rsidRPr="00BC048A">
        <w:rPr>
          <w:rFonts w:eastAsia="Times New Roman" w:cs="Times New Roman"/>
          <w:noProof/>
          <w:sz w:val="24"/>
          <w:szCs w:val="24"/>
          <w:lang w:val="en-GB"/>
        </w:rPr>
        <w:t>incorporat</w:t>
      </w:r>
      <w:r>
        <w:rPr>
          <w:rFonts w:eastAsia="Times New Roman" w:cs="Times New Roman"/>
          <w:noProof/>
          <w:sz w:val="24"/>
          <w:szCs w:val="24"/>
          <w:lang w:val="en-GB"/>
        </w:rPr>
        <w:t>e</w:t>
      </w:r>
      <w:r w:rsidRPr="00BC048A">
        <w:rPr>
          <w:rFonts w:eastAsia="Times New Roman" w:cs="Times New Roman"/>
          <w:noProof/>
          <w:sz w:val="24"/>
          <w:szCs w:val="24"/>
          <w:lang w:val="en-GB"/>
        </w:rPr>
        <w:t xml:space="preserve"> the Indian and African markets into Japan</w:t>
      </w:r>
      <w:r>
        <w:rPr>
          <w:rFonts w:eastAsia="Times New Roman" w:cs="Times New Roman"/>
          <w:noProof/>
          <w:sz w:val="24"/>
          <w:szCs w:val="24"/>
          <w:lang w:val="en-GB"/>
        </w:rPr>
        <w:t>’</w:t>
      </w:r>
      <w:r w:rsidRPr="00BC048A">
        <w:rPr>
          <w:rFonts w:eastAsia="Times New Roman" w:cs="Times New Roman"/>
          <w:noProof/>
          <w:sz w:val="24"/>
          <w:szCs w:val="24"/>
          <w:lang w:val="en-GB"/>
        </w:rPr>
        <w:t>s economic activities. It focuses on technological and human resource development, and includes developing the African critical mineral supply chain.</w:t>
      </w:r>
    </w:p>
    <w:p w14:paraId="5B3C3DE3" w14:textId="41AD818E" w:rsidR="00267A77" w:rsidRPr="00BC048A" w:rsidRDefault="00267A77" w:rsidP="00267A77">
      <w:pPr>
        <w:pStyle w:val="ListParagraph"/>
        <w:numPr>
          <w:ilvl w:val="0"/>
          <w:numId w:val="9"/>
        </w:numPr>
        <w:spacing w:line="250" w:lineRule="auto"/>
        <w:ind w:left="714" w:hanging="357"/>
        <w:contextualSpacing w:val="0"/>
        <w:jc w:val="both"/>
        <w:rPr>
          <w:rFonts w:eastAsia="Times New Roman" w:cs="Times New Roman"/>
          <w:noProof/>
          <w:sz w:val="24"/>
          <w:szCs w:val="24"/>
          <w:lang w:val="en-GB"/>
        </w:rPr>
      </w:pPr>
      <w:r w:rsidRPr="00BC048A">
        <w:rPr>
          <w:rFonts w:cs="Times New Roman"/>
          <w:noProof/>
          <w:sz w:val="24"/>
          <w:szCs w:val="24"/>
          <w:lang w:val="en-GB"/>
        </w:rPr>
        <w:t>United States-Japan-India-Australia</w:t>
      </w:r>
      <w:r>
        <w:rPr>
          <w:rFonts w:cs="Times New Roman"/>
          <w:noProof/>
          <w:sz w:val="24"/>
          <w:szCs w:val="24"/>
          <w:lang w:val="en-GB"/>
        </w:rPr>
        <w:t>.</w:t>
      </w:r>
      <w:r w:rsidRPr="00BC048A">
        <w:rPr>
          <w:rFonts w:eastAsia="Times New Roman" w:cs="Times New Roman"/>
          <w:noProof/>
          <w:sz w:val="24"/>
          <w:szCs w:val="24"/>
          <w:lang w:val="en-GB"/>
        </w:rPr>
        <w:t xml:space="preserve"> In </w:t>
      </w:r>
      <w:r w:rsidRPr="00BC048A">
        <w:rPr>
          <w:rFonts w:cs="Times New Roman"/>
          <w:noProof/>
          <w:sz w:val="24"/>
          <w:szCs w:val="24"/>
          <w:lang w:val="en-GB"/>
        </w:rPr>
        <w:t>July 2025</w:t>
      </w:r>
      <w:r w:rsidRPr="00BC048A">
        <w:rPr>
          <w:rFonts w:eastAsia="Times New Roman" w:cs="Times New Roman"/>
          <w:noProof/>
          <w:sz w:val="24"/>
          <w:szCs w:val="24"/>
          <w:lang w:val="en-GB"/>
        </w:rPr>
        <w:t xml:space="preserve">, the United States, Japan, India and Australia formally launched the </w:t>
      </w:r>
      <w:r w:rsidRPr="00BC048A">
        <w:rPr>
          <w:rFonts w:cs="Times New Roman"/>
          <w:noProof/>
          <w:sz w:val="24"/>
          <w:szCs w:val="24"/>
          <w:lang w:val="en-GB"/>
        </w:rPr>
        <w:t>Quad Critical Minerals Initiative</w:t>
      </w:r>
      <w:r w:rsidRPr="00BC048A">
        <w:rPr>
          <w:rFonts w:eastAsia="Times New Roman" w:cs="Times New Roman"/>
          <w:noProof/>
          <w:sz w:val="24"/>
          <w:szCs w:val="24"/>
          <w:lang w:val="en-GB"/>
        </w:rPr>
        <w:t xml:space="preserve">. The initiative aims to build collective resilience and economic security by promoting i) joint efforts to secure and diversify global supply chains for lithium, nickel, graphite and other critical minerals; ii) </w:t>
      </w:r>
      <w:r>
        <w:rPr>
          <w:rFonts w:eastAsia="Times New Roman" w:cs="Times New Roman"/>
          <w:noProof/>
          <w:sz w:val="24"/>
          <w:szCs w:val="24"/>
          <w:lang w:val="en-GB"/>
        </w:rPr>
        <w:t>closer</w:t>
      </w:r>
      <w:r w:rsidRPr="00BC048A">
        <w:rPr>
          <w:rFonts w:eastAsia="Times New Roman" w:cs="Times New Roman"/>
          <w:noProof/>
          <w:sz w:val="24"/>
          <w:szCs w:val="24"/>
          <w:lang w:val="en-GB"/>
        </w:rPr>
        <w:t xml:space="preserve"> cooperation on electronic waste recycling, critical mineral recovery, and reprocessing; iii) coordination with private</w:t>
      </w:r>
      <w:r>
        <w:rPr>
          <w:rFonts w:eastAsia="Times New Roman" w:cs="Times New Roman"/>
          <w:noProof/>
          <w:sz w:val="24"/>
          <w:szCs w:val="24"/>
          <w:lang w:val="en-GB"/>
        </w:rPr>
        <w:t>-</w:t>
      </w:r>
      <w:r w:rsidRPr="00BC048A">
        <w:rPr>
          <w:rFonts w:eastAsia="Times New Roman" w:cs="Times New Roman"/>
          <w:noProof/>
          <w:sz w:val="24"/>
          <w:szCs w:val="24"/>
          <w:lang w:val="en-GB"/>
        </w:rPr>
        <w:t xml:space="preserve">sector partners across Quad countries to facilitate </w:t>
      </w:r>
      <w:r>
        <w:rPr>
          <w:rFonts w:eastAsia="Times New Roman" w:cs="Times New Roman"/>
          <w:noProof/>
          <w:sz w:val="24"/>
          <w:szCs w:val="24"/>
          <w:lang w:val="en-GB"/>
        </w:rPr>
        <w:t xml:space="preserve">greater </w:t>
      </w:r>
      <w:r w:rsidRPr="00BC048A">
        <w:rPr>
          <w:rFonts w:eastAsia="Times New Roman" w:cs="Times New Roman"/>
          <w:noProof/>
          <w:sz w:val="24"/>
          <w:szCs w:val="24"/>
          <w:lang w:val="en-GB"/>
        </w:rPr>
        <w:t xml:space="preserve">investment in upstream and midstream segments; and iv) engagement with third </w:t>
      </w:r>
      <w:r>
        <w:rPr>
          <w:rFonts w:eastAsia="Times New Roman" w:cs="Times New Roman"/>
          <w:noProof/>
          <w:sz w:val="24"/>
          <w:szCs w:val="24"/>
          <w:lang w:val="en-GB"/>
        </w:rPr>
        <w:t xml:space="preserve">(non-EU) </w:t>
      </w:r>
      <w:r w:rsidRPr="00BC048A">
        <w:rPr>
          <w:rFonts w:eastAsia="Times New Roman" w:cs="Times New Roman"/>
          <w:noProof/>
          <w:sz w:val="24"/>
          <w:szCs w:val="24"/>
          <w:lang w:val="en-GB"/>
        </w:rPr>
        <w:t>countries, including in Africa. The initiative is part of broader effort to diversify and secure critical mineral supply chains essential for clean energy, defence and high-tech applications, particularly vis-à-vis China’s dominant role and recent coercive action.</w:t>
      </w:r>
    </w:p>
    <w:p w14:paraId="311F1FBB" w14:textId="6CEC6F48" w:rsidR="00267A77" w:rsidRPr="00BC048A" w:rsidRDefault="00267A77" w:rsidP="00267A77">
      <w:pPr>
        <w:pStyle w:val="ListParagraph"/>
        <w:numPr>
          <w:ilvl w:val="0"/>
          <w:numId w:val="9"/>
        </w:numPr>
        <w:spacing w:line="250" w:lineRule="auto"/>
        <w:ind w:left="714" w:hanging="357"/>
        <w:contextualSpacing w:val="0"/>
        <w:jc w:val="both"/>
        <w:rPr>
          <w:rFonts w:cs="Times New Roman"/>
          <w:noProof/>
          <w:sz w:val="24"/>
          <w:szCs w:val="24"/>
          <w:lang w:val="en-GB"/>
        </w:rPr>
      </w:pPr>
      <w:r w:rsidRPr="00EC17DB">
        <w:rPr>
          <w:rFonts w:cs="Times New Roman"/>
          <w:noProof/>
          <w:sz w:val="24"/>
          <w:szCs w:val="24"/>
          <w:lang w:val="it-IT"/>
        </w:rPr>
        <w:t xml:space="preserve">India-Sri Lanka-United Arab Emirates. </w:t>
      </w:r>
      <w:r w:rsidRPr="00BC048A">
        <w:rPr>
          <w:rFonts w:cs="Times New Roman"/>
          <w:noProof/>
          <w:sz w:val="24"/>
          <w:szCs w:val="24"/>
          <w:lang w:val="en-GB"/>
        </w:rPr>
        <w:t>In April 2025, Sri Lanka, India and the UAE signed a tripartite agreement to develop an energy hub in Trincomalee. The agreement includes the construction of a multi-product pipeline and the development of a World War II-era oil tank farm, partially held by the Sri Lankan subsidiary of the Indian Oil Corporation.</w:t>
      </w:r>
    </w:p>
    <w:p w14:paraId="121122DA" w14:textId="77777777" w:rsidR="00267A77" w:rsidRPr="00BC048A" w:rsidRDefault="00267A77" w:rsidP="00267A77">
      <w:pPr>
        <w:spacing w:after="160" w:line="250" w:lineRule="auto"/>
        <w:jc w:val="both"/>
        <w:rPr>
          <w:rFonts w:ascii="Times New Roman" w:hAnsi="Times New Roman" w:cs="Times New Roman"/>
          <w:noProof/>
        </w:rPr>
      </w:pPr>
    </w:p>
    <w:bookmarkEnd w:id="174"/>
    <w:p w14:paraId="1E62916E" w14:textId="77777777" w:rsidR="00A56BEA" w:rsidRPr="00BC048A" w:rsidRDefault="00A56BEA" w:rsidP="00A56BEA">
      <w:pPr>
        <w:spacing w:after="160" w:line="250" w:lineRule="auto"/>
        <w:jc w:val="both"/>
        <w:rPr>
          <w:rFonts w:ascii="Times New Roman" w:eastAsia="Times New Roman" w:hAnsi="Times New Roman" w:cs="Times New Roman"/>
          <w:noProof/>
          <w:sz w:val="24"/>
          <w:szCs w:val="24"/>
        </w:rPr>
      </w:pPr>
    </w:p>
    <w:p w14:paraId="51A0299E" w14:textId="77777777" w:rsidR="00267A77" w:rsidRDefault="00267A77" w:rsidP="00A56BEA">
      <w:pPr>
        <w:spacing w:after="160" w:line="250" w:lineRule="auto"/>
        <w:jc w:val="both"/>
        <w:rPr>
          <w:rFonts w:ascii="Times New Roman" w:eastAsia="Times New Roman" w:hAnsi="Times New Roman" w:cs="Times New Roman"/>
          <w:b/>
          <w:noProof/>
          <w:sz w:val="24"/>
          <w:szCs w:val="24"/>
        </w:rPr>
      </w:pPr>
    </w:p>
    <w:p w14:paraId="67C5BE13" w14:textId="77777777" w:rsidR="00267A77" w:rsidRDefault="00267A77" w:rsidP="00A56BEA">
      <w:pPr>
        <w:spacing w:after="160" w:line="250" w:lineRule="auto"/>
        <w:jc w:val="both"/>
        <w:rPr>
          <w:rFonts w:ascii="Times New Roman" w:eastAsia="Times New Roman" w:hAnsi="Times New Roman" w:cs="Times New Roman"/>
          <w:b/>
          <w:noProof/>
          <w:sz w:val="24"/>
          <w:szCs w:val="24"/>
        </w:rPr>
      </w:pPr>
    </w:p>
    <w:p w14:paraId="733A3E12" w14:textId="5B1157E2" w:rsidR="00884241" w:rsidRPr="00742E8C" w:rsidRDefault="00884241" w:rsidP="00742E8C">
      <w:pPr>
        <w:pStyle w:val="Source"/>
        <w:spacing w:after="0" w:line="240" w:lineRule="auto"/>
        <w:rPr>
          <w:noProof/>
          <w:color w:val="auto"/>
          <w:sz w:val="18"/>
          <w:szCs w:val="18"/>
          <w:lang w:val="en-IE"/>
        </w:rPr>
      </w:pPr>
    </w:p>
    <w:sectPr w:rsidR="00884241" w:rsidRPr="00742E8C" w:rsidSect="0069005D">
      <w:headerReference w:type="default" r:id="rId136"/>
      <w:footerReference w:type="default" r:id="rId137"/>
      <w:endnotePr>
        <w:numFmt w:val="decimal"/>
      </w:endnotePr>
      <w:type w:val="continuous"/>
      <w:pgSz w:w="11906" w:h="16838"/>
      <w:pgMar w:top="1440" w:right="1440" w:bottom="1418" w:left="1440" w:header="709" w:footer="1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62AC2" w14:textId="77777777" w:rsidR="00B25D07" w:rsidRDefault="00B25D07">
      <w:pPr>
        <w:spacing w:after="0" w:line="240" w:lineRule="auto"/>
      </w:pPr>
      <w:r>
        <w:separator/>
      </w:r>
    </w:p>
  </w:endnote>
  <w:endnote w:type="continuationSeparator" w:id="0">
    <w:p w14:paraId="1C1C204B" w14:textId="77777777" w:rsidR="00B25D07" w:rsidRDefault="00B25D07">
      <w:pPr>
        <w:spacing w:after="0" w:line="240" w:lineRule="auto"/>
      </w:pPr>
      <w:r>
        <w:continuationSeparator/>
      </w:r>
    </w:p>
  </w:endnote>
  <w:endnote w:type="continuationNotice" w:id="1">
    <w:p w14:paraId="38AB1E4C" w14:textId="77777777" w:rsidR="00B25D07" w:rsidRDefault="00B25D07">
      <w:pPr>
        <w:spacing w:after="0" w:line="240" w:lineRule="auto"/>
      </w:pPr>
    </w:p>
  </w:endnote>
  <w:endnote w:id="2">
    <w:p w14:paraId="1FC541C0" w14:textId="71C57F8E" w:rsidR="002423EE" w:rsidRPr="00EC17DB" w:rsidRDefault="002423EE">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006D6623" w:rsidRPr="00F7658E">
        <w:rPr>
          <w:rFonts w:ascii="Times New Roman" w:hAnsi="Times New Roman" w:cs="Times New Roman"/>
          <w:sz w:val="18"/>
          <w:szCs w:val="18"/>
        </w:rPr>
        <w:t>COM</w:t>
      </w:r>
      <w:r w:rsidR="00E0678E">
        <w:rPr>
          <w:rFonts w:ascii="Times New Roman" w:hAnsi="Times New Roman" w:cs="Times New Roman"/>
          <w:sz w:val="18"/>
          <w:szCs w:val="18"/>
        </w:rPr>
        <w:t>(</w:t>
      </w:r>
      <w:r w:rsidR="006D6623" w:rsidRPr="00F7658E">
        <w:rPr>
          <w:rFonts w:ascii="Times New Roman" w:hAnsi="Times New Roman" w:cs="Times New Roman"/>
          <w:sz w:val="18"/>
          <w:szCs w:val="18"/>
        </w:rPr>
        <w:t>2025</w:t>
      </w:r>
      <w:r w:rsidR="00E0678E">
        <w:rPr>
          <w:rFonts w:ascii="Times New Roman" w:hAnsi="Times New Roman" w:cs="Times New Roman"/>
          <w:sz w:val="18"/>
          <w:szCs w:val="18"/>
        </w:rPr>
        <w:t>)</w:t>
      </w:r>
      <w:r w:rsidR="006D6623" w:rsidRPr="00F7658E">
        <w:rPr>
          <w:rFonts w:ascii="Times New Roman" w:hAnsi="Times New Roman" w:cs="Times New Roman"/>
          <w:sz w:val="18"/>
          <w:szCs w:val="18"/>
        </w:rPr>
        <w:t>30 final</w:t>
      </w:r>
      <w:r w:rsidR="00EA7A53">
        <w:rPr>
          <w:rFonts w:ascii="Times New Roman" w:hAnsi="Times New Roman" w:cs="Times New Roman"/>
          <w:sz w:val="18"/>
          <w:szCs w:val="18"/>
        </w:rPr>
        <w:t>.</w:t>
      </w:r>
    </w:p>
  </w:endnote>
  <w:endnote w:id="3">
    <w:p w14:paraId="4715035D" w14:textId="257D680C" w:rsidR="006D6623" w:rsidRPr="00EC17DB" w:rsidRDefault="006D6623">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270 final</w:t>
      </w:r>
      <w:r w:rsidR="00EA7A53">
        <w:rPr>
          <w:rFonts w:ascii="Times New Roman" w:hAnsi="Times New Roman" w:cs="Times New Roman"/>
          <w:sz w:val="18"/>
          <w:szCs w:val="18"/>
        </w:rPr>
        <w:t>.</w:t>
      </w:r>
    </w:p>
  </w:endnote>
  <w:endnote w:id="4">
    <w:p w14:paraId="1A1D23D1" w14:textId="1AAD42BB" w:rsidR="004A410B" w:rsidRPr="00EC17DB" w:rsidRDefault="004A410B">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165 final</w:t>
      </w:r>
      <w:r w:rsidR="00EA7A53">
        <w:rPr>
          <w:rFonts w:ascii="Times New Roman" w:hAnsi="Times New Roman" w:cs="Times New Roman"/>
          <w:sz w:val="18"/>
          <w:szCs w:val="18"/>
        </w:rPr>
        <w:t>.</w:t>
      </w:r>
    </w:p>
  </w:endnote>
  <w:endnote w:id="5">
    <w:p w14:paraId="4228DB4D" w14:textId="3175C3E6" w:rsidR="00D05CE2" w:rsidRPr="00EC17DB" w:rsidRDefault="00D05CE2">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723 final</w:t>
      </w:r>
      <w:r w:rsidR="00EA7A53">
        <w:rPr>
          <w:rFonts w:ascii="Times New Roman" w:hAnsi="Times New Roman" w:cs="Times New Roman"/>
          <w:sz w:val="18"/>
          <w:szCs w:val="18"/>
        </w:rPr>
        <w:t>.</w:t>
      </w:r>
    </w:p>
  </w:endnote>
  <w:endnote w:id="6">
    <w:p w14:paraId="348330D9" w14:textId="5B31730B" w:rsidR="00300253" w:rsidRPr="00EC17DB" w:rsidRDefault="00300253">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724 final</w:t>
      </w:r>
      <w:r w:rsidR="00EA7A53">
        <w:rPr>
          <w:rFonts w:ascii="Times New Roman" w:hAnsi="Times New Roman" w:cs="Times New Roman"/>
          <w:sz w:val="18"/>
          <w:szCs w:val="18"/>
        </w:rPr>
        <w:t>.</w:t>
      </w:r>
    </w:p>
  </w:endnote>
  <w:endnote w:id="7">
    <w:p w14:paraId="3414A39C" w14:textId="472015CC" w:rsidR="00300253" w:rsidRPr="00EC17DB" w:rsidRDefault="00300253">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835 final</w:t>
      </w:r>
      <w:r w:rsidR="00EA7A53">
        <w:rPr>
          <w:rFonts w:ascii="Times New Roman" w:hAnsi="Times New Roman" w:cs="Times New Roman"/>
          <w:sz w:val="18"/>
          <w:szCs w:val="18"/>
        </w:rPr>
        <w:t>.</w:t>
      </w:r>
    </w:p>
  </w:endnote>
  <w:endnote w:id="8">
    <w:p w14:paraId="6B1E9825" w14:textId="68A9C232" w:rsidR="00200721" w:rsidRPr="00EC17DB" w:rsidRDefault="00200721">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363 final</w:t>
      </w:r>
      <w:r w:rsidR="00EA7A53">
        <w:rPr>
          <w:rFonts w:ascii="Times New Roman" w:hAnsi="Times New Roman" w:cs="Times New Roman"/>
          <w:sz w:val="18"/>
          <w:szCs w:val="18"/>
        </w:rPr>
        <w:t>.</w:t>
      </w:r>
    </w:p>
  </w:endnote>
  <w:endnote w:id="9">
    <w:p w14:paraId="68E4B776" w14:textId="534786EA" w:rsidR="00EF10D4" w:rsidRPr="00EC17DB" w:rsidRDefault="00EF10D4">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1022 final</w:t>
      </w:r>
      <w:r w:rsidR="00EA7A53">
        <w:rPr>
          <w:rFonts w:ascii="Times New Roman" w:hAnsi="Times New Roman" w:cs="Times New Roman"/>
          <w:sz w:val="18"/>
          <w:szCs w:val="18"/>
        </w:rPr>
        <w:t>.</w:t>
      </w:r>
    </w:p>
  </w:endnote>
  <w:endnote w:id="10">
    <w:p w14:paraId="70C27504" w14:textId="2F0A824B" w:rsidR="002C7692" w:rsidRPr="00EC17DB" w:rsidRDefault="002C7692">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960 final</w:t>
      </w:r>
      <w:r w:rsidR="00EA7A53">
        <w:rPr>
          <w:rFonts w:ascii="Times New Roman" w:hAnsi="Times New Roman" w:cs="Times New Roman"/>
          <w:sz w:val="18"/>
          <w:szCs w:val="18"/>
        </w:rPr>
        <w:t>.</w:t>
      </w:r>
    </w:p>
  </w:endnote>
  <w:endnote w:id="11">
    <w:p w14:paraId="73DB7FBB" w14:textId="2F25A964" w:rsidR="00942564" w:rsidRPr="00EC17DB" w:rsidRDefault="00942564">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525 final</w:t>
      </w:r>
      <w:r w:rsidR="00EA7A53">
        <w:rPr>
          <w:rFonts w:ascii="Times New Roman" w:hAnsi="Times New Roman" w:cs="Times New Roman"/>
          <w:sz w:val="18"/>
          <w:szCs w:val="18"/>
        </w:rPr>
        <w:t>.</w:t>
      </w:r>
    </w:p>
  </w:endnote>
  <w:endnote w:id="12">
    <w:p w14:paraId="74899598" w14:textId="78E3E3DC" w:rsidR="00F45A8C" w:rsidRPr="00EC17DB" w:rsidRDefault="00F45A8C">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335 final</w:t>
      </w:r>
      <w:r w:rsidR="00EA7A53">
        <w:rPr>
          <w:rFonts w:ascii="Times New Roman" w:hAnsi="Times New Roman" w:cs="Times New Roman"/>
          <w:sz w:val="18"/>
          <w:szCs w:val="18"/>
        </w:rPr>
        <w:t>.</w:t>
      </w:r>
    </w:p>
  </w:endnote>
  <w:endnote w:id="13">
    <w:p w14:paraId="289A74D6" w14:textId="6970F0CA" w:rsidR="000E3E1C" w:rsidRPr="006E0577" w:rsidRDefault="000E3E1C">
      <w:pPr>
        <w:pStyle w:val="EndnoteText"/>
        <w:rPr>
          <w:rFonts w:ascii="Times New Roman" w:hAnsi="Times New Roman" w:cs="Times New Roman"/>
          <w:sz w:val="18"/>
          <w:szCs w:val="18"/>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hyperlink r:id="rId1" w:history="1">
        <w:r w:rsidRPr="006E0577">
          <w:rPr>
            <w:rStyle w:val="Hyperlink"/>
            <w:rFonts w:ascii="Times New Roman" w:hAnsi="Times New Roman" w:cs="Times New Roman"/>
            <w:sz w:val="18"/>
            <w:szCs w:val="18"/>
          </w:rPr>
          <w:t>Proposal for a Regulation for the Digital Networks Act (DNA) | Shaping Europe’s digital future</w:t>
        </w:r>
      </w:hyperlink>
      <w:r w:rsidRPr="006E0577">
        <w:rPr>
          <w:rFonts w:ascii="Times New Roman" w:hAnsi="Times New Roman" w:cs="Times New Roman"/>
          <w:sz w:val="18"/>
          <w:szCs w:val="18"/>
        </w:rPr>
        <w:t xml:space="preserve"> </w:t>
      </w:r>
    </w:p>
  </w:endnote>
  <w:endnote w:id="14">
    <w:p w14:paraId="06C33702" w14:textId="053EAC43" w:rsidR="00617412" w:rsidRPr="00EC17DB" w:rsidRDefault="00617412">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85 final</w:t>
      </w:r>
      <w:r w:rsidR="00EA7A53">
        <w:rPr>
          <w:rFonts w:ascii="Times New Roman" w:hAnsi="Times New Roman" w:cs="Times New Roman"/>
          <w:sz w:val="18"/>
          <w:szCs w:val="18"/>
        </w:rPr>
        <w:t>.</w:t>
      </w:r>
    </w:p>
  </w:endnote>
  <w:endnote w:id="15">
    <w:p w14:paraId="6FCB6902" w14:textId="13B9788A" w:rsidR="002D7DA4" w:rsidRPr="00EC17DB" w:rsidRDefault="002D7DA4">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EC17DB">
        <w:rPr>
          <w:rFonts w:ascii="Times New Roman" w:hAnsi="Times New Roman" w:cs="Times New Roman"/>
          <w:sz w:val="18"/>
          <w:szCs w:val="18"/>
          <w:lang w:val="en-IE"/>
        </w:rPr>
        <w:t>COM(2025) 79 final</w:t>
      </w:r>
      <w:r w:rsidR="00EA7A53">
        <w:rPr>
          <w:rFonts w:ascii="Times New Roman" w:hAnsi="Times New Roman" w:cs="Times New Roman"/>
          <w:sz w:val="18"/>
          <w:szCs w:val="18"/>
          <w:lang w:val="en-IE"/>
        </w:rPr>
        <w:t>.</w:t>
      </w:r>
    </w:p>
  </w:endnote>
  <w:endnote w:id="16">
    <w:p w14:paraId="4C0DC727" w14:textId="3B7A6D39" w:rsidR="00296787" w:rsidRPr="00EC17DB" w:rsidRDefault="00296787">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1005 final</w:t>
      </w:r>
      <w:r w:rsidR="00EA7A53">
        <w:rPr>
          <w:rFonts w:ascii="Times New Roman" w:hAnsi="Times New Roman" w:cs="Times New Roman"/>
          <w:sz w:val="18"/>
          <w:szCs w:val="18"/>
        </w:rPr>
        <w:t>.</w:t>
      </w:r>
    </w:p>
  </w:endnote>
  <w:endnote w:id="17">
    <w:p w14:paraId="1D433A52" w14:textId="40BB62FF" w:rsidR="00B26561" w:rsidRPr="00EC17DB" w:rsidRDefault="00B26561">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C/2025</w:t>
      </w:r>
      <w:r w:rsidR="0099146D">
        <w:rPr>
          <w:rFonts w:ascii="Times New Roman" w:hAnsi="Times New Roman" w:cs="Times New Roman"/>
          <w:sz w:val="18"/>
          <w:szCs w:val="18"/>
        </w:rPr>
        <w:t>/</w:t>
      </w:r>
      <w:r w:rsidRPr="00EC17DB">
        <w:rPr>
          <w:rFonts w:ascii="Times New Roman" w:hAnsi="Times New Roman" w:cs="Times New Roman"/>
          <w:sz w:val="18"/>
          <w:szCs w:val="18"/>
        </w:rPr>
        <w:t>3602</w:t>
      </w:r>
      <w:r w:rsidR="0099146D">
        <w:rPr>
          <w:rFonts w:ascii="Times New Roman" w:hAnsi="Times New Roman" w:cs="Times New Roman"/>
          <w:sz w:val="18"/>
          <w:szCs w:val="18"/>
        </w:rPr>
        <w:t>.</w:t>
      </w:r>
    </w:p>
  </w:endnote>
  <w:endnote w:id="18">
    <w:p w14:paraId="393AF9FA" w14:textId="366B64AE" w:rsidR="009E0FC2" w:rsidRPr="00EC17DB" w:rsidRDefault="009E0FC2">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125 final</w:t>
      </w:r>
      <w:r w:rsidR="0099146D">
        <w:rPr>
          <w:rFonts w:ascii="Times New Roman" w:hAnsi="Times New Roman" w:cs="Times New Roman"/>
          <w:sz w:val="18"/>
          <w:szCs w:val="18"/>
        </w:rPr>
        <w:t>.</w:t>
      </w:r>
    </w:p>
  </w:endnote>
  <w:endnote w:id="19">
    <w:p w14:paraId="70F1C2C2" w14:textId="5371E7DD" w:rsidR="001B2E41" w:rsidRPr="00EC17DB" w:rsidRDefault="001B2E41">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530 final</w:t>
      </w:r>
      <w:r w:rsidR="0099146D">
        <w:rPr>
          <w:rFonts w:ascii="Times New Roman" w:hAnsi="Times New Roman" w:cs="Times New Roman"/>
          <w:sz w:val="18"/>
          <w:szCs w:val="18"/>
        </w:rPr>
        <w:t>.</w:t>
      </w:r>
    </w:p>
  </w:endnote>
  <w:endnote w:id="20">
    <w:p w14:paraId="20324071" w14:textId="6AB7EABB" w:rsidR="001B2E41" w:rsidRPr="00EC17DB" w:rsidRDefault="001B2E41">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6E0577">
        <w:rPr>
          <w:rFonts w:ascii="Times New Roman" w:hAnsi="Times New Roman" w:cs="Times New Roman"/>
          <w:sz w:val="18"/>
          <w:szCs w:val="18"/>
        </w:rPr>
        <w:t>COM(2025)526</w:t>
      </w:r>
      <w:r w:rsidRPr="001F38B5">
        <w:rPr>
          <w:rFonts w:ascii="Times New Roman" w:hAnsi="Times New Roman" w:cs="Times New Roman"/>
          <w:sz w:val="18"/>
          <w:szCs w:val="18"/>
        </w:rPr>
        <w:t xml:space="preserve"> (adopted), </w:t>
      </w:r>
      <w:r w:rsidRPr="006E0577">
        <w:rPr>
          <w:rFonts w:ascii="Times New Roman" w:hAnsi="Times New Roman" w:cs="Times New Roman"/>
          <w:sz w:val="18"/>
          <w:szCs w:val="18"/>
        </w:rPr>
        <w:t>COM(2025)531</w:t>
      </w:r>
      <w:r w:rsidR="0099146D">
        <w:rPr>
          <w:rFonts w:ascii="Times New Roman" w:hAnsi="Times New Roman" w:cs="Times New Roman"/>
          <w:sz w:val="18"/>
          <w:szCs w:val="18"/>
        </w:rPr>
        <w:t>.</w:t>
      </w:r>
    </w:p>
  </w:endnote>
  <w:endnote w:id="21">
    <w:p w14:paraId="0DAB3B89" w14:textId="7D4A6C57" w:rsidR="00754568" w:rsidRPr="00EC17DB" w:rsidRDefault="00754568">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95 final</w:t>
      </w:r>
      <w:r w:rsidR="0099146D">
        <w:rPr>
          <w:rFonts w:ascii="Times New Roman" w:hAnsi="Times New Roman" w:cs="Times New Roman"/>
          <w:sz w:val="18"/>
          <w:szCs w:val="18"/>
        </w:rPr>
        <w:t>.</w:t>
      </w:r>
    </w:p>
  </w:endnote>
  <w:endnote w:id="22">
    <w:p w14:paraId="3D44EE14" w14:textId="7B796537" w:rsidR="001D456A" w:rsidRPr="00EC17DB" w:rsidRDefault="001D456A">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664 final</w:t>
      </w:r>
      <w:r w:rsidR="0099146D">
        <w:rPr>
          <w:rFonts w:ascii="Times New Roman" w:hAnsi="Times New Roman" w:cs="Times New Roman"/>
          <w:sz w:val="18"/>
          <w:szCs w:val="18"/>
        </w:rPr>
        <w:t>.</w:t>
      </w:r>
    </w:p>
  </w:endnote>
  <w:endnote w:id="23">
    <w:p w14:paraId="784224DE" w14:textId="2880A9E3" w:rsidR="004818A5" w:rsidRPr="00EC17DB" w:rsidRDefault="004818A5">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903 final</w:t>
      </w:r>
      <w:r w:rsidR="0099146D">
        <w:rPr>
          <w:rFonts w:ascii="Times New Roman" w:hAnsi="Times New Roman" w:cs="Times New Roman"/>
          <w:sz w:val="18"/>
          <w:szCs w:val="18"/>
        </w:rPr>
        <w:t>.</w:t>
      </w:r>
    </w:p>
  </w:endnote>
  <w:endnote w:id="24">
    <w:p w14:paraId="1831D3AC" w14:textId="77777777" w:rsidR="003E45AE" w:rsidRPr="001D74EB" w:rsidRDefault="003E45AE" w:rsidP="003E45AE">
      <w:pPr>
        <w:pStyle w:val="EndnoteText"/>
        <w:rPr>
          <w:rFonts w:ascii="Times New Roman" w:hAnsi="Times New Roman" w:cs="Times New Roman"/>
          <w:sz w:val="18"/>
          <w:szCs w:val="18"/>
        </w:rPr>
      </w:pPr>
      <w:r w:rsidRPr="001D74EB">
        <w:rPr>
          <w:rStyle w:val="EndnoteReference"/>
          <w:rFonts w:ascii="Times New Roman" w:hAnsi="Times New Roman" w:cs="Times New Roman"/>
          <w:sz w:val="18"/>
          <w:szCs w:val="18"/>
        </w:rPr>
        <w:endnoteRef/>
      </w:r>
      <w:r>
        <w:rPr>
          <w:rFonts w:ascii="Times New Roman" w:hAnsi="Times New Roman" w:cs="Times New Roman"/>
          <w:sz w:val="18"/>
          <w:szCs w:val="18"/>
        </w:rPr>
        <w:t xml:space="preserve"> </w:t>
      </w:r>
      <w:hyperlink r:id="rId2" w:history="1">
        <w:r w:rsidRPr="001D74EB">
          <w:rPr>
            <w:rStyle w:val="Hyperlink"/>
            <w:rFonts w:ascii="Times New Roman" w:hAnsi="Times New Roman" w:cs="Times New Roman"/>
            <w:sz w:val="18"/>
            <w:szCs w:val="18"/>
          </w:rPr>
          <w:t>Commission strengthens the Carbon Border Adjustment Mechanism</w:t>
        </w:r>
      </w:hyperlink>
      <w:r>
        <w:rPr>
          <w:rFonts w:ascii="Times New Roman" w:hAnsi="Times New Roman" w:cs="Times New Roman"/>
          <w:sz w:val="18"/>
          <w:szCs w:val="18"/>
        </w:rPr>
        <w:t xml:space="preserve">  </w:t>
      </w:r>
    </w:p>
  </w:endnote>
  <w:endnote w:id="25">
    <w:p w14:paraId="008663F7" w14:textId="7BFF3A1A" w:rsidR="00376F73" w:rsidRPr="00EC17DB" w:rsidRDefault="00376F73">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EC17DB">
        <w:rPr>
          <w:rFonts w:ascii="Times New Roman" w:hAnsi="Times New Roman" w:cs="Times New Roman"/>
          <w:sz w:val="18"/>
          <w:szCs w:val="18"/>
          <w:lang w:val="en-IE"/>
        </w:rPr>
        <w:t>COM(2025) 75 final</w:t>
      </w:r>
      <w:r w:rsidR="0099146D">
        <w:rPr>
          <w:rFonts w:ascii="Times New Roman" w:hAnsi="Times New Roman" w:cs="Times New Roman"/>
          <w:sz w:val="18"/>
          <w:szCs w:val="18"/>
          <w:lang w:val="en-IE"/>
        </w:rPr>
        <w:t>.</w:t>
      </w:r>
    </w:p>
  </w:endnote>
  <w:endnote w:id="26">
    <w:p w14:paraId="63C2FB53" w14:textId="1E34D360" w:rsidR="00A4288A" w:rsidRPr="00EC17DB" w:rsidRDefault="00A4288A">
      <w:pPr>
        <w:pStyle w:val="EndnoteText"/>
        <w:rPr>
          <w:rFonts w:ascii="Times New Roman" w:hAnsi="Times New Roman" w:cs="Times New Roman"/>
          <w:sz w:val="18"/>
          <w:szCs w:val="18"/>
          <w:lang w:val="en"/>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EC17DB">
        <w:rPr>
          <w:rFonts w:ascii="Times New Roman" w:hAnsi="Times New Roman" w:cs="Times New Roman"/>
          <w:sz w:val="18"/>
          <w:szCs w:val="18"/>
          <w:lang w:val="en"/>
        </w:rPr>
        <w:t>COM/2025/281 final</w:t>
      </w:r>
      <w:r w:rsidR="0099146D">
        <w:rPr>
          <w:rFonts w:ascii="Times New Roman" w:hAnsi="Times New Roman" w:cs="Times New Roman"/>
          <w:sz w:val="18"/>
          <w:szCs w:val="18"/>
          <w:lang w:val="en"/>
        </w:rPr>
        <w:t>.</w:t>
      </w:r>
    </w:p>
  </w:endnote>
  <w:endnote w:id="27">
    <w:p w14:paraId="0E1F2B46" w14:textId="4E3684A1" w:rsidR="00AA675C" w:rsidRPr="00EC17DB" w:rsidRDefault="00AA675C">
      <w:pPr>
        <w:pStyle w:val="EndnoteText"/>
        <w:rPr>
          <w:rFonts w:ascii="Times New Roman" w:hAnsi="Times New Roman" w:cs="Times New Roman"/>
          <w:sz w:val="18"/>
          <w:szCs w:val="18"/>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524 final</w:t>
      </w:r>
      <w:r w:rsidR="0099146D">
        <w:rPr>
          <w:rFonts w:ascii="Times New Roman" w:hAnsi="Times New Roman" w:cs="Times New Roman"/>
          <w:sz w:val="18"/>
          <w:szCs w:val="18"/>
        </w:rPr>
        <w:t>.</w:t>
      </w:r>
    </w:p>
  </w:endnote>
  <w:endnote w:id="28">
    <w:p w14:paraId="7BBEBA69" w14:textId="5512CC65" w:rsidR="003830FB" w:rsidRPr="006E0577" w:rsidRDefault="003830FB">
      <w:pPr>
        <w:pStyle w:val="EndnoteText"/>
        <w:rPr>
          <w:rFonts w:ascii="Times New Roman" w:hAnsi="Times New Roman" w:cs="Times New Roman"/>
          <w:sz w:val="18"/>
          <w:szCs w:val="18"/>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Pr="008857A8">
        <w:rPr>
          <w:rFonts w:ascii="Times New Roman" w:hAnsi="Times New Roman" w:cs="Times New Roman"/>
          <w:sz w:val="18"/>
          <w:szCs w:val="18"/>
        </w:rPr>
        <w:t>A first Clean Trade and Investment Partnership between the EU and South Africa was signed on 20 November 2025.</w:t>
      </w:r>
    </w:p>
  </w:endnote>
  <w:endnote w:id="29">
    <w:p w14:paraId="5C5A9DED" w14:textId="3AFCF03D" w:rsidR="004451CF" w:rsidRPr="00EC17DB" w:rsidRDefault="004451CF">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hyperlink r:id="rId3" w:history="1">
        <w:r w:rsidR="00167C38" w:rsidRPr="00F7658E">
          <w:rPr>
            <w:rFonts w:ascii="Times New Roman" w:hAnsi="Times New Roman" w:cs="Times New Roman"/>
            <w:sz w:val="18"/>
            <w:szCs w:val="18"/>
          </w:rPr>
          <w:t>Trans-Mediterranean Renewable Energy and Clean-Tech Cooperation Initiative (T-MED)</w:t>
        </w:r>
      </w:hyperlink>
      <w:r w:rsidR="00AD2BF7">
        <w:t>.</w:t>
      </w:r>
    </w:p>
  </w:endnote>
  <w:endnote w:id="30">
    <w:p w14:paraId="05BE48B6" w14:textId="5D3A0F0C" w:rsidR="00566A34" w:rsidRPr="00EC17DB" w:rsidRDefault="00566A34">
      <w:pPr>
        <w:pStyle w:val="EndnoteText"/>
        <w:rPr>
          <w:rFonts w:ascii="Times New Roman" w:hAnsi="Times New Roman" w:cs="Times New Roman"/>
          <w:sz w:val="18"/>
          <w:szCs w:val="18"/>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hyperlink r:id="rId4" w:history="1">
        <w:r w:rsidRPr="00EC17DB">
          <w:rPr>
            <w:rStyle w:val="Hyperlink"/>
            <w:rFonts w:ascii="Times New Roman" w:hAnsi="Times New Roman" w:cs="Times New Roman"/>
            <w:sz w:val="18"/>
            <w:szCs w:val="18"/>
          </w:rPr>
          <w:t>EU Energy and Raw Materials Platform - Energy - European Commission</w:t>
        </w:r>
      </w:hyperlink>
    </w:p>
  </w:endnote>
  <w:endnote w:id="31">
    <w:p w14:paraId="035290F7" w14:textId="3BE79A24" w:rsidR="00415A7E" w:rsidRPr="00EC17DB" w:rsidRDefault="00415A7E">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hyperlink r:id="rId5" w:history="1">
        <w:r w:rsidRPr="00EC17DB">
          <w:rPr>
            <w:rStyle w:val="Hyperlink"/>
            <w:rFonts w:ascii="Times New Roman" w:hAnsi="Times New Roman" w:cs="Times New Roman"/>
            <w:sz w:val="18"/>
            <w:szCs w:val="18"/>
          </w:rPr>
          <w:t>White paper for European defence - Readiness 2030 - Defence Industry and Space</w:t>
        </w:r>
      </w:hyperlink>
    </w:p>
  </w:endnote>
  <w:endnote w:id="32">
    <w:p w14:paraId="5CF396BE" w14:textId="07A83499" w:rsidR="002A4687" w:rsidRPr="00EC17DB" w:rsidRDefault="002A4687">
      <w:pPr>
        <w:pStyle w:val="EndnoteText"/>
        <w:rPr>
          <w:rFonts w:ascii="Times New Roman" w:hAnsi="Times New Roman" w:cs="Times New Roman"/>
          <w:sz w:val="18"/>
          <w:szCs w:val="18"/>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JOIN(2025) 130 final</w:t>
      </w:r>
      <w:r w:rsidR="001141A3">
        <w:rPr>
          <w:rFonts w:ascii="Times New Roman" w:hAnsi="Times New Roman" w:cs="Times New Roman"/>
          <w:sz w:val="18"/>
          <w:szCs w:val="18"/>
        </w:rPr>
        <w:t>.</w:t>
      </w:r>
    </w:p>
  </w:endnote>
  <w:endnote w:id="33">
    <w:p w14:paraId="75FF50AF" w14:textId="0BD45011" w:rsidR="00663968" w:rsidRPr="00EC17DB" w:rsidRDefault="00663968">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148 final</w:t>
      </w:r>
      <w:r w:rsidR="001141A3">
        <w:rPr>
          <w:rFonts w:ascii="Times New Roman" w:hAnsi="Times New Roman" w:cs="Times New Roman"/>
          <w:sz w:val="18"/>
          <w:szCs w:val="18"/>
        </w:rPr>
        <w:t>.</w:t>
      </w:r>
    </w:p>
  </w:endnote>
  <w:endnote w:id="34">
    <w:p w14:paraId="76D07F5A" w14:textId="66510B6E" w:rsidR="0070428A" w:rsidRPr="00EC17DB" w:rsidRDefault="0070428A">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102 final</w:t>
      </w:r>
      <w:r w:rsidR="001141A3">
        <w:rPr>
          <w:rFonts w:ascii="Times New Roman" w:hAnsi="Times New Roman" w:cs="Times New Roman"/>
          <w:sz w:val="18"/>
          <w:szCs w:val="18"/>
        </w:rPr>
        <w:t>.</w:t>
      </w:r>
    </w:p>
  </w:endnote>
  <w:endnote w:id="35">
    <w:p w14:paraId="6B5A1869" w14:textId="343DB65B" w:rsidR="00C97FFE" w:rsidRPr="00EC17DB" w:rsidRDefault="00C97FFE">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EC17DB">
        <w:rPr>
          <w:rFonts w:ascii="Times New Roman" w:hAnsi="Times New Roman" w:cs="Times New Roman"/>
          <w:sz w:val="18"/>
          <w:szCs w:val="18"/>
          <w:lang w:val="en-IE"/>
        </w:rPr>
        <w:t>COM(2025) 280 final</w:t>
      </w:r>
      <w:r w:rsidR="001141A3">
        <w:rPr>
          <w:rFonts w:ascii="Times New Roman" w:hAnsi="Times New Roman" w:cs="Times New Roman"/>
          <w:sz w:val="18"/>
          <w:szCs w:val="18"/>
          <w:lang w:val="en-IE"/>
        </w:rPr>
        <w:t>.</w:t>
      </w:r>
    </w:p>
  </w:endnote>
  <w:endnote w:id="36">
    <w:p w14:paraId="6124276B" w14:textId="1246FB78" w:rsidR="00333E46" w:rsidRPr="00EC17DB" w:rsidRDefault="00333E46" w:rsidP="0030398A">
      <w:pPr>
        <w:pStyle w:val="EndnoteText"/>
        <w:rPr>
          <w:rFonts w:ascii="Times New Roman" w:hAnsi="Times New Roman" w:cs="Times New Roman"/>
          <w:sz w:val="18"/>
          <w:szCs w:val="18"/>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0030398A" w:rsidRPr="00EC17DB">
        <w:rPr>
          <w:rFonts w:ascii="Times New Roman" w:hAnsi="Times New Roman" w:cs="Times New Roman"/>
          <w:sz w:val="18"/>
          <w:szCs w:val="18"/>
        </w:rPr>
        <w:t>COMMISSION RECOMMENDATION (EU) 2025/1099 of 21 May 2025 on the definition of small mid-cap enterprises</w:t>
      </w:r>
      <w:r w:rsidR="001141A3">
        <w:rPr>
          <w:rFonts w:ascii="Times New Roman" w:hAnsi="Times New Roman" w:cs="Times New Roman"/>
          <w:sz w:val="18"/>
          <w:szCs w:val="18"/>
        </w:rPr>
        <w:t>.</w:t>
      </w:r>
    </w:p>
  </w:endnote>
  <w:endnote w:id="37">
    <w:p w14:paraId="0B174FE8" w14:textId="10045E96" w:rsidR="009667B6" w:rsidRPr="00EC17DB" w:rsidRDefault="009667B6">
      <w:pPr>
        <w:pStyle w:val="EndnoteText"/>
        <w:rPr>
          <w:rFonts w:ascii="Times New Roman" w:hAnsi="Times New Roman" w:cs="Times New Roman"/>
          <w:sz w:val="18"/>
          <w:szCs w:val="18"/>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6E0577">
        <w:rPr>
          <w:rFonts w:ascii="Times New Roman" w:hAnsi="Times New Roman" w:cs="Times New Roman"/>
          <w:sz w:val="18"/>
          <w:szCs w:val="18"/>
        </w:rPr>
        <w:t>COM(2025)501</w:t>
      </w:r>
      <w:r w:rsidRPr="001F38B5">
        <w:rPr>
          <w:rFonts w:ascii="Times New Roman" w:hAnsi="Times New Roman" w:cs="Times New Roman"/>
          <w:sz w:val="18"/>
          <w:szCs w:val="18"/>
        </w:rPr>
        <w:t xml:space="preserve"> final, </w:t>
      </w:r>
      <w:r w:rsidRPr="006E0577">
        <w:rPr>
          <w:rFonts w:ascii="Times New Roman" w:hAnsi="Times New Roman" w:cs="Times New Roman"/>
          <w:sz w:val="18"/>
          <w:szCs w:val="18"/>
        </w:rPr>
        <w:t>COM(2025)502</w:t>
      </w:r>
      <w:r w:rsidRPr="001F38B5">
        <w:rPr>
          <w:rFonts w:ascii="Times New Roman" w:hAnsi="Times New Roman" w:cs="Times New Roman"/>
          <w:sz w:val="18"/>
          <w:szCs w:val="18"/>
        </w:rPr>
        <w:t xml:space="preserve"> final, </w:t>
      </w:r>
      <w:r w:rsidRPr="006E0577">
        <w:rPr>
          <w:rFonts w:ascii="Times New Roman" w:hAnsi="Times New Roman" w:cs="Times New Roman"/>
          <w:sz w:val="18"/>
          <w:szCs w:val="18"/>
        </w:rPr>
        <w:t>COM(2025)503</w:t>
      </w:r>
      <w:r w:rsidRPr="001F38B5">
        <w:rPr>
          <w:rFonts w:ascii="Times New Roman" w:hAnsi="Times New Roman" w:cs="Times New Roman"/>
          <w:sz w:val="18"/>
          <w:szCs w:val="18"/>
        </w:rPr>
        <w:t xml:space="preserve"> final, </w:t>
      </w:r>
      <w:r w:rsidRPr="006E0577">
        <w:rPr>
          <w:rFonts w:ascii="Times New Roman" w:hAnsi="Times New Roman" w:cs="Times New Roman"/>
          <w:sz w:val="18"/>
          <w:szCs w:val="18"/>
        </w:rPr>
        <w:t>COM(2025)504</w:t>
      </w:r>
      <w:r w:rsidRPr="001F38B5">
        <w:rPr>
          <w:rFonts w:ascii="Times New Roman" w:hAnsi="Times New Roman" w:cs="Times New Roman"/>
          <w:sz w:val="18"/>
          <w:szCs w:val="18"/>
        </w:rPr>
        <w:t xml:space="preserve"> final</w:t>
      </w:r>
      <w:r w:rsidRPr="00EC17DB">
        <w:rPr>
          <w:rFonts w:ascii="Times New Roman" w:hAnsi="Times New Roman" w:cs="Times New Roman"/>
          <w:sz w:val="18"/>
          <w:szCs w:val="18"/>
        </w:rPr>
        <w:t>, COM(2025)258</w:t>
      </w:r>
      <w:r w:rsidRPr="001F38B5">
        <w:rPr>
          <w:rFonts w:ascii="Times New Roman" w:hAnsi="Times New Roman" w:cs="Times New Roman"/>
          <w:sz w:val="18"/>
          <w:szCs w:val="18"/>
        </w:rPr>
        <w:t xml:space="preserve"> final</w:t>
      </w:r>
      <w:r w:rsidR="001141A3">
        <w:rPr>
          <w:rFonts w:ascii="Times New Roman" w:hAnsi="Times New Roman" w:cs="Times New Roman"/>
          <w:sz w:val="18"/>
          <w:szCs w:val="18"/>
        </w:rPr>
        <w:t>.</w:t>
      </w:r>
    </w:p>
  </w:endnote>
  <w:endnote w:id="38">
    <w:p w14:paraId="2CDCB8B4" w14:textId="42B3BC49" w:rsidR="00E02A7A" w:rsidRPr="00EC17DB" w:rsidRDefault="00E02A7A">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838 final</w:t>
      </w:r>
      <w:r w:rsidR="001141A3">
        <w:rPr>
          <w:rFonts w:ascii="Times New Roman" w:hAnsi="Times New Roman" w:cs="Times New Roman"/>
          <w:sz w:val="18"/>
          <w:szCs w:val="18"/>
        </w:rPr>
        <w:t>.</w:t>
      </w:r>
    </w:p>
  </w:endnote>
  <w:endnote w:id="39">
    <w:p w14:paraId="60DBF333" w14:textId="3F08AA0E" w:rsidR="006D4EC0" w:rsidRPr="00EC17DB" w:rsidRDefault="006D4EC0">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500 final</w:t>
      </w:r>
      <w:r w:rsidR="001141A3">
        <w:rPr>
          <w:rFonts w:ascii="Times New Roman" w:hAnsi="Times New Roman" w:cs="Times New Roman"/>
          <w:sz w:val="18"/>
          <w:szCs w:val="18"/>
        </w:rPr>
        <w:t>.</w:t>
      </w:r>
    </w:p>
  </w:endnote>
  <w:endnote w:id="40">
    <w:p w14:paraId="2508052D" w14:textId="06EE137E" w:rsidR="0046476C" w:rsidRPr="00EC17DB" w:rsidRDefault="0046476C">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124 final</w:t>
      </w:r>
      <w:r w:rsidR="001141A3">
        <w:rPr>
          <w:rFonts w:ascii="Times New Roman" w:hAnsi="Times New Roman" w:cs="Times New Roman"/>
          <w:sz w:val="18"/>
          <w:szCs w:val="18"/>
        </w:rPr>
        <w:t>.</w:t>
      </w:r>
    </w:p>
  </w:endnote>
  <w:endnote w:id="41">
    <w:p w14:paraId="3C5FF3A5" w14:textId="25520322" w:rsidR="0046476C" w:rsidRPr="00EC17DB" w:rsidRDefault="0046476C">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F7658E">
        <w:rPr>
          <w:rFonts w:ascii="Times New Roman" w:hAnsi="Times New Roman" w:cs="Times New Roman"/>
          <w:sz w:val="18"/>
          <w:szCs w:val="18"/>
          <w:lang w:val="en-IE"/>
        </w:rPr>
        <w:t xml:space="preserve">All proposals available at </w:t>
      </w:r>
      <w:hyperlink r:id="rId6" w:history="1">
        <w:r w:rsidRPr="00F7658E">
          <w:rPr>
            <w:rStyle w:val="Hyperlink"/>
            <w:rFonts w:ascii="Times New Roman" w:hAnsi="Times New Roman" w:cs="Times New Roman"/>
            <w:sz w:val="18"/>
            <w:szCs w:val="18"/>
            <w:lang w:val="en-IE"/>
          </w:rPr>
          <w:t>https://com</w:t>
        </w:r>
        <w:bookmarkStart w:id="157" w:name="_Hlt219905231"/>
        <w:bookmarkStart w:id="158" w:name="_Hlt219905232"/>
        <w:bookmarkEnd w:id="157"/>
        <w:bookmarkEnd w:id="158"/>
        <w:r w:rsidRPr="00F7658E">
          <w:rPr>
            <w:rStyle w:val="Hyperlink"/>
            <w:rFonts w:ascii="Times New Roman" w:hAnsi="Times New Roman" w:cs="Times New Roman"/>
            <w:sz w:val="18"/>
            <w:szCs w:val="18"/>
            <w:lang w:val="en-IE"/>
          </w:rPr>
          <w:t>mission.europa.eu/strategy-and-policy/eu-budget/long-term-eu-budget/eu-budget-2028-2034_en</w:t>
        </w:r>
      </w:hyperlink>
    </w:p>
  </w:endnote>
  <w:endnote w:id="42">
    <w:p w14:paraId="74DF0D3C" w14:textId="69069D10" w:rsidR="00976A5A" w:rsidRPr="00EC17DB" w:rsidRDefault="00976A5A">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COM(2025) 90 final</w:t>
      </w:r>
      <w:r w:rsidR="00BC5330">
        <w:rPr>
          <w:rFonts w:ascii="Times New Roman" w:hAnsi="Times New Roman" w:cs="Times New Roman"/>
          <w:sz w:val="18"/>
          <w:szCs w:val="18"/>
        </w:rPr>
        <w:t>.</w:t>
      </w:r>
    </w:p>
  </w:endnote>
  <w:endnote w:id="43">
    <w:p w14:paraId="6AD28FAA" w14:textId="713BB0FD" w:rsidR="00976A5A" w:rsidRPr="00EC17DB" w:rsidRDefault="00976A5A">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00F7658E" w:rsidRPr="00EC17DB">
        <w:rPr>
          <w:rFonts w:ascii="Times New Roman" w:hAnsi="Times New Roman" w:cs="Times New Roman"/>
          <w:sz w:val="18"/>
          <w:szCs w:val="18"/>
        </w:rPr>
        <w:t>COM(2025) 944 final</w:t>
      </w:r>
      <w:r w:rsidR="00BC5330">
        <w:rPr>
          <w:rFonts w:ascii="Times New Roman" w:hAnsi="Times New Roman" w:cs="Times New Roman"/>
          <w:sz w:val="18"/>
          <w:szCs w:val="18"/>
        </w:rPr>
        <w:t xml:space="preserve">. </w:t>
      </w:r>
    </w:p>
  </w:endnote>
  <w:endnote w:id="44">
    <w:p w14:paraId="418F84E5" w14:textId="77777777" w:rsidR="00D70365" w:rsidRPr="006E0577" w:rsidRDefault="00D70365" w:rsidP="00D70365">
      <w:pPr>
        <w:pStyle w:val="EndnoteText"/>
        <w:rPr>
          <w:sz w:val="18"/>
          <w:szCs w:val="18"/>
          <w:lang w:val="en-IE"/>
        </w:rPr>
      </w:pPr>
      <w:r w:rsidRPr="006E0577">
        <w:rPr>
          <w:rStyle w:val="EndnoteReference"/>
          <w:sz w:val="18"/>
          <w:szCs w:val="18"/>
        </w:rPr>
        <w:endnoteRef/>
      </w:r>
      <w:r w:rsidRPr="006E0577">
        <w:rPr>
          <w:sz w:val="18"/>
          <w:szCs w:val="18"/>
        </w:rPr>
        <w:t xml:space="preserve"> </w:t>
      </w:r>
      <w:r w:rsidRPr="00502227">
        <w:rPr>
          <w:rFonts w:ascii="Times New Roman" w:hAnsi="Times New Roman" w:cs="Times New Roman"/>
          <w:sz w:val="18"/>
          <w:szCs w:val="18"/>
        </w:rPr>
        <w:t>COM(2025) 85 final</w:t>
      </w:r>
      <w:r>
        <w:rPr>
          <w:rFonts w:ascii="Times New Roman" w:hAnsi="Times New Roman" w:cs="Times New Roman"/>
          <w:sz w:val="18"/>
          <w:szCs w:val="18"/>
        </w:rPr>
        <w:t>.</w:t>
      </w:r>
    </w:p>
  </w:endnote>
  <w:endnote w:id="45">
    <w:p w14:paraId="5335BCEA" w14:textId="740A13BE" w:rsidR="001F7858" w:rsidRPr="006E0577" w:rsidRDefault="001F7858" w:rsidP="001F7858">
      <w:pPr>
        <w:pStyle w:val="EndnoteText"/>
        <w:rPr>
          <w:sz w:val="18"/>
          <w:szCs w:val="18"/>
          <w:lang w:val="en-IE"/>
        </w:rPr>
      </w:pPr>
      <w:r w:rsidRPr="006E0577">
        <w:rPr>
          <w:rStyle w:val="EndnoteReference"/>
          <w:sz w:val="18"/>
          <w:szCs w:val="18"/>
        </w:rPr>
        <w:endnoteRef/>
      </w:r>
      <w:r w:rsidRPr="006E0577">
        <w:rPr>
          <w:sz w:val="18"/>
          <w:szCs w:val="18"/>
        </w:rPr>
        <w:t xml:space="preserve"> </w:t>
      </w:r>
      <w:r w:rsidRPr="005B5B36">
        <w:rPr>
          <w:rFonts w:ascii="Times New Roman" w:hAnsi="Times New Roman" w:cs="Times New Roman"/>
          <w:sz w:val="18"/>
          <w:szCs w:val="18"/>
        </w:rPr>
        <w:t>COM(2025) 79 final</w:t>
      </w:r>
      <w:r>
        <w:rPr>
          <w:rFonts w:ascii="Times New Roman" w:hAnsi="Times New Roman" w:cs="Times New Roman"/>
          <w:sz w:val="18"/>
          <w:szCs w:val="18"/>
        </w:rPr>
        <w:t>.</w:t>
      </w:r>
    </w:p>
  </w:endnote>
  <w:endnote w:id="46">
    <w:p w14:paraId="683E9590" w14:textId="6FD1A694" w:rsidR="00430C62" w:rsidRPr="006E0577" w:rsidRDefault="00430C62">
      <w:pPr>
        <w:pStyle w:val="EndnoteText"/>
        <w:rPr>
          <w:sz w:val="18"/>
          <w:szCs w:val="18"/>
          <w:lang w:val="en-IE"/>
        </w:rPr>
      </w:pPr>
      <w:r w:rsidRPr="006E0577">
        <w:rPr>
          <w:rStyle w:val="EndnoteReference"/>
          <w:sz w:val="18"/>
          <w:szCs w:val="18"/>
        </w:rPr>
        <w:endnoteRef/>
      </w:r>
      <w:r w:rsidRPr="006E0577">
        <w:rPr>
          <w:sz w:val="18"/>
          <w:szCs w:val="18"/>
          <w:lang w:val="en-IE"/>
        </w:rPr>
        <w:t xml:space="preserve"> </w:t>
      </w:r>
      <w:hyperlink r:id="rId7" w:history="1">
        <w:r w:rsidR="00FF7909" w:rsidRPr="00900F66">
          <w:rPr>
            <w:rStyle w:val="Hyperlink"/>
            <w:rFonts w:ascii="Times New Roman" w:hAnsi="Times New Roman" w:cs="Times New Roman"/>
            <w:sz w:val="18"/>
            <w:szCs w:val="18"/>
            <w:lang w:val="en-IE"/>
          </w:rPr>
          <w:t>EIB Group increases 2025 financing ceiling to record €100 billion to step up investments in security and defence, energy grids and Europe’s tech leadership</w:t>
        </w:r>
      </w:hyperlink>
      <w:r w:rsidR="00FF7909">
        <w:rPr>
          <w:rFonts w:ascii="Times New Roman" w:hAnsi="Times New Roman" w:cs="Times New Roman"/>
          <w:sz w:val="18"/>
          <w:szCs w:val="18"/>
          <w:lang w:val="en-IE"/>
        </w:rPr>
        <w:t xml:space="preserve"> </w:t>
      </w:r>
    </w:p>
  </w:endnote>
  <w:endnote w:id="47">
    <w:p w14:paraId="48753978" w14:textId="3E264BB3" w:rsidR="0041149E" w:rsidRPr="007C0EA4" w:rsidRDefault="0041149E">
      <w:pPr>
        <w:pStyle w:val="EndnoteText"/>
        <w:rPr>
          <w:rFonts w:ascii="Times New Roman" w:hAnsi="Times New Roman" w:cs="Times New Roman"/>
          <w:sz w:val="18"/>
          <w:szCs w:val="18"/>
          <w:lang w:val="fr-BE"/>
        </w:rPr>
      </w:pPr>
      <w:r w:rsidRPr="006E0577">
        <w:rPr>
          <w:rStyle w:val="EndnoteReference"/>
          <w:sz w:val="18"/>
          <w:szCs w:val="18"/>
        </w:rPr>
        <w:endnoteRef/>
      </w:r>
      <w:r w:rsidRPr="007C0EA4">
        <w:rPr>
          <w:sz w:val="18"/>
          <w:szCs w:val="18"/>
          <w:lang w:val="fr-BE"/>
        </w:rPr>
        <w:t xml:space="preserve"> </w:t>
      </w:r>
      <w:r w:rsidR="002E0B8B" w:rsidRPr="007C0EA4">
        <w:rPr>
          <w:rFonts w:ascii="Times New Roman" w:hAnsi="Times New Roman" w:cs="Times New Roman"/>
          <w:sz w:val="18"/>
          <w:szCs w:val="18"/>
          <w:lang w:val="fr-BE"/>
        </w:rPr>
        <w:t>Regulation (EU) 2025/1733.</w:t>
      </w:r>
    </w:p>
  </w:endnote>
  <w:endnote w:id="48">
    <w:p w14:paraId="3989E686" w14:textId="5EE76E4B" w:rsidR="005B7D05" w:rsidRPr="007C0EA4" w:rsidRDefault="005B7D05">
      <w:pPr>
        <w:pStyle w:val="EndnoteText"/>
        <w:rPr>
          <w:rFonts w:ascii="Times New Roman" w:hAnsi="Times New Roman" w:cs="Times New Roman"/>
          <w:sz w:val="18"/>
          <w:szCs w:val="18"/>
          <w:lang w:val="fr-BE"/>
        </w:rPr>
      </w:pPr>
      <w:r w:rsidRPr="006E0577">
        <w:rPr>
          <w:rStyle w:val="EndnoteReference"/>
          <w:rFonts w:ascii="Times New Roman" w:hAnsi="Times New Roman" w:cs="Times New Roman"/>
          <w:sz w:val="18"/>
          <w:szCs w:val="18"/>
        </w:rPr>
        <w:endnoteRef/>
      </w:r>
      <w:r w:rsidRPr="007C0EA4">
        <w:rPr>
          <w:rFonts w:ascii="Times New Roman" w:hAnsi="Times New Roman" w:cs="Times New Roman"/>
          <w:sz w:val="18"/>
          <w:szCs w:val="18"/>
          <w:lang w:val="fr-BE"/>
        </w:rPr>
        <w:t xml:space="preserve"> </w:t>
      </w:r>
      <w:r w:rsidR="00F17517" w:rsidRPr="007C0EA4">
        <w:rPr>
          <w:rFonts w:ascii="Times New Roman" w:hAnsi="Times New Roman" w:cs="Times New Roman"/>
          <w:sz w:val="18"/>
          <w:szCs w:val="18"/>
          <w:lang w:val="fr-BE"/>
        </w:rPr>
        <w:t>C(2025)3602</w:t>
      </w:r>
      <w:r w:rsidR="003455A0" w:rsidRPr="007C0EA4">
        <w:rPr>
          <w:rFonts w:ascii="Times New Roman" w:hAnsi="Times New Roman" w:cs="Times New Roman"/>
          <w:sz w:val="18"/>
          <w:szCs w:val="18"/>
          <w:lang w:val="fr-BE"/>
        </w:rPr>
        <w:t>.</w:t>
      </w:r>
    </w:p>
  </w:endnote>
  <w:endnote w:id="49">
    <w:p w14:paraId="166D9D69" w14:textId="38F8B130" w:rsidR="002C5A76" w:rsidRPr="007C0EA4" w:rsidRDefault="002C5A76">
      <w:pPr>
        <w:pStyle w:val="EndnoteText"/>
        <w:rPr>
          <w:rFonts w:ascii="Times New Roman" w:hAnsi="Times New Roman" w:cs="Times New Roman"/>
          <w:sz w:val="18"/>
          <w:szCs w:val="18"/>
          <w:lang w:val="fr-BE"/>
        </w:rPr>
      </w:pPr>
      <w:r w:rsidRPr="006E0577">
        <w:rPr>
          <w:rStyle w:val="EndnoteReference"/>
          <w:rFonts w:ascii="Times New Roman" w:hAnsi="Times New Roman" w:cs="Times New Roman"/>
          <w:sz w:val="18"/>
          <w:szCs w:val="18"/>
        </w:rPr>
        <w:endnoteRef/>
      </w:r>
      <w:r w:rsidRPr="007C0EA4">
        <w:rPr>
          <w:rFonts w:ascii="Times New Roman" w:hAnsi="Times New Roman" w:cs="Times New Roman"/>
          <w:sz w:val="18"/>
          <w:szCs w:val="18"/>
          <w:lang w:val="fr-BE"/>
        </w:rPr>
        <w:t xml:space="preserve"> C/2026/126.</w:t>
      </w:r>
    </w:p>
  </w:endnote>
  <w:endnote w:id="50">
    <w:p w14:paraId="6808B77F" w14:textId="5E32F0A9" w:rsidR="001C2E85" w:rsidRPr="007C0EA4" w:rsidRDefault="001C2E85">
      <w:pPr>
        <w:pStyle w:val="EndnoteText"/>
        <w:rPr>
          <w:rFonts w:ascii="Times New Roman" w:hAnsi="Times New Roman" w:cs="Times New Roman"/>
          <w:sz w:val="18"/>
          <w:szCs w:val="18"/>
          <w:lang w:val="fr-BE"/>
        </w:rPr>
      </w:pPr>
      <w:r w:rsidRPr="006E0577">
        <w:rPr>
          <w:rStyle w:val="EndnoteReference"/>
          <w:rFonts w:ascii="Times New Roman" w:hAnsi="Times New Roman" w:cs="Times New Roman"/>
          <w:sz w:val="18"/>
          <w:szCs w:val="18"/>
        </w:rPr>
        <w:endnoteRef/>
      </w:r>
      <w:r w:rsidRPr="007C0EA4">
        <w:rPr>
          <w:rFonts w:ascii="Times New Roman" w:hAnsi="Times New Roman" w:cs="Times New Roman"/>
          <w:sz w:val="18"/>
          <w:szCs w:val="18"/>
          <w:lang w:val="fr-BE"/>
        </w:rPr>
        <w:t xml:space="preserve"> </w:t>
      </w:r>
      <w:r w:rsidR="003455A0" w:rsidRPr="007C0EA4">
        <w:rPr>
          <w:rFonts w:ascii="Times New Roman" w:hAnsi="Times New Roman" w:cs="Times New Roman"/>
          <w:sz w:val="18"/>
          <w:szCs w:val="18"/>
          <w:lang w:val="fr-BE"/>
        </w:rPr>
        <w:t>C(2025)8479.</w:t>
      </w:r>
      <w:r w:rsidR="003455A0" w:rsidRPr="007C0EA4" w:rsidDel="003455A0">
        <w:rPr>
          <w:rFonts w:ascii="Times New Roman" w:hAnsi="Times New Roman" w:cs="Times New Roman"/>
          <w:sz w:val="18"/>
          <w:szCs w:val="18"/>
          <w:lang w:val="fr-BE"/>
        </w:rPr>
        <w:t xml:space="preserve"> </w:t>
      </w:r>
    </w:p>
  </w:endnote>
  <w:endnote w:id="51">
    <w:p w14:paraId="0D15EDD1" w14:textId="6188552E" w:rsidR="00E64E87" w:rsidRPr="006E0577" w:rsidRDefault="00E64E87">
      <w:pPr>
        <w:pStyle w:val="EndnoteText"/>
        <w:rPr>
          <w:rFonts w:ascii="Times New Roman" w:hAnsi="Times New Roman" w:cs="Times New Roman"/>
          <w:sz w:val="18"/>
          <w:szCs w:val="18"/>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lang w:val="en-IE"/>
        </w:rPr>
        <w:t xml:space="preserve"> </w:t>
      </w:r>
      <w:r w:rsidR="00D44CDE" w:rsidRPr="006E0577">
        <w:rPr>
          <w:rFonts w:ascii="Times New Roman" w:hAnsi="Times New Roman" w:cs="Times New Roman"/>
          <w:sz w:val="18"/>
          <w:szCs w:val="18"/>
          <w:lang w:val="en-IE"/>
        </w:rPr>
        <w:t>Several initiatives</w:t>
      </w:r>
      <w:r w:rsidR="00AD2276" w:rsidRPr="006E0577">
        <w:rPr>
          <w:rFonts w:ascii="Times New Roman" w:hAnsi="Times New Roman" w:cs="Times New Roman"/>
          <w:sz w:val="18"/>
          <w:szCs w:val="18"/>
          <w:lang w:val="en-IE"/>
        </w:rPr>
        <w:t xml:space="preserve"> listed here</w:t>
      </w:r>
      <w:r w:rsidR="00D44CDE" w:rsidRPr="006E0577">
        <w:rPr>
          <w:rFonts w:ascii="Times New Roman" w:hAnsi="Times New Roman" w:cs="Times New Roman"/>
          <w:sz w:val="18"/>
          <w:szCs w:val="18"/>
          <w:lang w:val="en-IE"/>
        </w:rPr>
        <w:t xml:space="preserve">: </w:t>
      </w:r>
      <w:hyperlink r:id="rId8" w:history="1">
        <w:r w:rsidR="00475A71" w:rsidRPr="006E0577">
          <w:rPr>
            <w:rStyle w:val="Hyperlink"/>
            <w:rFonts w:ascii="Times New Roman" w:hAnsi="Times New Roman" w:cs="Times New Roman"/>
            <w:sz w:val="18"/>
            <w:szCs w:val="18"/>
            <w:lang w:val="en-IE"/>
          </w:rPr>
          <w:t>Commission proposes upgrade of the EU's energy infrastructure to lower bills and boost independence</w:t>
        </w:r>
      </w:hyperlink>
      <w:r w:rsidR="00475A71" w:rsidRPr="006E0577">
        <w:rPr>
          <w:rFonts w:ascii="Times New Roman" w:hAnsi="Times New Roman" w:cs="Times New Roman"/>
          <w:sz w:val="18"/>
          <w:szCs w:val="18"/>
          <w:lang w:val="en-IE"/>
        </w:rPr>
        <w:t xml:space="preserve"> </w:t>
      </w:r>
    </w:p>
  </w:endnote>
  <w:endnote w:id="52">
    <w:p w14:paraId="45BF21A3" w14:textId="63476D0B" w:rsidR="0087428F" w:rsidRPr="006E0577" w:rsidRDefault="0087428F">
      <w:pPr>
        <w:pStyle w:val="EndnoteText"/>
        <w:rPr>
          <w:rFonts w:ascii="Times New Roman" w:hAnsi="Times New Roman" w:cs="Times New Roman"/>
          <w:sz w:val="18"/>
          <w:szCs w:val="18"/>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lang w:val="en-IE"/>
        </w:rPr>
        <w:t xml:space="preserve"> </w:t>
      </w:r>
      <w:r w:rsidR="006906E6" w:rsidRPr="00EC17DB">
        <w:rPr>
          <w:rFonts w:ascii="Times New Roman" w:hAnsi="Times New Roman" w:cs="Times New Roman"/>
          <w:sz w:val="18"/>
          <w:szCs w:val="18"/>
        </w:rPr>
        <w:t>Commission Delegated Regulation (EU) 2025/2359</w:t>
      </w:r>
      <w:r w:rsidR="00431A6B" w:rsidRPr="006E0577">
        <w:rPr>
          <w:rFonts w:ascii="Times New Roman" w:hAnsi="Times New Roman" w:cs="Times New Roman"/>
          <w:sz w:val="18"/>
          <w:szCs w:val="18"/>
          <w:lang w:val="en-IE"/>
        </w:rPr>
        <w:t>.</w:t>
      </w:r>
    </w:p>
  </w:endnote>
  <w:endnote w:id="53">
    <w:p w14:paraId="30E41DB5" w14:textId="14764ECF" w:rsidR="003D56B9" w:rsidRPr="006E0577" w:rsidRDefault="003D56B9">
      <w:pPr>
        <w:pStyle w:val="EndnoteText"/>
        <w:rPr>
          <w:rFonts w:ascii="Times New Roman" w:hAnsi="Times New Roman" w:cs="Times New Roman"/>
          <w:sz w:val="18"/>
          <w:szCs w:val="18"/>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Pr="00EC17DB">
        <w:rPr>
          <w:rFonts w:ascii="Times New Roman" w:hAnsi="Times New Roman" w:cs="Times New Roman"/>
          <w:sz w:val="18"/>
          <w:szCs w:val="18"/>
        </w:rPr>
        <w:t xml:space="preserve">COM(2022) 548 ; </w:t>
      </w:r>
      <w:r w:rsidR="00FA50AC" w:rsidRPr="00EC17DB">
        <w:rPr>
          <w:rFonts w:ascii="Times New Roman" w:hAnsi="Times New Roman" w:cs="Times New Roman"/>
          <w:sz w:val="18"/>
          <w:szCs w:val="18"/>
        </w:rPr>
        <w:t>COM(2020) 789</w:t>
      </w:r>
      <w:r w:rsidR="00227B66">
        <w:rPr>
          <w:rFonts w:ascii="Times New Roman" w:hAnsi="Times New Roman" w:cs="Times New Roman"/>
          <w:sz w:val="18"/>
          <w:szCs w:val="18"/>
        </w:rPr>
        <w:t>.</w:t>
      </w:r>
    </w:p>
  </w:endnote>
  <w:endnote w:id="54">
    <w:p w14:paraId="41A8A6EB" w14:textId="1D7C7E3E" w:rsidR="002413C8" w:rsidRPr="006E0577" w:rsidRDefault="002413C8">
      <w:pPr>
        <w:pStyle w:val="EndnoteText"/>
        <w:rPr>
          <w:rFonts w:ascii="Times New Roman" w:hAnsi="Times New Roman" w:cs="Times New Roman"/>
          <w:sz w:val="18"/>
          <w:szCs w:val="18"/>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Pr="002F01DF">
        <w:rPr>
          <w:rFonts w:ascii="Times New Roman" w:hAnsi="Times New Roman" w:cs="Times New Roman"/>
          <w:sz w:val="18"/>
          <w:szCs w:val="18"/>
        </w:rPr>
        <w:t>Regulation (EU) 2025/2005</w:t>
      </w:r>
      <w:r>
        <w:rPr>
          <w:rFonts w:ascii="Times New Roman" w:hAnsi="Times New Roman" w:cs="Times New Roman"/>
          <w:sz w:val="18"/>
          <w:szCs w:val="18"/>
        </w:rPr>
        <w:t>.</w:t>
      </w:r>
    </w:p>
  </w:endnote>
  <w:endnote w:id="55">
    <w:p w14:paraId="616ED6BE" w14:textId="462F1D2E" w:rsidR="00992876" w:rsidRPr="006E0577" w:rsidRDefault="00992876">
      <w:pPr>
        <w:pStyle w:val="EndnoteText"/>
        <w:rPr>
          <w:rFonts w:ascii="Times New Roman" w:hAnsi="Times New Roman" w:cs="Times New Roman"/>
          <w:sz w:val="18"/>
          <w:szCs w:val="18"/>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hyperlink r:id="rId9" w:anchor="objectives" w:history="1">
        <w:r w:rsidR="009B7093" w:rsidRPr="00EC17DB">
          <w:rPr>
            <w:rStyle w:val="Hyperlink"/>
            <w:rFonts w:ascii="Times New Roman" w:hAnsi="Times New Roman" w:cs="Times New Roman"/>
            <w:sz w:val="18"/>
            <w:szCs w:val="18"/>
            <w:lang w:val="en-IE"/>
          </w:rPr>
          <w:t>Design Support Hub - Competition Policy - European Commission</w:t>
        </w:r>
      </w:hyperlink>
      <w:r w:rsidR="00AD2276" w:rsidRPr="006E0577">
        <w:rPr>
          <w:rStyle w:val="Hyperlink"/>
          <w:rFonts w:ascii="Times New Roman" w:hAnsi="Times New Roman" w:cs="Times New Roman"/>
          <w:sz w:val="18"/>
          <w:szCs w:val="18"/>
          <w:lang w:val="en-IE"/>
        </w:rPr>
        <w:t xml:space="preserve"> </w:t>
      </w:r>
    </w:p>
  </w:endnote>
  <w:endnote w:id="56">
    <w:p w14:paraId="3ABB208A" w14:textId="0BD243B3" w:rsidR="00E97AB8" w:rsidRPr="00EC17DB" w:rsidRDefault="00E97AB8">
      <w:pPr>
        <w:pStyle w:val="EndnoteText"/>
        <w:rPr>
          <w:rFonts w:ascii="Times New Roman" w:hAnsi="Times New Roman" w:cs="Times New Roman"/>
          <w:sz w:val="18"/>
          <w:szCs w:val="18"/>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00BB1F68" w:rsidRPr="005B5B36">
        <w:rPr>
          <w:rFonts w:ascii="Times New Roman" w:hAnsi="Times New Roman" w:cs="Times New Roman"/>
          <w:sz w:val="18"/>
          <w:szCs w:val="18"/>
        </w:rPr>
        <w:t>C</w:t>
      </w:r>
      <w:r w:rsidR="003455A0">
        <w:rPr>
          <w:rFonts w:ascii="Times New Roman" w:hAnsi="Times New Roman" w:cs="Times New Roman"/>
          <w:sz w:val="18"/>
          <w:szCs w:val="18"/>
        </w:rPr>
        <w:t>(</w:t>
      </w:r>
      <w:r w:rsidR="00BB1F68" w:rsidRPr="005B5B36">
        <w:rPr>
          <w:rFonts w:ascii="Times New Roman" w:hAnsi="Times New Roman" w:cs="Times New Roman"/>
          <w:sz w:val="18"/>
          <w:szCs w:val="18"/>
        </w:rPr>
        <w:t>2025</w:t>
      </w:r>
      <w:r w:rsidR="003455A0">
        <w:rPr>
          <w:rFonts w:ascii="Times New Roman" w:hAnsi="Times New Roman" w:cs="Times New Roman"/>
          <w:sz w:val="18"/>
          <w:szCs w:val="18"/>
        </w:rPr>
        <w:t xml:space="preserve">) </w:t>
      </w:r>
      <w:r w:rsidR="00BB1F68" w:rsidRPr="005B5B36">
        <w:rPr>
          <w:rFonts w:ascii="Times New Roman" w:hAnsi="Times New Roman" w:cs="Times New Roman"/>
          <w:sz w:val="18"/>
          <w:szCs w:val="18"/>
        </w:rPr>
        <w:t>3602</w:t>
      </w:r>
      <w:r w:rsidR="00BB1F68">
        <w:rPr>
          <w:rFonts w:ascii="Times New Roman" w:hAnsi="Times New Roman" w:cs="Times New Roman"/>
          <w:sz w:val="18"/>
          <w:szCs w:val="18"/>
        </w:rPr>
        <w:t>.</w:t>
      </w:r>
    </w:p>
  </w:endnote>
  <w:endnote w:id="57">
    <w:p w14:paraId="0D64A903" w14:textId="57046E80" w:rsidR="005D580C" w:rsidRPr="00EC17DB" w:rsidRDefault="005D580C">
      <w:pPr>
        <w:pStyle w:val="EndnoteText"/>
        <w:rPr>
          <w:rFonts w:ascii="Times New Roman" w:hAnsi="Times New Roman" w:cs="Times New Roman"/>
          <w:sz w:val="18"/>
          <w:szCs w:val="18"/>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002A0121" w:rsidRPr="00EC17DB">
        <w:rPr>
          <w:rFonts w:ascii="Times New Roman" w:hAnsi="Times New Roman" w:cs="Times New Roman"/>
          <w:sz w:val="18"/>
          <w:szCs w:val="18"/>
          <w:lang w:val="en-IE"/>
        </w:rPr>
        <w:t>C(2025) 4319 final</w:t>
      </w:r>
      <w:r w:rsidR="002A0121">
        <w:rPr>
          <w:rFonts w:ascii="Times New Roman" w:hAnsi="Times New Roman" w:cs="Times New Roman"/>
          <w:sz w:val="18"/>
          <w:szCs w:val="18"/>
          <w:lang w:val="en-IE"/>
        </w:rPr>
        <w:t>.</w:t>
      </w:r>
    </w:p>
  </w:endnote>
  <w:endnote w:id="58">
    <w:p w14:paraId="04CEDEB7" w14:textId="0C810153" w:rsidR="00A52B43" w:rsidRPr="006E0577" w:rsidRDefault="00A52B43">
      <w:pPr>
        <w:pStyle w:val="EndnoteText"/>
        <w:rPr>
          <w:rFonts w:ascii="Times New Roman" w:hAnsi="Times New Roman" w:cs="Times New Roman"/>
          <w:sz w:val="18"/>
          <w:szCs w:val="18"/>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Pr="00EC17DB">
        <w:rPr>
          <w:rFonts w:ascii="Times New Roman" w:hAnsi="Times New Roman" w:cs="Times New Roman"/>
          <w:sz w:val="18"/>
          <w:szCs w:val="18"/>
          <w:lang w:val="en-IE"/>
        </w:rPr>
        <w:t>C(2025) 8493.</w:t>
      </w:r>
    </w:p>
  </w:endnote>
  <w:endnote w:id="59">
    <w:p w14:paraId="22E1CF11" w14:textId="4638A6E5" w:rsidR="00591F57" w:rsidRPr="006E0577" w:rsidRDefault="00591F57">
      <w:pPr>
        <w:pStyle w:val="EndnoteText"/>
        <w:rPr>
          <w:rFonts w:ascii="Times New Roman" w:hAnsi="Times New Roman" w:cs="Times New Roman"/>
          <w:sz w:val="18"/>
          <w:szCs w:val="18"/>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hyperlink r:id="rId10" w:history="1">
        <w:r w:rsidR="009E0A76" w:rsidRPr="006E0577">
          <w:rPr>
            <w:rStyle w:val="Hyperlink"/>
            <w:rFonts w:ascii="Times New Roman" w:hAnsi="Times New Roman" w:cs="Times New Roman"/>
            <w:sz w:val="18"/>
            <w:szCs w:val="18"/>
          </w:rPr>
          <w:t>Commission publishes Terms and Conditions for the first pilot auction for industrial heat decarbonisation with a budget of €1 billion - Climate Action</w:t>
        </w:r>
      </w:hyperlink>
      <w:r w:rsidR="009E0A76" w:rsidRPr="006E0577">
        <w:rPr>
          <w:rFonts w:ascii="Times New Roman" w:hAnsi="Times New Roman" w:cs="Times New Roman"/>
          <w:sz w:val="18"/>
          <w:szCs w:val="18"/>
        </w:rPr>
        <w:t xml:space="preserve"> </w:t>
      </w:r>
    </w:p>
  </w:endnote>
  <w:endnote w:id="60">
    <w:p w14:paraId="658E784A" w14:textId="67B7A9F3" w:rsidR="0052713F" w:rsidRPr="006E0577" w:rsidRDefault="0052713F">
      <w:pPr>
        <w:pStyle w:val="EndnoteText"/>
        <w:rPr>
          <w:rFonts w:ascii="Times New Roman" w:hAnsi="Times New Roman" w:cs="Times New Roman"/>
          <w:sz w:val="18"/>
          <w:szCs w:val="18"/>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00CA003B" w:rsidRPr="00EC17DB">
        <w:rPr>
          <w:rFonts w:ascii="Times New Roman" w:hAnsi="Times New Roman" w:cs="Times New Roman"/>
          <w:sz w:val="18"/>
          <w:szCs w:val="18"/>
        </w:rPr>
        <w:t xml:space="preserve">See endnote </w:t>
      </w:r>
      <w:r w:rsidR="00CA003B" w:rsidRPr="00EC17DB">
        <w:rPr>
          <w:rFonts w:ascii="Times New Roman" w:hAnsi="Times New Roman" w:cs="Times New Roman"/>
          <w:sz w:val="18"/>
          <w:szCs w:val="18"/>
        </w:rPr>
        <w:fldChar w:fldCharType="begin"/>
      </w:r>
      <w:r w:rsidR="00CA003B" w:rsidRPr="00EC17DB">
        <w:rPr>
          <w:rFonts w:ascii="Times New Roman" w:hAnsi="Times New Roman" w:cs="Times New Roman"/>
          <w:sz w:val="18"/>
          <w:szCs w:val="18"/>
        </w:rPr>
        <w:instrText xml:space="preserve"> NOTEREF _Ref219298927 \h </w:instrText>
      </w:r>
      <w:r w:rsidR="00CA003B">
        <w:rPr>
          <w:rFonts w:ascii="Times New Roman" w:hAnsi="Times New Roman" w:cs="Times New Roman"/>
          <w:sz w:val="18"/>
          <w:szCs w:val="18"/>
        </w:rPr>
        <w:instrText xml:space="preserve"> \* MERGEFORMAT </w:instrText>
      </w:r>
      <w:r w:rsidR="00CA003B" w:rsidRPr="00EC17DB">
        <w:rPr>
          <w:rFonts w:ascii="Times New Roman" w:hAnsi="Times New Roman" w:cs="Times New Roman"/>
          <w:sz w:val="18"/>
          <w:szCs w:val="18"/>
        </w:rPr>
      </w:r>
      <w:r w:rsidR="00CA003B" w:rsidRPr="00EC17DB">
        <w:rPr>
          <w:rFonts w:ascii="Times New Roman" w:hAnsi="Times New Roman" w:cs="Times New Roman"/>
          <w:sz w:val="18"/>
          <w:szCs w:val="18"/>
        </w:rPr>
        <w:fldChar w:fldCharType="separate"/>
      </w:r>
      <w:r w:rsidR="00E270A7">
        <w:rPr>
          <w:rFonts w:ascii="Times New Roman" w:hAnsi="Times New Roman" w:cs="Times New Roman"/>
          <w:sz w:val="18"/>
          <w:szCs w:val="18"/>
        </w:rPr>
        <w:t>3</w:t>
      </w:r>
      <w:r w:rsidR="00CA003B" w:rsidRPr="00EC17DB">
        <w:rPr>
          <w:rFonts w:ascii="Times New Roman" w:hAnsi="Times New Roman" w:cs="Times New Roman"/>
          <w:sz w:val="18"/>
          <w:szCs w:val="18"/>
        </w:rPr>
        <w:fldChar w:fldCharType="end"/>
      </w:r>
      <w:r w:rsidR="00CA003B" w:rsidRPr="00EC17DB">
        <w:rPr>
          <w:rFonts w:ascii="Times New Roman" w:hAnsi="Times New Roman" w:cs="Times New Roman"/>
          <w:sz w:val="18"/>
          <w:szCs w:val="18"/>
        </w:rPr>
        <w:t xml:space="preserve"> above</w:t>
      </w:r>
      <w:r w:rsidR="00CA003B" w:rsidRPr="006E0577">
        <w:rPr>
          <w:rFonts w:ascii="Times New Roman" w:hAnsi="Times New Roman" w:cs="Times New Roman"/>
          <w:sz w:val="18"/>
          <w:szCs w:val="18"/>
        </w:rPr>
        <w:t>.</w:t>
      </w:r>
    </w:p>
  </w:endnote>
  <w:endnote w:id="61">
    <w:p w14:paraId="6666084A" w14:textId="483C74DE" w:rsidR="009413FA" w:rsidRPr="00EC17DB" w:rsidRDefault="009413FA">
      <w:pPr>
        <w:pStyle w:val="EndnoteText"/>
        <w:rPr>
          <w:rFonts w:ascii="Times New Roman" w:hAnsi="Times New Roman" w:cs="Times New Roman"/>
          <w:sz w:val="18"/>
          <w:szCs w:val="18"/>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lang w:val="en-IE"/>
        </w:rPr>
        <w:t xml:space="preserve"> </w:t>
      </w:r>
      <w:hyperlink r:id="rId11" w:history="1">
        <w:r w:rsidR="006A5590" w:rsidRPr="006E0577">
          <w:rPr>
            <w:rStyle w:val="Hyperlink"/>
            <w:rFonts w:ascii="Times New Roman" w:hAnsi="Times New Roman" w:cs="Times New Roman"/>
            <w:sz w:val="18"/>
            <w:szCs w:val="18"/>
            <w:lang w:val="en-IE"/>
          </w:rPr>
          <w:t>Selected strategic projects under CRMA</w:t>
        </w:r>
      </w:hyperlink>
      <w:r w:rsidRPr="006E0577">
        <w:rPr>
          <w:rFonts w:ascii="Times New Roman" w:hAnsi="Times New Roman" w:cs="Times New Roman"/>
          <w:sz w:val="18"/>
          <w:szCs w:val="18"/>
          <w:lang w:val="en-IE"/>
        </w:rPr>
        <w:t xml:space="preserve"> </w:t>
      </w:r>
    </w:p>
  </w:endnote>
  <w:endnote w:id="62">
    <w:p w14:paraId="542BA872" w14:textId="4D2C4FC9" w:rsidR="00F615A6" w:rsidRPr="006E0577" w:rsidRDefault="00F615A6">
      <w:pPr>
        <w:pStyle w:val="EndnoteText"/>
        <w:rPr>
          <w:rFonts w:ascii="Times New Roman" w:hAnsi="Times New Roman" w:cs="Times New Roman"/>
          <w:sz w:val="18"/>
          <w:szCs w:val="18"/>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Pr="005B5B36">
        <w:rPr>
          <w:rFonts w:ascii="Times New Roman" w:hAnsi="Times New Roman" w:cs="Times New Roman"/>
          <w:sz w:val="18"/>
          <w:szCs w:val="18"/>
        </w:rPr>
        <w:t>COM(2025) 187 final</w:t>
      </w:r>
      <w:r>
        <w:rPr>
          <w:rFonts w:ascii="Times New Roman" w:hAnsi="Times New Roman" w:cs="Times New Roman"/>
          <w:sz w:val="18"/>
          <w:szCs w:val="18"/>
        </w:rPr>
        <w:t>.</w:t>
      </w:r>
    </w:p>
  </w:endnote>
  <w:endnote w:id="63">
    <w:p w14:paraId="7F00FD11" w14:textId="2A1ED385" w:rsidR="009C62D6" w:rsidRPr="006E0577" w:rsidRDefault="009C62D6">
      <w:pPr>
        <w:pStyle w:val="EndnoteText"/>
        <w:rPr>
          <w:rFonts w:ascii="Times New Roman" w:hAnsi="Times New Roman" w:cs="Times New Roman"/>
          <w:sz w:val="18"/>
          <w:szCs w:val="18"/>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hyperlink r:id="rId12" w:history="1">
        <w:r w:rsidR="00A44699" w:rsidRPr="006E0577">
          <w:rPr>
            <w:rStyle w:val="Hyperlink"/>
            <w:rFonts w:ascii="Times New Roman" w:hAnsi="Times New Roman" w:cs="Times New Roman"/>
            <w:sz w:val="18"/>
            <w:szCs w:val="18"/>
          </w:rPr>
          <w:t>Global Gateway Investment Package South Africa</w:t>
        </w:r>
      </w:hyperlink>
    </w:p>
  </w:endnote>
  <w:endnote w:id="64">
    <w:p w14:paraId="2B780C2B" w14:textId="721C2A30" w:rsidR="00242E54" w:rsidRPr="006E0577" w:rsidRDefault="00242E54">
      <w:pPr>
        <w:pStyle w:val="EndnoteText"/>
        <w:rPr>
          <w:rFonts w:ascii="Times New Roman" w:hAnsi="Times New Roman" w:cs="Times New Roman"/>
          <w:sz w:val="18"/>
          <w:szCs w:val="18"/>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Pr="00EC17DB">
        <w:rPr>
          <w:rFonts w:ascii="Times New Roman" w:hAnsi="Times New Roman" w:cs="Times New Roman"/>
          <w:sz w:val="18"/>
          <w:szCs w:val="18"/>
        </w:rPr>
        <w:t>Regulation (EU) 2025/2083</w:t>
      </w:r>
      <w:r>
        <w:rPr>
          <w:rFonts w:ascii="Times New Roman" w:hAnsi="Times New Roman" w:cs="Times New Roman"/>
          <w:sz w:val="18"/>
          <w:szCs w:val="18"/>
        </w:rPr>
        <w:t>.</w:t>
      </w:r>
    </w:p>
  </w:endnote>
  <w:endnote w:id="65">
    <w:p w14:paraId="58011A16" w14:textId="77777777" w:rsidR="00976892" w:rsidRPr="001D74EB" w:rsidRDefault="00976892" w:rsidP="00976892">
      <w:pPr>
        <w:pStyle w:val="EndnoteText"/>
        <w:rPr>
          <w:rFonts w:ascii="Times New Roman" w:hAnsi="Times New Roman" w:cs="Times New Roman"/>
          <w:sz w:val="18"/>
          <w:szCs w:val="18"/>
        </w:rPr>
      </w:pPr>
      <w:r w:rsidRPr="006E0577">
        <w:rPr>
          <w:rStyle w:val="EndnoteReference"/>
          <w:rFonts w:ascii="Times New Roman" w:hAnsi="Times New Roman" w:cs="Times New Roman"/>
          <w:sz w:val="18"/>
          <w:szCs w:val="18"/>
        </w:rPr>
        <w:endnoteRef/>
      </w:r>
      <w:r>
        <w:rPr>
          <w:rFonts w:ascii="Times New Roman" w:hAnsi="Times New Roman" w:cs="Times New Roman"/>
          <w:sz w:val="18"/>
          <w:szCs w:val="18"/>
        </w:rPr>
        <w:t xml:space="preserve"> </w:t>
      </w:r>
      <w:hyperlink r:id="rId13" w:history="1">
        <w:r w:rsidRPr="006E0577">
          <w:rPr>
            <w:rStyle w:val="Hyperlink"/>
            <w:rFonts w:ascii="Times New Roman" w:hAnsi="Times New Roman" w:cs="Times New Roman"/>
            <w:sz w:val="18"/>
            <w:szCs w:val="18"/>
          </w:rPr>
          <w:t>Commission strengthens the Carbon Border Adjustment Mechanism</w:t>
        </w:r>
      </w:hyperlink>
      <w:r>
        <w:rPr>
          <w:rFonts w:ascii="Times New Roman" w:hAnsi="Times New Roman" w:cs="Times New Roman"/>
          <w:sz w:val="18"/>
          <w:szCs w:val="18"/>
        </w:rPr>
        <w:t xml:space="preserve">  </w:t>
      </w:r>
    </w:p>
  </w:endnote>
  <w:endnote w:id="66">
    <w:p w14:paraId="64DEAA9F" w14:textId="26E324D2" w:rsidR="002C5A75" w:rsidRPr="000137E8" w:rsidRDefault="002C5A75">
      <w:pPr>
        <w:pStyle w:val="EndnoteText"/>
        <w:rPr>
          <w:rFonts w:ascii="Times New Roman" w:hAnsi="Times New Roman" w:cs="Times New Roman"/>
          <w:sz w:val="18"/>
          <w:szCs w:val="18"/>
        </w:rPr>
      </w:pPr>
      <w:r w:rsidRPr="000137E8">
        <w:rPr>
          <w:rStyle w:val="EndnoteReference"/>
          <w:rFonts w:ascii="Times New Roman" w:hAnsi="Times New Roman" w:cs="Times New Roman"/>
          <w:sz w:val="18"/>
          <w:szCs w:val="18"/>
        </w:rPr>
        <w:endnoteRef/>
      </w:r>
      <w:r w:rsidRPr="000137E8">
        <w:rPr>
          <w:rFonts w:ascii="Times New Roman" w:hAnsi="Times New Roman" w:cs="Times New Roman"/>
          <w:sz w:val="18"/>
          <w:szCs w:val="18"/>
        </w:rPr>
        <w:t xml:space="preserve"> </w:t>
      </w:r>
      <w:hyperlink r:id="rId14" w:history="1">
        <w:r w:rsidRPr="00B53C1F">
          <w:rPr>
            <w:rStyle w:val="Hyperlink"/>
            <w:rFonts w:ascii="Times New Roman" w:hAnsi="Times New Roman" w:cs="Times New Roman"/>
            <w:sz w:val="18"/>
            <w:szCs w:val="18"/>
          </w:rPr>
          <w:t xml:space="preserve">Trans-Mediterranean Renewable Energy and Clean-Tech Cooperation Initiative (T-MED) - Middle East, North Africa and the </w:t>
        </w:r>
        <w:bookmarkStart w:id="162" w:name="_Hlt219907374"/>
        <w:bookmarkStart w:id="163" w:name="_Hlt219907375"/>
        <w:r w:rsidRPr="00B53C1F">
          <w:rPr>
            <w:rStyle w:val="Hyperlink"/>
            <w:rFonts w:ascii="Times New Roman" w:hAnsi="Times New Roman" w:cs="Times New Roman"/>
            <w:sz w:val="18"/>
            <w:szCs w:val="18"/>
          </w:rPr>
          <w:t>G</w:t>
        </w:r>
        <w:bookmarkEnd w:id="162"/>
        <w:bookmarkEnd w:id="163"/>
        <w:r w:rsidRPr="00B53C1F">
          <w:rPr>
            <w:rStyle w:val="Hyperlink"/>
            <w:rFonts w:ascii="Times New Roman" w:hAnsi="Times New Roman" w:cs="Times New Roman"/>
            <w:sz w:val="18"/>
            <w:szCs w:val="18"/>
          </w:rPr>
          <w:t>ulf</w:t>
        </w:r>
      </w:hyperlink>
      <w:r w:rsidRPr="000137E8">
        <w:rPr>
          <w:rFonts w:ascii="Times New Roman" w:hAnsi="Times New Roman" w:cs="Times New Roman"/>
          <w:sz w:val="18"/>
          <w:szCs w:val="18"/>
        </w:rPr>
        <w:t xml:space="preserve"> </w:t>
      </w:r>
      <w:r w:rsidR="00B77E08" w:rsidRPr="000137E8">
        <w:rPr>
          <w:rFonts w:ascii="Times New Roman" w:hAnsi="Times New Roman" w:cs="Times New Roman"/>
          <w:sz w:val="18"/>
          <w:szCs w:val="18"/>
        </w:rPr>
        <w:t xml:space="preserve"> </w:t>
      </w:r>
    </w:p>
  </w:endnote>
  <w:endnote w:id="67">
    <w:p w14:paraId="6C045C0D" w14:textId="77777777" w:rsidR="00E40C9A" w:rsidRPr="006E0577" w:rsidRDefault="00E40C9A" w:rsidP="00E40C9A">
      <w:pPr>
        <w:pStyle w:val="EndnoteText"/>
        <w:rPr>
          <w:rFonts w:ascii="Times New Roman" w:hAnsi="Times New Roman" w:cs="Times New Roman"/>
          <w:sz w:val="18"/>
          <w:szCs w:val="18"/>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Pr="00E83C1F">
        <w:rPr>
          <w:rFonts w:ascii="Times New Roman" w:hAnsi="Times New Roman" w:cs="Times New Roman"/>
          <w:sz w:val="18"/>
          <w:szCs w:val="18"/>
        </w:rPr>
        <w:t xml:space="preserve">COM(2025) 989 final </w:t>
      </w:r>
      <w:r>
        <w:rPr>
          <w:rFonts w:ascii="Times New Roman" w:hAnsi="Times New Roman" w:cs="Times New Roman"/>
          <w:sz w:val="18"/>
          <w:szCs w:val="18"/>
        </w:rPr>
        <w:t xml:space="preserve"> or</w:t>
      </w:r>
      <w:r w:rsidRPr="00E83C1F">
        <w:rPr>
          <w:rFonts w:ascii="Times New Roman" w:hAnsi="Times New Roman" w:cs="Times New Roman"/>
          <w:sz w:val="18"/>
          <w:szCs w:val="18"/>
        </w:rPr>
        <w:t xml:space="preserve"> 2025/0419 (COD)</w:t>
      </w:r>
      <w:r>
        <w:rPr>
          <w:rFonts w:ascii="Times New Roman" w:hAnsi="Times New Roman" w:cs="Times New Roman"/>
          <w:sz w:val="18"/>
          <w:szCs w:val="18"/>
        </w:rPr>
        <w:t xml:space="preserve">; </w:t>
      </w:r>
      <w:r w:rsidRPr="00750904">
        <w:rPr>
          <w:rFonts w:ascii="Times New Roman" w:hAnsi="Times New Roman" w:cs="Times New Roman"/>
          <w:sz w:val="18"/>
          <w:szCs w:val="18"/>
        </w:rPr>
        <w:t>COM(2025) 990 final</w:t>
      </w:r>
      <w:r>
        <w:rPr>
          <w:rFonts w:ascii="Times New Roman" w:hAnsi="Times New Roman" w:cs="Times New Roman"/>
          <w:sz w:val="18"/>
          <w:szCs w:val="18"/>
        </w:rPr>
        <w:t xml:space="preserve"> or 2</w:t>
      </w:r>
      <w:r w:rsidRPr="00750904">
        <w:rPr>
          <w:rFonts w:ascii="Times New Roman" w:hAnsi="Times New Roman" w:cs="Times New Roman"/>
          <w:sz w:val="18"/>
          <w:szCs w:val="18"/>
        </w:rPr>
        <w:t>025/0418 (COD)</w:t>
      </w:r>
      <w:r>
        <w:rPr>
          <w:rFonts w:ascii="Times New Roman" w:hAnsi="Times New Roman" w:cs="Times New Roman"/>
          <w:sz w:val="18"/>
          <w:szCs w:val="18"/>
        </w:rPr>
        <w:t>.</w:t>
      </w:r>
    </w:p>
  </w:endnote>
  <w:endnote w:id="68">
    <w:p w14:paraId="2F659D14" w14:textId="6C5E8423" w:rsidR="00FA50D6" w:rsidRPr="006E0577" w:rsidRDefault="00FA50D6">
      <w:pPr>
        <w:pStyle w:val="EndnoteText"/>
        <w:rPr>
          <w:rFonts w:ascii="Times New Roman" w:hAnsi="Times New Roman" w:cs="Times New Roman"/>
          <w:sz w:val="18"/>
          <w:szCs w:val="18"/>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Pr="00EC17DB">
        <w:rPr>
          <w:rFonts w:ascii="Times New Roman" w:hAnsi="Times New Roman" w:cs="Times New Roman"/>
          <w:sz w:val="18"/>
          <w:szCs w:val="18"/>
        </w:rPr>
        <w:t>C(2026) 42 final</w:t>
      </w:r>
      <w:r w:rsidR="004643D4">
        <w:rPr>
          <w:rFonts w:ascii="Times New Roman" w:hAnsi="Times New Roman" w:cs="Times New Roman"/>
          <w:sz w:val="18"/>
          <w:szCs w:val="18"/>
        </w:rPr>
        <w:t>.</w:t>
      </w:r>
    </w:p>
  </w:endnote>
  <w:endnote w:id="69">
    <w:p w14:paraId="3F148EBD" w14:textId="1F6E27D5" w:rsidR="008E1AF5" w:rsidRPr="00EC17DB" w:rsidRDefault="008E1AF5">
      <w:pPr>
        <w:pStyle w:val="EndnoteText"/>
        <w:rPr>
          <w:rFonts w:ascii="Times New Roman" w:hAnsi="Times New Roman" w:cs="Times New Roman"/>
          <w:sz w:val="18"/>
          <w:szCs w:val="18"/>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Pr="00EC17DB">
        <w:rPr>
          <w:rFonts w:ascii="Times New Roman" w:hAnsi="Times New Roman" w:cs="Times New Roman"/>
          <w:sz w:val="18"/>
          <w:szCs w:val="18"/>
        </w:rPr>
        <w:t>COM(2025) 90 final</w:t>
      </w:r>
      <w:r w:rsidR="004643D4">
        <w:rPr>
          <w:rFonts w:ascii="Times New Roman" w:hAnsi="Times New Roman" w:cs="Times New Roman"/>
          <w:sz w:val="18"/>
          <w:szCs w:val="18"/>
        </w:rPr>
        <w:t>.</w:t>
      </w:r>
    </w:p>
  </w:endnote>
  <w:endnote w:id="70">
    <w:p w14:paraId="651639C3" w14:textId="782F167C" w:rsidR="00C7154A" w:rsidRPr="00EC17DB" w:rsidRDefault="00C7154A">
      <w:pPr>
        <w:pStyle w:val="EndnoteText"/>
        <w:rPr>
          <w:lang w:val="en-IE"/>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Pr="00EC17DB">
        <w:rPr>
          <w:rFonts w:ascii="Times New Roman" w:hAnsi="Times New Roman" w:cs="Times New Roman"/>
          <w:sz w:val="18"/>
          <w:szCs w:val="18"/>
        </w:rPr>
        <w:t>COM(2025) 944</w:t>
      </w:r>
      <w:r w:rsidR="000A325E">
        <w:rPr>
          <w:rFonts w:ascii="Times New Roman" w:hAnsi="Times New Roman" w:cs="Times New Roman"/>
          <w:sz w:val="18"/>
          <w:szCs w:val="18"/>
        </w:rPr>
        <w:t>.</w:t>
      </w:r>
    </w:p>
  </w:endnote>
  <w:endnote w:id="71">
    <w:p w14:paraId="5701D5DF" w14:textId="6FE03FD8" w:rsidR="00B14F22" w:rsidRPr="006E0577" w:rsidRDefault="00B14F22">
      <w:pPr>
        <w:pStyle w:val="EndnoteText"/>
        <w:rPr>
          <w:lang w:val="en-IE"/>
        </w:rPr>
      </w:pPr>
      <w:r>
        <w:rPr>
          <w:rStyle w:val="EndnoteReference"/>
        </w:rPr>
        <w:endnoteRef/>
      </w:r>
      <w:r>
        <w:t xml:space="preserve"> </w:t>
      </w:r>
      <w:r w:rsidRPr="001B4DB2">
        <w:rPr>
          <w:rFonts w:ascii="Times New Roman" w:hAnsi="Times New Roman" w:cs="Times New Roman"/>
          <w:sz w:val="18"/>
          <w:szCs w:val="18"/>
        </w:rPr>
        <w:t>COM(2025) 500 final</w:t>
      </w:r>
      <w:r w:rsidR="00DC4F78">
        <w:rPr>
          <w:rFonts w:ascii="Times New Roman" w:hAnsi="Times New Roman" w:cs="Times New Roman"/>
          <w:sz w:val="18"/>
          <w:szCs w:val="18"/>
        </w:rPr>
        <w:t xml:space="preserve"> </w:t>
      </w:r>
    </w:p>
  </w:endnote>
  <w:endnote w:id="72">
    <w:p w14:paraId="73169E66" w14:textId="34F9C91F" w:rsidR="004662C9" w:rsidRPr="00EC17DB" w:rsidRDefault="004662C9">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00972318" w:rsidRPr="00EC17DB">
        <w:rPr>
          <w:rFonts w:ascii="Times New Roman" w:hAnsi="Times New Roman" w:cs="Times New Roman"/>
          <w:sz w:val="18"/>
          <w:szCs w:val="18"/>
        </w:rPr>
        <w:t>COM(2025) 836, COM(2025) 837</w:t>
      </w:r>
      <w:r w:rsidR="00804E38">
        <w:rPr>
          <w:rFonts w:ascii="Times New Roman" w:hAnsi="Times New Roman" w:cs="Times New Roman"/>
          <w:sz w:val="18"/>
          <w:szCs w:val="18"/>
        </w:rPr>
        <w:t>.</w:t>
      </w:r>
    </w:p>
  </w:endnote>
  <w:endnote w:id="73">
    <w:p w14:paraId="5BA629D6" w14:textId="0B414534" w:rsidR="009B64D0" w:rsidRPr="00EC17DB" w:rsidRDefault="009B64D0">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9B64D0">
        <w:rPr>
          <w:rFonts w:ascii="Times New Roman" w:hAnsi="Times New Roman" w:cs="Times New Roman"/>
          <w:sz w:val="18"/>
          <w:szCs w:val="18"/>
        </w:rPr>
        <w:t>COM(2025) 981, 982, 983, 984, 985, 986 final</w:t>
      </w:r>
      <w:r w:rsidR="00804E38">
        <w:rPr>
          <w:rFonts w:ascii="Times New Roman" w:hAnsi="Times New Roman" w:cs="Times New Roman"/>
          <w:sz w:val="18"/>
          <w:szCs w:val="18"/>
        </w:rPr>
        <w:t>.</w:t>
      </w:r>
    </w:p>
  </w:endnote>
  <w:endnote w:id="74">
    <w:p w14:paraId="1D769FF6" w14:textId="4BCD33FD" w:rsidR="009B64D0" w:rsidRPr="00EC17DB" w:rsidRDefault="009B64D0">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9B64D0">
        <w:rPr>
          <w:rFonts w:ascii="Times New Roman" w:hAnsi="Times New Roman" w:cs="Times New Roman"/>
          <w:sz w:val="18"/>
          <w:szCs w:val="18"/>
        </w:rPr>
        <w:t>COM(2025) 503 final, COM(2025) 504 final</w:t>
      </w:r>
      <w:r w:rsidR="00804E38">
        <w:rPr>
          <w:rFonts w:ascii="Times New Roman" w:hAnsi="Times New Roman" w:cs="Times New Roman"/>
          <w:sz w:val="18"/>
          <w:szCs w:val="18"/>
        </w:rPr>
        <w:t>.</w:t>
      </w:r>
    </w:p>
  </w:endnote>
  <w:endnote w:id="75">
    <w:p w14:paraId="5FE9D699" w14:textId="6AFF2414" w:rsidR="009B64D0" w:rsidRPr="00EC17DB" w:rsidRDefault="009B64D0">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9B64D0">
        <w:rPr>
          <w:rFonts w:ascii="Times New Roman" w:hAnsi="Times New Roman" w:cs="Times New Roman"/>
          <w:sz w:val="18"/>
          <w:szCs w:val="18"/>
        </w:rPr>
        <w:t>COM(2025) 991 final</w:t>
      </w:r>
      <w:r w:rsidR="00804E38">
        <w:rPr>
          <w:rFonts w:ascii="Times New Roman" w:hAnsi="Times New Roman" w:cs="Times New Roman"/>
          <w:sz w:val="18"/>
          <w:szCs w:val="18"/>
        </w:rPr>
        <w:t>.</w:t>
      </w:r>
    </w:p>
  </w:endnote>
  <w:endnote w:id="76">
    <w:p w14:paraId="13777B01" w14:textId="3672BDF9" w:rsidR="00006E6E" w:rsidRPr="006E0577" w:rsidRDefault="00006E6E">
      <w:pPr>
        <w:pStyle w:val="EndnoteText"/>
        <w:rPr>
          <w:rFonts w:ascii="Times New Roman" w:hAnsi="Times New Roman" w:cs="Times New Roman"/>
          <w:sz w:val="18"/>
          <w:szCs w:val="18"/>
        </w:rPr>
      </w:pPr>
      <w:r w:rsidRPr="006E0577">
        <w:rPr>
          <w:rStyle w:val="EndnoteReference"/>
          <w:rFonts w:ascii="Times New Roman" w:hAnsi="Times New Roman" w:cs="Times New Roman"/>
          <w:sz w:val="18"/>
          <w:szCs w:val="18"/>
        </w:rPr>
        <w:endnoteRef/>
      </w:r>
      <w:r w:rsidRPr="006E0577">
        <w:rPr>
          <w:rFonts w:ascii="Times New Roman" w:hAnsi="Times New Roman" w:cs="Times New Roman"/>
          <w:sz w:val="18"/>
          <w:szCs w:val="18"/>
        </w:rPr>
        <w:t xml:space="preserve"> </w:t>
      </w:r>
      <w:r w:rsidR="000E3F39" w:rsidRPr="000E3F39">
        <w:rPr>
          <w:rFonts w:ascii="Times New Roman" w:hAnsi="Times New Roman" w:cs="Times New Roman"/>
          <w:sz w:val="18"/>
          <w:szCs w:val="18"/>
        </w:rPr>
        <w:t>COM(2026) 16 final</w:t>
      </w:r>
      <w:r w:rsidR="000E3F39">
        <w:rPr>
          <w:rFonts w:ascii="Times New Roman" w:hAnsi="Times New Roman" w:cs="Times New Roman"/>
          <w:sz w:val="18"/>
          <w:szCs w:val="18"/>
        </w:rPr>
        <w:t>.</w:t>
      </w:r>
    </w:p>
  </w:endnote>
  <w:endnote w:id="77">
    <w:p w14:paraId="43CBD1FD" w14:textId="6AFA86DB" w:rsidR="009B64D0" w:rsidRPr="00EC17DB" w:rsidRDefault="009B64D0">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hyperlink r:id="rId15" w:history="1">
        <w:r w:rsidRPr="009B64D0">
          <w:rPr>
            <w:rStyle w:val="Hyperlink"/>
            <w:rFonts w:ascii="Times New Roman" w:hAnsi="Times New Roman" w:cs="Times New Roman"/>
            <w:sz w:val="18"/>
            <w:szCs w:val="18"/>
          </w:rPr>
          <w:t>SME Self-assessment | EU Funding &amp; Tenders Portal</w:t>
        </w:r>
      </w:hyperlink>
    </w:p>
  </w:endnote>
  <w:endnote w:id="78">
    <w:p w14:paraId="37DA9A46" w14:textId="3C542517" w:rsidR="009B64D0" w:rsidRPr="00EC17DB" w:rsidRDefault="009B64D0">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9B64D0">
        <w:rPr>
          <w:rFonts w:ascii="Times New Roman" w:hAnsi="Times New Roman" w:cs="Times New Roman"/>
          <w:sz w:val="18"/>
          <w:szCs w:val="18"/>
          <w:lang w:val="en-US"/>
        </w:rPr>
        <w:t xml:space="preserve">C(2025) 3500 </w:t>
      </w:r>
      <w:r w:rsidRPr="009B64D0">
        <w:rPr>
          <w:rFonts w:ascii="Times New Roman" w:hAnsi="Times New Roman" w:cs="Times New Roman"/>
          <w:sz w:val="18"/>
          <w:szCs w:val="18"/>
        </w:rPr>
        <w:t>Commission recommendation of 21.5.2025 on the definition of small mid-cap enterprises</w:t>
      </w:r>
    </w:p>
  </w:endnote>
  <w:endnote w:id="79">
    <w:p w14:paraId="45DEA138" w14:textId="5B2D20BA" w:rsidR="009B64D0" w:rsidRPr="00EC17DB" w:rsidRDefault="009B64D0">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9B64D0">
        <w:rPr>
          <w:rFonts w:ascii="Times New Roman" w:hAnsi="Times New Roman" w:cs="Times New Roman"/>
          <w:sz w:val="18"/>
          <w:szCs w:val="18"/>
        </w:rPr>
        <w:t>COM(2025) 501 final, COM(2025) 502 final</w:t>
      </w:r>
      <w:r w:rsidR="00804E38">
        <w:rPr>
          <w:rFonts w:ascii="Times New Roman" w:hAnsi="Times New Roman" w:cs="Times New Roman"/>
          <w:sz w:val="18"/>
          <w:szCs w:val="18"/>
        </w:rPr>
        <w:t>.</w:t>
      </w:r>
    </w:p>
  </w:endnote>
  <w:endnote w:id="80">
    <w:p w14:paraId="4DD39E9C" w14:textId="41AA86A9" w:rsidR="009B64D0" w:rsidRPr="00EC17DB" w:rsidRDefault="009B64D0">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9B64D0">
        <w:rPr>
          <w:rFonts w:ascii="Times New Roman" w:hAnsi="Times New Roman" w:cs="Times New Roman"/>
          <w:sz w:val="18"/>
          <w:szCs w:val="18"/>
        </w:rPr>
        <w:t>C(2025) 4984 final</w:t>
      </w:r>
      <w:r w:rsidR="00804E38">
        <w:rPr>
          <w:rFonts w:ascii="Times New Roman" w:hAnsi="Times New Roman" w:cs="Times New Roman"/>
          <w:sz w:val="18"/>
          <w:szCs w:val="18"/>
        </w:rPr>
        <w:t>.</w:t>
      </w:r>
    </w:p>
  </w:endnote>
  <w:endnote w:id="81">
    <w:p w14:paraId="26645A21" w14:textId="6DBE7E3C" w:rsidR="009B64D0" w:rsidRPr="00EC17DB" w:rsidRDefault="009B64D0">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9B64D0">
        <w:rPr>
          <w:rFonts w:ascii="Times New Roman" w:hAnsi="Times New Roman" w:cs="Times New Roman"/>
          <w:sz w:val="18"/>
          <w:szCs w:val="18"/>
        </w:rPr>
        <w:t>COM(2025) 838 final</w:t>
      </w:r>
      <w:r w:rsidR="00804E38">
        <w:rPr>
          <w:rFonts w:ascii="Times New Roman" w:hAnsi="Times New Roman" w:cs="Times New Roman"/>
          <w:sz w:val="18"/>
          <w:szCs w:val="18"/>
        </w:rPr>
        <w:t>.</w:t>
      </w:r>
    </w:p>
  </w:endnote>
  <w:endnote w:id="82">
    <w:p w14:paraId="35B512E8" w14:textId="0B0DE9C6" w:rsidR="009B64D0" w:rsidRPr="006E0577" w:rsidRDefault="009B64D0">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9B64D0">
        <w:rPr>
          <w:rFonts w:ascii="Times New Roman" w:hAnsi="Times New Roman" w:cs="Times New Roman"/>
          <w:sz w:val="18"/>
          <w:szCs w:val="18"/>
        </w:rPr>
        <w:t>COM(2025) 503 final, COM(2025) 504 final</w:t>
      </w:r>
      <w:r w:rsidR="00804E38">
        <w:rPr>
          <w:rFonts w:ascii="Times New Roman" w:hAnsi="Times New Roman" w:cs="Times New Roman"/>
          <w:sz w:val="18"/>
          <w:szCs w:val="18"/>
        </w:rPr>
        <w:t>.</w:t>
      </w:r>
    </w:p>
  </w:endnote>
  <w:endnote w:id="83">
    <w:p w14:paraId="594B71FF" w14:textId="6E24D2E2" w:rsidR="009B64D0" w:rsidRPr="00EC17DB" w:rsidRDefault="009B64D0">
      <w:pPr>
        <w:pStyle w:val="EndnoteText"/>
        <w:rPr>
          <w:rFonts w:ascii="Times New Roman" w:hAnsi="Times New Roman" w:cs="Times New Roman"/>
          <w:sz w:val="18"/>
          <w:szCs w:val="18"/>
          <w:lang w:val="en-IE"/>
        </w:rPr>
      </w:pPr>
      <w:r w:rsidRPr="00EC17DB">
        <w:rPr>
          <w:rStyle w:val="EndnoteReference"/>
          <w:rFonts w:ascii="Times New Roman" w:hAnsi="Times New Roman" w:cs="Times New Roman"/>
          <w:sz w:val="18"/>
          <w:szCs w:val="18"/>
        </w:rPr>
        <w:endnoteRef/>
      </w:r>
      <w:r w:rsidRPr="00EC17DB">
        <w:rPr>
          <w:rFonts w:ascii="Times New Roman" w:hAnsi="Times New Roman" w:cs="Times New Roman"/>
          <w:sz w:val="18"/>
          <w:szCs w:val="18"/>
        </w:rPr>
        <w:t xml:space="preserve"> </w:t>
      </w:r>
      <w:r w:rsidRPr="00EC17DB">
        <w:rPr>
          <w:rFonts w:ascii="Times New Roman" w:hAnsi="Times New Roman" w:cs="Times New Roman"/>
          <w:sz w:val="18"/>
          <w:szCs w:val="18"/>
          <w:lang w:val="en-IE"/>
        </w:rPr>
        <w:t xml:space="preserve">See </w:t>
      </w:r>
      <w:r w:rsidR="00274C80" w:rsidRPr="00EC17DB">
        <w:rPr>
          <w:rFonts w:ascii="Times New Roman" w:hAnsi="Times New Roman" w:cs="Times New Roman"/>
          <w:sz w:val="18"/>
          <w:szCs w:val="18"/>
          <w:lang w:val="en-IE"/>
        </w:rPr>
        <w:t>Section 1, Box 2 of the main Report</w:t>
      </w:r>
      <w:r w:rsidR="00804E38">
        <w:rPr>
          <w:rFonts w:ascii="Times New Roman" w:hAnsi="Times New Roman" w:cs="Times New Roman"/>
          <w:sz w:val="18"/>
          <w:szCs w:val="18"/>
          <w:lang w:val="en-IE"/>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80D26" w14:textId="6B6E6EEE" w:rsidR="00E7679D" w:rsidRPr="00E7679D" w:rsidRDefault="00E7679D" w:rsidP="00E7679D">
    <w:pPr>
      <w:pStyle w:val="FooterCoverPage"/>
      <w:rPr>
        <w:rFonts w:ascii="Arial" w:hAnsi="Arial" w:cs="Arial"/>
        <w:b/>
        <w:sz w:val="48"/>
      </w:rPr>
    </w:pPr>
    <w:r w:rsidRPr="00E7679D">
      <w:rPr>
        <w:rFonts w:ascii="Arial" w:hAnsi="Arial" w:cs="Arial"/>
        <w:b/>
        <w:sz w:val="48"/>
      </w:rPr>
      <w:t>EN</w:t>
    </w:r>
    <w:r w:rsidRPr="00E7679D">
      <w:rPr>
        <w:rFonts w:ascii="Arial" w:hAnsi="Arial" w:cs="Arial"/>
        <w:b/>
        <w:sz w:val="48"/>
      </w:rPr>
      <w:tab/>
    </w:r>
    <w:r w:rsidRPr="00E7679D">
      <w:rPr>
        <w:rFonts w:ascii="Arial" w:hAnsi="Arial" w:cs="Arial"/>
        <w:b/>
        <w:sz w:val="48"/>
      </w:rPr>
      <w:tab/>
    </w:r>
    <w:r w:rsidRPr="00E7679D">
      <w:tab/>
    </w:r>
    <w:proofErr w:type="spellStart"/>
    <w:r w:rsidRPr="00E7679D">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A0EB" w14:textId="57CA7D7C" w:rsidR="00E7679D" w:rsidRPr="00E7679D" w:rsidRDefault="00E7679D" w:rsidP="00E7679D">
    <w:pPr>
      <w:pStyle w:val="FooterCoverPage"/>
      <w:rPr>
        <w:rFonts w:ascii="Arial" w:hAnsi="Arial" w:cs="Arial"/>
        <w:b/>
        <w:sz w:val="48"/>
      </w:rPr>
    </w:pPr>
    <w:r w:rsidRPr="00E7679D">
      <w:rPr>
        <w:rFonts w:ascii="Arial" w:hAnsi="Arial" w:cs="Arial"/>
        <w:b/>
        <w:sz w:val="48"/>
      </w:rPr>
      <w:t>EN</w:t>
    </w:r>
    <w:r w:rsidRPr="00E7679D">
      <w:rPr>
        <w:rFonts w:ascii="Arial" w:hAnsi="Arial" w:cs="Arial"/>
        <w:b/>
        <w:sz w:val="48"/>
      </w:rPr>
      <w:tab/>
    </w:r>
    <w:r w:rsidRPr="00E7679D">
      <w:rPr>
        <w:rFonts w:ascii="Arial" w:hAnsi="Arial" w:cs="Arial"/>
        <w:b/>
        <w:sz w:val="48"/>
      </w:rPr>
      <w:tab/>
    </w:r>
    <w:r w:rsidRPr="00E7679D">
      <w:tab/>
    </w:r>
    <w:proofErr w:type="spellStart"/>
    <w:r w:rsidRPr="00E7679D">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9B202" w14:textId="77777777" w:rsidR="00E7679D" w:rsidRPr="00E7679D" w:rsidRDefault="00E7679D" w:rsidP="00E7679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9B734" w14:textId="77777777" w:rsidR="00FB4850" w:rsidRDefault="00FB48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A94EB" w14:textId="3B1647D0" w:rsidR="00FB4850" w:rsidRPr="005112EA" w:rsidRDefault="00FB4850">
    <w:pPr>
      <w:pStyle w:val="Footer"/>
      <w:jc w:val="center"/>
      <w:rPr>
        <w:rFonts w:ascii="Times New Roman" w:hAnsi="Times New Roman" w:cs="Times New Roman"/>
      </w:rPr>
    </w:pPr>
    <w:r w:rsidRPr="005112EA">
      <w:rPr>
        <w:rFonts w:ascii="Times New Roman" w:hAnsi="Times New Roman" w:cs="Times New Roman"/>
      </w:rPr>
      <w:fldChar w:fldCharType="begin"/>
    </w:r>
    <w:r w:rsidRPr="005112EA">
      <w:rPr>
        <w:rFonts w:ascii="Times New Roman" w:hAnsi="Times New Roman" w:cs="Times New Roman"/>
      </w:rPr>
      <w:instrText xml:space="preserve"> PAGE </w:instrText>
    </w:r>
    <w:r w:rsidRPr="005112EA">
      <w:rPr>
        <w:rFonts w:ascii="Times New Roman" w:hAnsi="Times New Roman" w:cs="Times New Roman"/>
      </w:rPr>
      <w:fldChar w:fldCharType="separate"/>
    </w:r>
    <w:r w:rsidR="00E7679D">
      <w:rPr>
        <w:rFonts w:ascii="Times New Roman" w:hAnsi="Times New Roman" w:cs="Times New Roman"/>
        <w:noProof/>
      </w:rPr>
      <w:t>2</w:t>
    </w:r>
    <w:r w:rsidRPr="005112EA">
      <w:rPr>
        <w:rFonts w:ascii="Times New Roman" w:hAnsi="Times New Roman" w:cs="Times New Roman"/>
      </w:rPr>
      <w:fldChar w:fldCharType="end"/>
    </w:r>
  </w:p>
  <w:p w14:paraId="74FFB8E2" w14:textId="77777777" w:rsidR="00FB4850" w:rsidRPr="005112EA" w:rsidRDefault="00FB4850">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184E" w14:textId="77777777" w:rsidR="00FB4850" w:rsidRDefault="00FB485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E5C7A" w14:textId="77777777" w:rsidR="00885DD3" w:rsidRPr="005112EA" w:rsidRDefault="00885DD3">
    <w:pPr>
      <w:pStyle w:val="Footer"/>
      <w:jc w:val="center"/>
      <w:rPr>
        <w:rFonts w:ascii="Times New Roman" w:hAnsi="Times New Roman" w:cs="Times New Roman"/>
      </w:rPr>
    </w:pPr>
    <w:r w:rsidRPr="005112EA">
      <w:rPr>
        <w:rFonts w:ascii="Times New Roman" w:hAnsi="Times New Roman" w:cs="Times New Roman"/>
      </w:rPr>
      <w:fldChar w:fldCharType="begin"/>
    </w:r>
    <w:r w:rsidRPr="005112EA">
      <w:rPr>
        <w:rFonts w:ascii="Times New Roman" w:hAnsi="Times New Roman" w:cs="Times New Roman"/>
      </w:rPr>
      <w:instrText xml:space="preserve"> PAGE </w:instrText>
    </w:r>
    <w:r w:rsidRPr="005112EA">
      <w:rPr>
        <w:rFonts w:ascii="Times New Roman" w:hAnsi="Times New Roman" w:cs="Times New Roman"/>
      </w:rPr>
      <w:fldChar w:fldCharType="separate"/>
    </w:r>
    <w:r w:rsidRPr="005112EA">
      <w:rPr>
        <w:rFonts w:ascii="Times New Roman" w:hAnsi="Times New Roman" w:cs="Times New Roman"/>
        <w:noProof/>
      </w:rPr>
      <w:t>1</w:t>
    </w:r>
    <w:r w:rsidRPr="005112EA">
      <w:rPr>
        <w:rFonts w:ascii="Times New Roman" w:hAnsi="Times New Roman" w:cs="Times New Roman"/>
      </w:rPr>
      <w:fldChar w:fldCharType="end"/>
    </w:r>
  </w:p>
  <w:p w14:paraId="108EBD71" w14:textId="77777777" w:rsidR="00885DD3" w:rsidRPr="005112EA" w:rsidRDefault="00885DD3">
    <w:pPr>
      <w:pStyle w:val="Footer"/>
      <w:rPr>
        <w:rFonts w:ascii="Times New Roman" w:hAnsi="Times New Roman" w:cs="Times New Roman"/>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D38B5" w14:textId="77777777" w:rsidR="00885DD3" w:rsidRPr="005112EA" w:rsidRDefault="00885DD3">
    <w:pPr>
      <w:pStyle w:val="Footer"/>
      <w:jc w:val="center"/>
      <w:rPr>
        <w:rFonts w:ascii="Times New Roman" w:hAnsi="Times New Roman" w:cs="Times New Roman"/>
      </w:rPr>
    </w:pPr>
    <w:r w:rsidRPr="005112EA">
      <w:rPr>
        <w:rFonts w:ascii="Times New Roman" w:hAnsi="Times New Roman" w:cs="Times New Roman"/>
      </w:rPr>
      <w:fldChar w:fldCharType="begin"/>
    </w:r>
    <w:r w:rsidRPr="005112EA">
      <w:rPr>
        <w:rFonts w:ascii="Times New Roman" w:hAnsi="Times New Roman" w:cs="Times New Roman"/>
      </w:rPr>
      <w:instrText xml:space="preserve"> PAGE </w:instrText>
    </w:r>
    <w:r w:rsidRPr="005112EA">
      <w:rPr>
        <w:rFonts w:ascii="Times New Roman" w:hAnsi="Times New Roman" w:cs="Times New Roman"/>
      </w:rPr>
      <w:fldChar w:fldCharType="separate"/>
    </w:r>
    <w:r w:rsidRPr="005112EA">
      <w:rPr>
        <w:rFonts w:ascii="Times New Roman" w:hAnsi="Times New Roman" w:cs="Times New Roman"/>
        <w:noProof/>
      </w:rPr>
      <w:t>1</w:t>
    </w:r>
    <w:r w:rsidRPr="005112EA">
      <w:rPr>
        <w:rFonts w:ascii="Times New Roman" w:hAnsi="Times New Roman" w:cs="Times New Roman"/>
      </w:rPr>
      <w:fldChar w:fldCharType="end"/>
    </w:r>
  </w:p>
  <w:p w14:paraId="2605483B" w14:textId="77777777" w:rsidR="00885DD3" w:rsidRPr="005112EA" w:rsidRDefault="00885DD3">
    <w:pPr>
      <w:pStyle w:val="Footer"/>
      <w:rPr>
        <w:rFonts w:ascii="Times New Roman" w:hAnsi="Times New Roman" w:cs="Times New Roman"/>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9B62C" w14:textId="77777777" w:rsidR="005C18C6" w:rsidRDefault="005C18C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190EA" w14:textId="77777777" w:rsidR="005C18C6" w:rsidRPr="005112EA" w:rsidRDefault="005C18C6">
    <w:pPr>
      <w:pStyle w:val="Footer"/>
      <w:jc w:val="center"/>
      <w:rPr>
        <w:rFonts w:ascii="Times New Roman" w:hAnsi="Times New Roman" w:cs="Times New Roman"/>
      </w:rPr>
    </w:pPr>
    <w:r w:rsidRPr="005112EA">
      <w:rPr>
        <w:rFonts w:ascii="Times New Roman" w:hAnsi="Times New Roman" w:cs="Times New Roman"/>
      </w:rPr>
      <w:fldChar w:fldCharType="begin"/>
    </w:r>
    <w:r w:rsidRPr="005112EA">
      <w:rPr>
        <w:rFonts w:ascii="Times New Roman" w:hAnsi="Times New Roman" w:cs="Times New Roman"/>
      </w:rPr>
      <w:instrText xml:space="preserve"> PAGE </w:instrText>
    </w:r>
    <w:r w:rsidRPr="005112EA">
      <w:rPr>
        <w:rFonts w:ascii="Times New Roman" w:hAnsi="Times New Roman" w:cs="Times New Roman"/>
      </w:rPr>
      <w:fldChar w:fldCharType="separate"/>
    </w:r>
    <w:r w:rsidRPr="005112EA">
      <w:rPr>
        <w:rFonts w:ascii="Times New Roman" w:hAnsi="Times New Roman" w:cs="Times New Roman"/>
        <w:noProof/>
      </w:rPr>
      <w:t>1</w:t>
    </w:r>
    <w:r w:rsidRPr="005112EA">
      <w:rPr>
        <w:rFonts w:ascii="Times New Roman" w:hAnsi="Times New Roman" w:cs="Times New Roman"/>
      </w:rPr>
      <w:fldChar w:fldCharType="end"/>
    </w:r>
  </w:p>
  <w:p w14:paraId="408120FF" w14:textId="77777777" w:rsidR="005C18C6" w:rsidRPr="005112EA" w:rsidRDefault="005C18C6">
    <w:pPr>
      <w:pStyle w:val="Footer"/>
      <w:rPr>
        <w:rFonts w:ascii="Times New Roman" w:hAnsi="Times New Roman" w:cs="Times New Roman"/>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BE80E" w14:textId="77777777" w:rsidR="005C18C6" w:rsidRDefault="005C18C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17FF4" w14:textId="77777777" w:rsidR="00885DD3" w:rsidRPr="005112EA" w:rsidRDefault="00885DD3">
    <w:pPr>
      <w:pStyle w:val="Footer"/>
      <w:jc w:val="center"/>
      <w:rPr>
        <w:rFonts w:ascii="Times New Roman" w:hAnsi="Times New Roman" w:cs="Times New Roman"/>
      </w:rPr>
    </w:pPr>
    <w:r w:rsidRPr="005112EA">
      <w:rPr>
        <w:rFonts w:ascii="Times New Roman" w:hAnsi="Times New Roman" w:cs="Times New Roman"/>
      </w:rPr>
      <w:fldChar w:fldCharType="begin"/>
    </w:r>
    <w:r w:rsidRPr="005112EA">
      <w:rPr>
        <w:rFonts w:ascii="Times New Roman" w:hAnsi="Times New Roman" w:cs="Times New Roman"/>
      </w:rPr>
      <w:instrText xml:space="preserve"> PAGE </w:instrText>
    </w:r>
    <w:r w:rsidRPr="005112EA">
      <w:rPr>
        <w:rFonts w:ascii="Times New Roman" w:hAnsi="Times New Roman" w:cs="Times New Roman"/>
      </w:rPr>
      <w:fldChar w:fldCharType="separate"/>
    </w:r>
    <w:r w:rsidRPr="005112EA">
      <w:rPr>
        <w:rFonts w:ascii="Times New Roman" w:hAnsi="Times New Roman" w:cs="Times New Roman"/>
        <w:noProof/>
      </w:rPr>
      <w:t>1</w:t>
    </w:r>
    <w:r w:rsidRPr="005112EA">
      <w:rPr>
        <w:rFonts w:ascii="Times New Roman" w:hAnsi="Times New Roman" w:cs="Times New Roman"/>
      </w:rPr>
      <w:fldChar w:fldCharType="end"/>
    </w:r>
  </w:p>
  <w:p w14:paraId="1AC66865" w14:textId="77777777" w:rsidR="00885DD3" w:rsidRPr="005112EA" w:rsidRDefault="00885DD3">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21D08" w14:textId="77777777" w:rsidR="00B25D07" w:rsidRDefault="00B25D07">
      <w:pPr>
        <w:spacing w:after="0" w:line="240" w:lineRule="auto"/>
      </w:pPr>
      <w:r>
        <w:rPr>
          <w:color w:val="000000"/>
        </w:rPr>
        <w:separator/>
      </w:r>
    </w:p>
  </w:footnote>
  <w:footnote w:type="continuationSeparator" w:id="0">
    <w:p w14:paraId="638E35B2" w14:textId="77777777" w:rsidR="00B25D07" w:rsidRDefault="00B25D07">
      <w:pPr>
        <w:spacing w:after="0" w:line="240" w:lineRule="auto"/>
      </w:pPr>
      <w:r>
        <w:continuationSeparator/>
      </w:r>
    </w:p>
  </w:footnote>
  <w:footnote w:type="continuationNotice" w:id="1">
    <w:p w14:paraId="0A22864A" w14:textId="77777777" w:rsidR="00B25D07" w:rsidRDefault="00B25D07">
      <w:pPr>
        <w:spacing w:after="0" w:line="240" w:lineRule="auto"/>
      </w:pPr>
    </w:p>
  </w:footnote>
  <w:footnote w:id="2">
    <w:p w14:paraId="28564128" w14:textId="123BD668" w:rsidR="009B011C" w:rsidRPr="008857A8" w:rsidRDefault="009B011C" w:rsidP="0065549F">
      <w:pPr>
        <w:pStyle w:val="FootnoteText"/>
        <w:jc w:val="both"/>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w:t>
      </w:r>
      <w:r w:rsidR="00F921DE" w:rsidRPr="008857A8">
        <w:rPr>
          <w:rFonts w:ascii="Times New Roman" w:hAnsi="Times New Roman" w:cs="Times New Roman"/>
          <w:sz w:val="18"/>
          <w:szCs w:val="18"/>
        </w:rPr>
        <w:t xml:space="preserve">KPIs focus on EU averages and the performances of EU Member States. When useful, comparisons are made to global peers. The </w:t>
      </w:r>
      <w:hyperlink r:id="rId1" w:history="1">
        <w:r w:rsidR="00F921DE" w:rsidRPr="008857A8">
          <w:rPr>
            <w:rStyle w:val="Hyperlink"/>
            <w:rFonts w:ascii="Times New Roman" w:hAnsi="Times New Roman" w:cs="Times New Roman"/>
            <w:sz w:val="18"/>
            <w:szCs w:val="18"/>
          </w:rPr>
          <w:t>Single Market and Competitiveness Scoreboard</w:t>
        </w:r>
      </w:hyperlink>
      <w:r w:rsidR="003C737F" w:rsidRPr="008857A8">
        <w:rPr>
          <w:rFonts w:ascii="Times New Roman" w:hAnsi="Times New Roman" w:cs="Times New Roman"/>
          <w:sz w:val="18"/>
          <w:szCs w:val="18"/>
        </w:rPr>
        <w:t>, that includes additional indicators,</w:t>
      </w:r>
      <w:r w:rsidR="00F921DE" w:rsidRPr="008857A8">
        <w:rPr>
          <w:rFonts w:ascii="Times New Roman" w:hAnsi="Times New Roman" w:cs="Times New Roman"/>
          <w:sz w:val="18"/>
          <w:szCs w:val="18"/>
        </w:rPr>
        <w:t xml:space="preserve"> also includes </w:t>
      </w:r>
      <w:r w:rsidR="00DF771A" w:rsidRPr="008857A8">
        <w:rPr>
          <w:rFonts w:ascii="Times New Roman" w:hAnsi="Times New Roman" w:cs="Times New Roman"/>
          <w:sz w:val="18"/>
          <w:szCs w:val="18"/>
        </w:rPr>
        <w:t xml:space="preserve">to a limited extent </w:t>
      </w:r>
      <w:r w:rsidR="00F921DE" w:rsidRPr="008857A8">
        <w:rPr>
          <w:rFonts w:ascii="Times New Roman" w:hAnsi="Times New Roman" w:cs="Times New Roman"/>
          <w:sz w:val="18"/>
          <w:szCs w:val="18"/>
        </w:rPr>
        <w:t>data for the members of the European Free Trade Agreement (EFTA), and enlargement countries.</w:t>
      </w:r>
    </w:p>
  </w:footnote>
  <w:footnote w:id="3">
    <w:p w14:paraId="3D6C83E2" w14:textId="77777777" w:rsidR="004A15BB" w:rsidRPr="008857A8" w:rsidRDefault="004A15BB" w:rsidP="0065549F">
      <w:pPr>
        <w:pStyle w:val="FootnoteText"/>
        <w:jc w:val="both"/>
        <w:rPr>
          <w:rFonts w:ascii="Times New Roman" w:hAnsi="Times New Roman" w:cs="Times New Roman"/>
          <w:sz w:val="18"/>
          <w:szCs w:val="18"/>
          <w:lang w:val="en-IE"/>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Index values from 1 to 7, with higher values indicating greater ease of doing business.</w:t>
      </w:r>
    </w:p>
  </w:footnote>
  <w:footnote w:id="4">
    <w:p w14:paraId="52B12D28" w14:textId="77777777" w:rsidR="0048336D" w:rsidRPr="008857A8" w:rsidRDefault="0048336D" w:rsidP="0065549F">
      <w:pPr>
        <w:pStyle w:val="FootnoteText"/>
        <w:jc w:val="both"/>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Measuring product investigations carried out by market surveillance authorities which are notified in the </w:t>
      </w:r>
      <w:r w:rsidRPr="008857A8">
        <w:rPr>
          <w:rFonts w:ascii="Times New Roman" w:hAnsi="Times New Roman" w:cs="Times New Roman"/>
          <w:i/>
          <w:sz w:val="18"/>
          <w:szCs w:val="18"/>
        </w:rPr>
        <w:t>Information and Communication System for Market Surveillance</w:t>
      </w:r>
      <w:r w:rsidRPr="008857A8">
        <w:rPr>
          <w:rFonts w:ascii="Times New Roman" w:hAnsi="Times New Roman" w:cs="Times New Roman"/>
          <w:sz w:val="18"/>
          <w:szCs w:val="18"/>
        </w:rPr>
        <w:t>.</w:t>
      </w:r>
    </w:p>
  </w:footnote>
  <w:footnote w:id="5">
    <w:p w14:paraId="588CB4DF" w14:textId="77777777" w:rsidR="004A15BB" w:rsidRPr="008857A8" w:rsidRDefault="004A15BB" w:rsidP="0065549F">
      <w:pPr>
        <w:pStyle w:val="FootnoteText"/>
        <w:jc w:val="both"/>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w:t>
      </w:r>
      <w:hyperlink r:id="rId2" w:history="1">
        <w:r w:rsidRPr="008857A8">
          <w:rPr>
            <w:rStyle w:val="Hyperlink"/>
            <w:rFonts w:ascii="Times New Roman" w:hAnsi="Times New Roman" w:cs="Times New Roman"/>
            <w:sz w:val="18"/>
            <w:szCs w:val="18"/>
          </w:rPr>
          <w:t>OECD’s STRI</w:t>
        </w:r>
      </w:hyperlink>
      <w:r w:rsidRPr="008857A8">
        <w:rPr>
          <w:rFonts w:ascii="Times New Roman" w:hAnsi="Times New Roman" w:cs="Times New Roman"/>
          <w:sz w:val="18"/>
          <w:szCs w:val="18"/>
        </w:rPr>
        <w:t xml:space="preserve"> showing the share of catalogued restrictions to trade in services being present in selected sectors.</w:t>
      </w:r>
    </w:p>
  </w:footnote>
  <w:footnote w:id="6">
    <w:p w14:paraId="549316DC" w14:textId="77777777" w:rsidR="0048336D" w:rsidRPr="008857A8" w:rsidRDefault="0048336D" w:rsidP="0065549F">
      <w:pPr>
        <w:pStyle w:val="FootnoteText"/>
        <w:jc w:val="both"/>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Patent applications submitted to the European Patent Office.</w:t>
      </w:r>
    </w:p>
  </w:footnote>
  <w:footnote w:id="7">
    <w:p w14:paraId="29E0D455" w14:textId="77777777" w:rsidR="0048336D" w:rsidRPr="008857A8" w:rsidRDefault="0048336D">
      <w:pPr>
        <w:pStyle w:val="FootnoteText"/>
        <w:jc w:val="both"/>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Electricity prices here exclude levies and taxes that companies can recover.</w:t>
      </w:r>
    </w:p>
  </w:footnote>
  <w:footnote w:id="8">
    <w:p w14:paraId="2075C41B" w14:textId="010165AC" w:rsidR="00D97B79" w:rsidRPr="00E61CAA" w:rsidRDefault="00D97B79">
      <w:pPr>
        <w:pStyle w:val="FootnoteText"/>
        <w:rPr>
          <w:rFonts w:ascii="Times New Roman" w:hAnsi="Times New Roman" w:cs="Times New Roman"/>
          <w:sz w:val="18"/>
          <w:szCs w:val="18"/>
        </w:rPr>
      </w:pPr>
      <w:r w:rsidRPr="00E61CAA">
        <w:rPr>
          <w:rStyle w:val="FootnoteReference"/>
          <w:rFonts w:ascii="Times New Roman" w:hAnsi="Times New Roman" w:cs="Times New Roman"/>
          <w:sz w:val="18"/>
          <w:szCs w:val="18"/>
        </w:rPr>
        <w:footnoteRef/>
      </w:r>
      <w:r w:rsidRPr="00E61CAA">
        <w:rPr>
          <w:rFonts w:ascii="Times New Roman" w:hAnsi="Times New Roman" w:cs="Times New Roman"/>
          <w:sz w:val="18"/>
          <w:szCs w:val="18"/>
        </w:rPr>
        <w:t xml:space="preserve"> </w:t>
      </w:r>
      <w:r w:rsidR="006E4176" w:rsidRPr="00E61CAA">
        <w:rPr>
          <w:rFonts w:ascii="Times New Roman" w:hAnsi="Times New Roman" w:cs="Times New Roman"/>
          <w:sz w:val="18"/>
          <w:szCs w:val="18"/>
        </w:rPr>
        <w:t>This objective was set by the Commission in its “Clean industrial Deal” Communication.</w:t>
      </w:r>
    </w:p>
  </w:footnote>
  <w:footnote w:id="9">
    <w:p w14:paraId="49247C53" w14:textId="7A7E4D0E" w:rsidR="006E4176" w:rsidRPr="006E4176" w:rsidRDefault="006E4176">
      <w:pPr>
        <w:pStyle w:val="FootnoteText"/>
      </w:pPr>
      <w:r w:rsidRPr="00E61CAA">
        <w:rPr>
          <w:rStyle w:val="FootnoteReference"/>
          <w:rFonts w:ascii="Times New Roman" w:hAnsi="Times New Roman" w:cs="Times New Roman"/>
          <w:sz w:val="18"/>
          <w:szCs w:val="18"/>
        </w:rPr>
        <w:footnoteRef/>
      </w:r>
      <w:r w:rsidRPr="00E61CAA">
        <w:rPr>
          <w:rFonts w:ascii="Times New Roman" w:hAnsi="Times New Roman" w:cs="Times New Roman"/>
          <w:sz w:val="18"/>
          <w:szCs w:val="18"/>
        </w:rPr>
        <w:t xml:space="preserve"> This objective was set by the Commission in its “Clean industrial Deal” Communication.</w:t>
      </w:r>
    </w:p>
  </w:footnote>
  <w:footnote w:id="10">
    <w:p w14:paraId="313E95A0" w14:textId="638872E8" w:rsidR="0048336D" w:rsidRPr="008857A8" w:rsidRDefault="0048336D">
      <w:pPr>
        <w:pStyle w:val="FootnoteText"/>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w:t>
      </w:r>
      <w:r w:rsidR="00AA2044" w:rsidRPr="008857A8">
        <w:rPr>
          <w:rFonts w:ascii="Times New Roman" w:hAnsi="Times New Roman" w:cs="Times New Roman"/>
          <w:sz w:val="18"/>
          <w:szCs w:val="18"/>
        </w:rPr>
        <w:t>C</w:t>
      </w:r>
      <w:r w:rsidRPr="008857A8">
        <w:rPr>
          <w:rFonts w:ascii="Times New Roman" w:hAnsi="Times New Roman" w:cs="Times New Roman"/>
          <w:sz w:val="18"/>
          <w:szCs w:val="18"/>
        </w:rPr>
        <w:t>ombined vulnerability to external shocks of product categories within the scope of the Clean Industrial Deal</w:t>
      </w:r>
      <w:r w:rsidR="00AA2044" w:rsidRPr="008857A8">
        <w:rPr>
          <w:rFonts w:ascii="Times New Roman" w:hAnsi="Times New Roman" w:cs="Times New Roman"/>
          <w:sz w:val="18"/>
          <w:szCs w:val="18"/>
        </w:rPr>
        <w:t xml:space="preserve">, including </w:t>
      </w:r>
      <w:r w:rsidRPr="008857A8">
        <w:rPr>
          <w:rFonts w:ascii="Times New Roman" w:hAnsi="Times New Roman" w:cs="Times New Roman"/>
          <w:sz w:val="18"/>
          <w:szCs w:val="18"/>
        </w:rPr>
        <w:t xml:space="preserve">semiconductors, net-zero technologies, raw materials, basic metals, chemicals, machinery and motor vehicles. </w:t>
      </w:r>
      <w:r w:rsidR="008700C7" w:rsidRPr="008857A8">
        <w:rPr>
          <w:rFonts w:ascii="Times New Roman" w:hAnsi="Times New Roman" w:cs="Times New Roman"/>
          <w:sz w:val="18"/>
          <w:szCs w:val="18"/>
        </w:rPr>
        <w:t>Measured on a scale from 0 to 1. Higher value = bigger vulnerability.</w:t>
      </w:r>
    </w:p>
  </w:footnote>
  <w:footnote w:id="11">
    <w:p w14:paraId="03AC7A81" w14:textId="2A467F5C" w:rsidR="00872ADA" w:rsidRPr="004B0092" w:rsidRDefault="00872ADA">
      <w:pPr>
        <w:pStyle w:val="FootnoteText"/>
        <w:jc w:val="both"/>
        <w:rPr>
          <w:rFonts w:ascii="Times New Roman" w:hAnsi="Times New Roman" w:cs="Times New Roman"/>
          <w:sz w:val="16"/>
          <w:szCs w:val="16"/>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bookmarkStart w:id="28" w:name="_Hlk219996576"/>
      <w:bookmarkStart w:id="29" w:name="_Hlk220071214"/>
      <w:r>
        <w:rPr>
          <w:rFonts w:ascii="Times New Roman" w:hAnsi="Times New Roman" w:cs="Times New Roman"/>
          <w:sz w:val="18"/>
          <w:szCs w:val="18"/>
        </w:rPr>
        <w:t>Other initiatives (14) are those  resulting in administrative cost savings for businesses and public administrations</w:t>
      </w:r>
      <w:bookmarkEnd w:id="28"/>
      <w:r>
        <w:rPr>
          <w:rFonts w:ascii="Times New Roman" w:hAnsi="Times New Roman" w:cs="Times New Roman"/>
          <w:sz w:val="18"/>
          <w:szCs w:val="18"/>
        </w:rPr>
        <w:t xml:space="preserve"> at the time of their adoption by the Commission. They cover targeted revisions of existing EU acquis (e.g SFDR Review or Targeted revision of the EU rules for medical devices and in-vitro diagnostics)</w:t>
      </w:r>
      <w:bookmarkEnd w:id="29"/>
      <w:r>
        <w:rPr>
          <w:rFonts w:ascii="Times New Roman" w:hAnsi="Times New Roman" w:cs="Times New Roman"/>
          <w:sz w:val="18"/>
          <w:szCs w:val="18"/>
        </w:rPr>
        <w:t>.</w:t>
      </w:r>
    </w:p>
  </w:footnote>
  <w:footnote w:id="12">
    <w:p w14:paraId="6D6088E9" w14:textId="77777777" w:rsidR="007B18A3" w:rsidRPr="006E0577" w:rsidRDefault="007B18A3" w:rsidP="007B18A3">
      <w:pPr>
        <w:pStyle w:val="FootnoteText"/>
        <w:rPr>
          <w:rFonts w:ascii="Times New Roman" w:hAnsi="Times New Roman" w:cs="Times New Roman"/>
          <w:sz w:val="18"/>
          <w:szCs w:val="18"/>
        </w:rPr>
      </w:pPr>
      <w:r w:rsidRPr="00EC17DB">
        <w:rPr>
          <w:rStyle w:val="FootnoteReference"/>
          <w:rFonts w:ascii="Times New Roman" w:hAnsi="Times New Roman" w:cs="Times New Roman"/>
          <w:sz w:val="18"/>
          <w:szCs w:val="18"/>
        </w:rPr>
        <w:footnoteRef/>
      </w:r>
      <w:r w:rsidRPr="00EC17DB">
        <w:rPr>
          <w:rFonts w:ascii="Times New Roman" w:hAnsi="Times New Roman" w:cs="Times New Roman"/>
          <w:sz w:val="18"/>
          <w:szCs w:val="18"/>
        </w:rPr>
        <w:t xml:space="preserve"> All information about the Omnibus</w:t>
      </w:r>
      <w:r>
        <w:rPr>
          <w:rFonts w:ascii="Times New Roman" w:hAnsi="Times New Roman" w:cs="Times New Roman"/>
          <w:sz w:val="18"/>
          <w:szCs w:val="18"/>
        </w:rPr>
        <w:t xml:space="preserve"> simplification proposals presented by the Commission is available at </w:t>
      </w:r>
      <w:hyperlink r:id="rId3" w:history="1">
        <w:r w:rsidRPr="00484C97">
          <w:rPr>
            <w:rStyle w:val="Hyperlink"/>
            <w:rFonts w:ascii="Times New Roman" w:hAnsi="Times New Roman" w:cs="Times New Roman"/>
            <w:sz w:val="18"/>
            <w:szCs w:val="18"/>
          </w:rPr>
          <w:t>Simplification - European Commission</w:t>
        </w:r>
      </w:hyperlink>
      <w:r>
        <w:rPr>
          <w:rFonts w:ascii="Times New Roman" w:hAnsi="Times New Roman" w:cs="Times New Roman"/>
          <w:sz w:val="18"/>
          <w:szCs w:val="18"/>
        </w:rPr>
        <w:t>.</w:t>
      </w:r>
    </w:p>
  </w:footnote>
  <w:footnote w:id="13">
    <w:p w14:paraId="5B23EB5E" w14:textId="0127C1EE" w:rsidR="004F3F7B" w:rsidRPr="008857A8" w:rsidRDefault="004F3F7B">
      <w:pPr>
        <w:pStyle w:val="FootnoteText"/>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w:t>
      </w:r>
      <w:r w:rsidR="00560924" w:rsidRPr="008857A8">
        <w:rPr>
          <w:rFonts w:ascii="Times New Roman" w:hAnsi="Times New Roman" w:cs="Times New Roman"/>
          <w:sz w:val="18"/>
          <w:szCs w:val="18"/>
        </w:rPr>
        <w:t xml:space="preserve">Data </w:t>
      </w:r>
      <w:r w:rsidR="00BC7C7A" w:rsidRPr="008857A8">
        <w:rPr>
          <w:rFonts w:ascii="Times New Roman" w:hAnsi="Times New Roman" w:cs="Times New Roman"/>
          <w:sz w:val="18"/>
          <w:szCs w:val="18"/>
        </w:rPr>
        <w:t>cut off in</w:t>
      </w:r>
      <w:r w:rsidR="00560924" w:rsidRPr="008857A8">
        <w:rPr>
          <w:rFonts w:ascii="Times New Roman" w:hAnsi="Times New Roman" w:cs="Times New Roman"/>
          <w:sz w:val="18"/>
          <w:szCs w:val="18"/>
        </w:rPr>
        <w:t xml:space="preserve"> 2023. At the time of publication, not all Member States had reported their 2024 data</w:t>
      </w:r>
      <w:r w:rsidR="00BC7C7A" w:rsidRPr="008857A8">
        <w:rPr>
          <w:rFonts w:ascii="Times New Roman" w:hAnsi="Times New Roman" w:cs="Times New Roman"/>
          <w:sz w:val="18"/>
          <w:szCs w:val="18"/>
        </w:rPr>
        <w:t>, with less than half of the usual observations reported.</w:t>
      </w:r>
      <w:r w:rsidR="003744E7" w:rsidRPr="008857A8">
        <w:rPr>
          <w:rFonts w:ascii="Times New Roman" w:hAnsi="Times New Roman" w:cs="Times New Roman"/>
          <w:sz w:val="18"/>
          <w:szCs w:val="18"/>
        </w:rPr>
        <w:t xml:space="preserve"> </w:t>
      </w:r>
    </w:p>
  </w:footnote>
  <w:footnote w:id="14">
    <w:p w14:paraId="0BEBC2F8" w14:textId="04AD10E4" w:rsidR="00BA4E86" w:rsidRPr="008857A8" w:rsidRDefault="00BA4E86" w:rsidP="0065549F">
      <w:pPr>
        <w:pStyle w:val="FootnoteText"/>
        <w:jc w:val="both"/>
        <w:rPr>
          <w:rFonts w:ascii="Times New Roman" w:hAnsi="Times New Roman" w:cs="Times New Roman"/>
          <w:sz w:val="18"/>
          <w:szCs w:val="18"/>
          <w:lang w:val="en-IE"/>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w:t>
      </w:r>
      <w:r w:rsidR="00CD3953" w:rsidRPr="008857A8">
        <w:rPr>
          <w:rFonts w:ascii="Times New Roman" w:hAnsi="Times New Roman" w:cs="Times New Roman"/>
          <w:sz w:val="18"/>
          <w:szCs w:val="18"/>
        </w:rPr>
        <w:t>In June 2025, the Commission presented an evaluation of Regulation (EU) No 1025/2012 of 25 October 2012 on European standardisation. SWD(2025) 170 final</w:t>
      </w:r>
      <w:r w:rsidR="00CD3953" w:rsidRPr="008857A8">
        <w:rPr>
          <w:rFonts w:ascii="Times New Roman" w:hAnsi="Times New Roman" w:cs="Times New Roman"/>
          <w:sz w:val="18"/>
          <w:szCs w:val="18"/>
          <w:lang w:val="en-IE"/>
        </w:rPr>
        <w:t>.</w:t>
      </w:r>
    </w:p>
  </w:footnote>
  <w:footnote w:id="15">
    <w:p w14:paraId="16B495DC" w14:textId="77777777" w:rsidR="00590926" w:rsidRPr="008857A8" w:rsidRDefault="00590926" w:rsidP="00590926">
      <w:pPr>
        <w:pStyle w:val="FootnoteText"/>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Measuring product investigations carried out by market surveillance authorities which are notified in the </w:t>
      </w:r>
      <w:r w:rsidRPr="008857A8">
        <w:rPr>
          <w:rFonts w:ascii="Times New Roman" w:hAnsi="Times New Roman" w:cs="Times New Roman"/>
          <w:i/>
          <w:sz w:val="18"/>
          <w:szCs w:val="18"/>
        </w:rPr>
        <w:t>Information and Communication System for Market Surveillance</w:t>
      </w:r>
      <w:r w:rsidRPr="008857A8">
        <w:rPr>
          <w:rFonts w:ascii="Times New Roman" w:hAnsi="Times New Roman" w:cs="Times New Roman"/>
          <w:sz w:val="18"/>
          <w:szCs w:val="18"/>
        </w:rPr>
        <w:t>.</w:t>
      </w:r>
    </w:p>
  </w:footnote>
  <w:footnote w:id="16">
    <w:p w14:paraId="3D23C564" w14:textId="5A5333C1" w:rsidR="00590926" w:rsidRPr="008857A8" w:rsidRDefault="00590926" w:rsidP="0065549F">
      <w:pPr>
        <w:pStyle w:val="FootnoteText"/>
        <w:jc w:val="both"/>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w:t>
      </w:r>
      <w:hyperlink r:id="rId4" w:history="1">
        <w:r w:rsidRPr="008857A8">
          <w:rPr>
            <w:rStyle w:val="Hyperlink"/>
            <w:rFonts w:ascii="Times New Roman" w:hAnsi="Times New Roman" w:cs="Times New Roman"/>
            <w:sz w:val="18"/>
            <w:szCs w:val="18"/>
          </w:rPr>
          <w:t>OECD’s STRI</w:t>
        </w:r>
      </w:hyperlink>
      <w:r w:rsidRPr="008857A8">
        <w:rPr>
          <w:rFonts w:ascii="Times New Roman" w:hAnsi="Times New Roman" w:cs="Times New Roman"/>
          <w:sz w:val="18"/>
          <w:szCs w:val="18"/>
        </w:rPr>
        <w:t xml:space="preserve"> showing the share of catalogued restrictions to trade in services in selected sectors.</w:t>
      </w:r>
    </w:p>
  </w:footnote>
  <w:footnote w:id="17">
    <w:p w14:paraId="79BEA625" w14:textId="77777777" w:rsidR="00730C28" w:rsidRPr="008857A8" w:rsidRDefault="00730C28" w:rsidP="00730C28">
      <w:pPr>
        <w:pStyle w:val="FootnoteText"/>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w:t>
      </w:r>
      <w:hyperlink r:id="rId5" w:history="1">
        <w:r w:rsidRPr="008857A8">
          <w:rPr>
            <w:rStyle w:val="Hyperlink"/>
            <w:rFonts w:ascii="Times New Roman" w:hAnsi="Times New Roman" w:cs="Times New Roman"/>
            <w:sz w:val="18"/>
            <w:szCs w:val="18"/>
          </w:rPr>
          <w:t>Digital Decade 2025: eGovernment Benchmark 2025 | Shaping Europe’s digital future</w:t>
        </w:r>
      </w:hyperlink>
    </w:p>
  </w:footnote>
  <w:footnote w:id="18">
    <w:p w14:paraId="56B0705E" w14:textId="77777777" w:rsidR="00554484" w:rsidRPr="008857A8" w:rsidRDefault="00554484" w:rsidP="00554484">
      <w:pPr>
        <w:pStyle w:val="FootnoteText"/>
        <w:rPr>
          <w:rFonts w:ascii="Times New Roman" w:hAnsi="Times New Roman" w:cs="Times New Roman"/>
          <w:sz w:val="18"/>
          <w:szCs w:val="18"/>
          <w:lang w:val="en-IE"/>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lang w:val="en-IE"/>
        </w:rPr>
        <w:t xml:space="preserve"> </w:t>
      </w:r>
      <w:hyperlink r:id="rId6" w:history="1">
        <w:r w:rsidRPr="008857A8">
          <w:rPr>
            <w:rStyle w:val="Hyperlink"/>
            <w:rFonts w:ascii="Times New Roman" w:hAnsi="Times New Roman" w:cs="Times New Roman"/>
            <w:sz w:val="18"/>
            <w:szCs w:val="18"/>
            <w:lang w:val="en-IE"/>
          </w:rPr>
          <w:t>Regulation - 2018/1724 - EN - EUR-Lex</w:t>
        </w:r>
      </w:hyperlink>
    </w:p>
  </w:footnote>
  <w:footnote w:id="19">
    <w:p w14:paraId="59CCFC37" w14:textId="6EF01C90" w:rsidR="00D73C41" w:rsidRPr="00334333" w:rsidRDefault="00D73C41" w:rsidP="00334333">
      <w:pPr>
        <w:pStyle w:val="FootnoteText"/>
        <w:jc w:val="both"/>
        <w:rPr>
          <w:rFonts w:ascii="Times New Roman" w:hAnsi="Times New Roman" w:cs="Times New Roman"/>
          <w:sz w:val="18"/>
          <w:szCs w:val="18"/>
        </w:rPr>
      </w:pPr>
      <w:r w:rsidRPr="00334333">
        <w:rPr>
          <w:rStyle w:val="FootnoteReference"/>
          <w:rFonts w:ascii="Times New Roman" w:hAnsi="Times New Roman" w:cs="Times New Roman"/>
          <w:sz w:val="18"/>
          <w:szCs w:val="18"/>
        </w:rPr>
        <w:footnoteRef/>
      </w:r>
      <w:r w:rsidRPr="00334333">
        <w:rPr>
          <w:rFonts w:ascii="Times New Roman" w:hAnsi="Times New Roman" w:cs="Times New Roman"/>
          <w:sz w:val="18"/>
          <w:szCs w:val="18"/>
        </w:rPr>
        <w:t xml:space="preserve"> </w:t>
      </w:r>
      <w:r w:rsidR="00AC0580" w:rsidRPr="00334333">
        <w:rPr>
          <w:rFonts w:ascii="Times New Roman" w:hAnsi="Times New Roman" w:cs="Times New Roman"/>
          <w:sz w:val="18"/>
          <w:szCs w:val="18"/>
        </w:rPr>
        <w:t>A lower score under the new methodology should not be interpreted as a deterioration in Member State performance but it reflects the introduction of a more accurate measurement framework.</w:t>
      </w:r>
    </w:p>
  </w:footnote>
  <w:footnote w:id="20">
    <w:p w14:paraId="34A4BEDA" w14:textId="5F373744" w:rsidR="004E76B2" w:rsidRPr="006E0577" w:rsidRDefault="004E76B2" w:rsidP="00EC17DB">
      <w:pPr>
        <w:pStyle w:val="FootnoteText"/>
        <w:jc w:val="both"/>
        <w:rPr>
          <w:rStyle w:val="Hyperlink"/>
        </w:rPr>
      </w:pPr>
      <w:r w:rsidRPr="00EC17DB">
        <w:rPr>
          <w:rStyle w:val="FootnoteReference"/>
          <w:rFonts w:ascii="Times New Roman" w:hAnsi="Times New Roman" w:cs="Times New Roman"/>
          <w:sz w:val="18"/>
          <w:szCs w:val="18"/>
        </w:rPr>
        <w:footnoteRef/>
      </w:r>
      <w:r w:rsidR="00BB0F9C" w:rsidRPr="00EC17DB">
        <w:rPr>
          <w:rFonts w:ascii="Times New Roman" w:hAnsi="Times New Roman" w:cs="Times New Roman"/>
          <w:sz w:val="18"/>
          <w:szCs w:val="18"/>
        </w:rPr>
        <w:t>The concept of green skills refers to the knowledge, abilities, values and attitudes needed to live in, develop and support a society which reduces the impact of human activity on the environment</w:t>
      </w:r>
      <w:r w:rsidR="00CF46E3" w:rsidRPr="00EC17DB">
        <w:rPr>
          <w:rFonts w:ascii="Times New Roman" w:hAnsi="Times New Roman" w:cs="Times New Roman"/>
          <w:sz w:val="18"/>
          <w:szCs w:val="18"/>
        </w:rPr>
        <w:t xml:space="preserve"> (</w:t>
      </w:r>
      <w:r w:rsidR="00ED6177" w:rsidRPr="00EC17DB">
        <w:rPr>
          <w:rFonts w:ascii="Times New Roman" w:hAnsi="Times New Roman" w:cs="Times New Roman"/>
          <w:sz w:val="18"/>
          <w:szCs w:val="18"/>
        </w:rPr>
        <w:t xml:space="preserve">European Centre for the Development of Vocational Training, Cedefop; see: </w:t>
      </w:r>
      <w:hyperlink r:id="rId7" w:history="1">
        <w:r w:rsidR="00ED6177" w:rsidRPr="00EC17DB">
          <w:rPr>
            <w:rStyle w:val="Hyperlink"/>
            <w:rFonts w:ascii="Times New Roman" w:hAnsi="Times New Roman" w:cs="Times New Roman"/>
            <w:sz w:val="18"/>
            <w:szCs w:val="18"/>
          </w:rPr>
          <w:t>Green skills labelling in ESCO | European Skills, Competences, Qualifications and Occupations (ESCO)</w:t>
        </w:r>
      </w:hyperlink>
      <w:r w:rsidR="00CF46E3" w:rsidRPr="006E0577">
        <w:rPr>
          <w:rStyle w:val="Hyperlink"/>
        </w:rPr>
        <w:t>.</w:t>
      </w:r>
    </w:p>
  </w:footnote>
  <w:footnote w:id="21">
    <w:p w14:paraId="6B163A79" w14:textId="0DF06DCA" w:rsidR="00730C28" w:rsidRPr="008857A8" w:rsidRDefault="00730C28" w:rsidP="00730C28">
      <w:pPr>
        <w:pStyle w:val="FootnoteText"/>
        <w:jc w:val="both"/>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Employment and Social Developments in Europe 2023 (ESDE 2023)</w:t>
      </w:r>
      <w:r w:rsidR="007C7682">
        <w:rPr>
          <w:rFonts w:ascii="Times New Roman" w:hAnsi="Times New Roman" w:cs="Times New Roman"/>
          <w:sz w:val="18"/>
          <w:szCs w:val="18"/>
        </w:rPr>
        <w:t>.</w:t>
      </w:r>
    </w:p>
  </w:footnote>
  <w:footnote w:id="22">
    <w:p w14:paraId="1BEE4536" w14:textId="46585A0B" w:rsidR="00311803" w:rsidRPr="008857A8" w:rsidRDefault="00311803">
      <w:pPr>
        <w:pStyle w:val="FootnoteText"/>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w:t>
      </w:r>
      <w:r w:rsidR="00E9315C" w:rsidRPr="008857A8">
        <w:rPr>
          <w:rFonts w:ascii="Times New Roman" w:hAnsi="Times New Roman" w:cs="Times New Roman"/>
          <w:sz w:val="18"/>
          <w:szCs w:val="18"/>
        </w:rPr>
        <w:t>The latest available PISA data are from 2022. Results from PISA 2025 are scheduled for publication in 2026.</w:t>
      </w:r>
    </w:p>
  </w:footnote>
  <w:footnote w:id="23">
    <w:p w14:paraId="73DF24E0" w14:textId="77777777" w:rsidR="00A70C54" w:rsidRPr="00C561D4" w:rsidRDefault="00A70C54" w:rsidP="00A70C54">
      <w:pPr>
        <w:pStyle w:val="FootnoteText"/>
        <w:rPr>
          <w:rFonts w:ascii="Times New Roman" w:hAnsi="Times New Roman" w:cs="Times New Roman"/>
          <w:sz w:val="18"/>
          <w:szCs w:val="18"/>
        </w:rPr>
      </w:pPr>
      <w:r w:rsidRPr="00C561D4">
        <w:rPr>
          <w:rStyle w:val="FootnoteReference"/>
          <w:rFonts w:ascii="Times New Roman" w:hAnsi="Times New Roman" w:cs="Times New Roman"/>
          <w:sz w:val="18"/>
          <w:szCs w:val="18"/>
        </w:rPr>
        <w:footnoteRef/>
      </w:r>
      <w:r w:rsidRPr="00C561D4">
        <w:rPr>
          <w:rFonts w:ascii="Times New Roman" w:hAnsi="Times New Roman" w:cs="Times New Roman"/>
          <w:sz w:val="18"/>
          <w:szCs w:val="18"/>
        </w:rPr>
        <w:t xml:space="preserve"> </w:t>
      </w:r>
      <w:hyperlink r:id="rId8" w:history="1">
        <w:r w:rsidRPr="00C561D4">
          <w:rPr>
            <w:rStyle w:val="Hyperlink"/>
            <w:rFonts w:ascii="Times New Roman" w:hAnsi="Times New Roman" w:cs="Times New Roman"/>
            <w:sz w:val="18"/>
            <w:szCs w:val="18"/>
          </w:rPr>
          <w:t>https://investeu.europa.eu/investeu-programme/investeu-fund/investeu-indicators_en</w:t>
        </w:r>
      </w:hyperlink>
      <w:r>
        <w:rPr>
          <w:rFonts w:ascii="Times New Roman" w:hAnsi="Times New Roman" w:cs="Times New Roman"/>
          <w:sz w:val="18"/>
          <w:szCs w:val="18"/>
        </w:rPr>
        <w:t xml:space="preserve"> </w:t>
      </w:r>
      <w:hyperlink r:id="rId9" w:history="1">
        <w:r w:rsidRPr="00BF7884">
          <w:rPr>
            <w:rStyle w:val="Hyperlink"/>
            <w:rFonts w:ascii="Times New Roman" w:hAnsi="Times New Roman" w:cs="Times New Roman"/>
            <w:sz w:val="18"/>
            <w:szCs w:val="18"/>
          </w:rPr>
          <w:t>InvestEU Indicators - InvestEU - European Union</w:t>
        </w:r>
      </w:hyperlink>
      <w:r>
        <w:rPr>
          <w:rFonts w:ascii="Times New Roman" w:hAnsi="Times New Roman" w:cs="Times New Roman"/>
          <w:sz w:val="18"/>
          <w:szCs w:val="18"/>
        </w:rPr>
        <w:t>.</w:t>
      </w:r>
    </w:p>
  </w:footnote>
  <w:footnote w:id="24">
    <w:p w14:paraId="5E17E056" w14:textId="0A1785ED" w:rsidR="005B170C" w:rsidRPr="008857A8" w:rsidRDefault="005B170C">
      <w:pPr>
        <w:pStyle w:val="FootnoteText"/>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w:t>
      </w:r>
      <w:r w:rsidR="009B73D3" w:rsidRPr="008857A8">
        <w:rPr>
          <w:rFonts w:ascii="Times New Roman" w:hAnsi="Times New Roman" w:cs="Times New Roman"/>
          <w:sz w:val="18"/>
          <w:szCs w:val="18"/>
        </w:rPr>
        <w:t>At the time of publication, no data were available for 2024.</w:t>
      </w:r>
    </w:p>
  </w:footnote>
  <w:footnote w:id="25">
    <w:p w14:paraId="14FCCE6D" w14:textId="6D3CCD94" w:rsidR="007B6BD0" w:rsidRPr="008857A8" w:rsidRDefault="007B6BD0">
      <w:pPr>
        <w:pStyle w:val="FootnoteText"/>
        <w:rPr>
          <w:rFonts w:ascii="Times New Roman" w:hAnsi="Times New Roman" w:cs="Times New Roman"/>
          <w:sz w:val="18"/>
          <w:szCs w:val="18"/>
          <w:lang w:val="en-IE"/>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w:t>
      </w:r>
      <w:r w:rsidRPr="008857A8">
        <w:rPr>
          <w:rFonts w:ascii="Times New Roman" w:eastAsiaTheme="minorHAnsi" w:hAnsi="Times New Roman" w:cs="Times New Roman"/>
          <w:kern w:val="0"/>
          <w:sz w:val="18"/>
          <w:szCs w:val="18"/>
          <w:lang w:val="en-IE"/>
        </w:rPr>
        <w:t xml:space="preserve">Further info and detailed assessment can be found in the recently published state of the energy union report: </w:t>
      </w:r>
      <w:hyperlink r:id="rId10" w:history="1">
        <w:r w:rsidRPr="008857A8">
          <w:rPr>
            <w:rFonts w:ascii="Times New Roman" w:eastAsiaTheme="minorHAnsi" w:hAnsi="Times New Roman" w:cs="Times New Roman"/>
            <w:kern w:val="0"/>
            <w:sz w:val="18"/>
            <w:szCs w:val="18"/>
            <w:lang w:val="en-IE"/>
          </w:rPr>
          <w:t>Assessment of progress towards the Energy Union and Climate Action objectives (SWD) - Energy</w:t>
        </w:r>
      </w:hyperlink>
      <w:r w:rsidRPr="008857A8">
        <w:rPr>
          <w:rFonts w:ascii="Times New Roman" w:eastAsiaTheme="minorHAnsi" w:hAnsi="Times New Roman" w:cs="Times New Roman"/>
          <w:kern w:val="0"/>
          <w:sz w:val="18"/>
          <w:szCs w:val="18"/>
          <w:lang w:val="en-IE"/>
        </w:rPr>
        <w:t>.</w:t>
      </w:r>
      <w:r w:rsidRPr="008857A8">
        <w:rPr>
          <w:rFonts w:ascii="Times New Roman" w:hAnsi="Times New Roman" w:cs="Times New Roman"/>
          <w:sz w:val="18"/>
          <w:szCs w:val="18"/>
        </w:rPr>
        <w:t xml:space="preserve"> </w:t>
      </w:r>
    </w:p>
  </w:footnote>
  <w:footnote w:id="26">
    <w:p w14:paraId="47F8854D" w14:textId="216825E6" w:rsidR="00E65A55" w:rsidRPr="00586862" w:rsidRDefault="00E65A55" w:rsidP="00E65A55">
      <w:pPr>
        <w:pStyle w:val="FootnoteText"/>
        <w:jc w:val="both"/>
        <w:rPr>
          <w:rFonts w:ascii="Times New Roman" w:hAnsi="Times New Roman" w:cs="Times New Roman"/>
          <w:sz w:val="18"/>
          <w:szCs w:val="18"/>
        </w:rPr>
      </w:pPr>
      <w:r w:rsidRPr="00586862">
        <w:rPr>
          <w:rStyle w:val="FootnoteReference"/>
          <w:rFonts w:ascii="Times New Roman" w:hAnsi="Times New Roman" w:cs="Times New Roman"/>
          <w:sz w:val="18"/>
          <w:szCs w:val="18"/>
        </w:rPr>
        <w:footnoteRef/>
      </w:r>
      <w:r w:rsidRPr="00586862">
        <w:rPr>
          <w:rFonts w:ascii="Times New Roman" w:hAnsi="Times New Roman" w:cs="Times New Roman"/>
          <w:sz w:val="18"/>
          <w:szCs w:val="18"/>
        </w:rPr>
        <w:t xml:space="preserve"> Solar capacity additions are presented in AC (alternating current) as this reflects the maximum power that can be delivered to the electricity grid at any given time. In cases where primary sources (e.g. industry reports) report solar capacity in DC (direct current) these values are downscaled to AC using a factor of 1.2</w:t>
      </w:r>
      <w:r w:rsidR="00EA78CF">
        <w:rPr>
          <w:rFonts w:ascii="Times New Roman" w:hAnsi="Times New Roman" w:cs="Times New Roman"/>
          <w:sz w:val="18"/>
          <w:szCs w:val="18"/>
        </w:rPr>
        <w:t>.</w:t>
      </w:r>
    </w:p>
  </w:footnote>
  <w:footnote w:id="27">
    <w:p w14:paraId="462A7FBF" w14:textId="77777777" w:rsidR="004015E5" w:rsidRPr="008857A8" w:rsidRDefault="004015E5" w:rsidP="004015E5">
      <w:pPr>
        <w:pStyle w:val="FootnoteText"/>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w:t>
      </w:r>
      <w:hyperlink r:id="rId11" w:history="1">
        <w:r w:rsidRPr="008857A8">
          <w:rPr>
            <w:rStyle w:val="Hyperlink"/>
            <w:rFonts w:ascii="Times New Roman" w:hAnsi="Times New Roman" w:cs="Times New Roman"/>
            <w:sz w:val="18"/>
            <w:szCs w:val="18"/>
          </w:rPr>
          <w:t>Net-Zero Indust</w:t>
        </w:r>
        <w:bookmarkStart w:id="151" w:name="_Hlt219904609"/>
        <w:bookmarkStart w:id="152" w:name="_Hlt219904610"/>
        <w:bookmarkEnd w:id="151"/>
        <w:bookmarkEnd w:id="152"/>
        <w:r w:rsidRPr="008857A8">
          <w:rPr>
            <w:rStyle w:val="Hyperlink"/>
            <w:rFonts w:ascii="Times New Roman" w:hAnsi="Times New Roman" w:cs="Times New Roman"/>
            <w:sz w:val="18"/>
            <w:szCs w:val="18"/>
          </w:rPr>
          <w:t>ry Act</w:t>
        </w:r>
      </w:hyperlink>
      <w:r w:rsidRPr="008857A8">
        <w:rPr>
          <w:rFonts w:ascii="Times New Roman" w:hAnsi="Times New Roman" w:cs="Times New Roman"/>
          <w:sz w:val="18"/>
          <w:szCs w:val="18"/>
        </w:rPr>
        <w:t xml:space="preserve">. </w:t>
      </w:r>
    </w:p>
  </w:footnote>
  <w:footnote w:id="28">
    <w:p w14:paraId="67739FE5" w14:textId="376BBA57" w:rsidR="004015E5" w:rsidRPr="008857A8" w:rsidRDefault="004015E5" w:rsidP="002677E2">
      <w:pPr>
        <w:pStyle w:val="FootnoteText"/>
        <w:jc w:val="both"/>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w:t>
      </w:r>
      <w:r w:rsidR="00887269" w:rsidRPr="008857A8">
        <w:rPr>
          <w:rFonts w:ascii="Times New Roman" w:hAnsi="Times New Roman" w:cs="Times New Roman"/>
          <w:sz w:val="18"/>
          <w:szCs w:val="18"/>
        </w:rPr>
        <w:t xml:space="preserve">Comprehensive data collection </w:t>
      </w:r>
      <w:r w:rsidR="00641580" w:rsidRPr="008857A8">
        <w:rPr>
          <w:rFonts w:ascii="Times New Roman" w:hAnsi="Times New Roman" w:cs="Times New Roman"/>
          <w:sz w:val="18"/>
          <w:szCs w:val="18"/>
        </w:rPr>
        <w:t>began in</w:t>
      </w:r>
      <w:r w:rsidR="00887269" w:rsidRPr="008857A8">
        <w:rPr>
          <w:rFonts w:ascii="Times New Roman" w:hAnsi="Times New Roman" w:cs="Times New Roman"/>
          <w:sz w:val="18"/>
          <w:szCs w:val="18"/>
        </w:rPr>
        <w:t xml:space="preserve"> 2024, </w:t>
      </w:r>
      <w:r w:rsidR="00641580" w:rsidRPr="008857A8">
        <w:rPr>
          <w:rFonts w:ascii="Times New Roman" w:hAnsi="Times New Roman" w:cs="Times New Roman"/>
          <w:sz w:val="18"/>
          <w:szCs w:val="18"/>
        </w:rPr>
        <w:t>which is why earlier timelines are not available</w:t>
      </w:r>
      <w:r w:rsidR="00887269" w:rsidRPr="008857A8">
        <w:rPr>
          <w:rFonts w:ascii="Times New Roman" w:hAnsi="Times New Roman" w:cs="Times New Roman"/>
          <w:sz w:val="18"/>
          <w:szCs w:val="18"/>
        </w:rPr>
        <w:t>.</w:t>
      </w:r>
      <w:r w:rsidR="00F41EA8" w:rsidRPr="008857A8">
        <w:rPr>
          <w:rFonts w:ascii="Times New Roman" w:hAnsi="Times New Roman" w:cs="Times New Roman"/>
          <w:sz w:val="18"/>
          <w:szCs w:val="18"/>
        </w:rPr>
        <w:t xml:space="preserve"> </w:t>
      </w:r>
      <w:r w:rsidRPr="008857A8">
        <w:rPr>
          <w:rFonts w:ascii="Times New Roman" w:hAnsi="Times New Roman" w:cs="Times New Roman"/>
          <w:sz w:val="18"/>
          <w:szCs w:val="18"/>
        </w:rPr>
        <w:t>Wind power technologies exceed the benchmark manufacturing rate by between 260% and 175%. Solar photovoltaic inverters exceed it by 435%. Electrolyser stacks exceed it by 215%.</w:t>
      </w:r>
    </w:p>
  </w:footnote>
  <w:footnote w:id="29">
    <w:p w14:paraId="59CA0867" w14:textId="70EE8923" w:rsidR="004015E5" w:rsidRPr="008857A8" w:rsidRDefault="004015E5" w:rsidP="002677E2">
      <w:pPr>
        <w:pStyle w:val="FootnoteText"/>
        <w:jc w:val="both"/>
        <w:rPr>
          <w:rFonts w:ascii="Times New Roman" w:hAnsi="Times New Roman" w:cs="Times New Roman"/>
          <w:sz w:val="18"/>
          <w:szCs w:val="18"/>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European Commission. For more information about domestic manufacturing of key net-zero technologies, consult the section on </w:t>
      </w:r>
      <w:hyperlink r:id="rId12" w:history="1">
        <w:r w:rsidRPr="008857A8">
          <w:rPr>
            <w:rStyle w:val="Hyperlink"/>
            <w:rFonts w:ascii="Times New Roman" w:hAnsi="Times New Roman" w:cs="Times New Roman"/>
            <w:sz w:val="18"/>
            <w:szCs w:val="18"/>
          </w:rPr>
          <w:t>Global trade &amp; economic security</w:t>
        </w:r>
      </w:hyperlink>
      <w:r w:rsidRPr="008857A8">
        <w:rPr>
          <w:rFonts w:ascii="Times New Roman" w:hAnsi="Times New Roman" w:cs="Times New Roman"/>
          <w:sz w:val="18"/>
          <w:szCs w:val="18"/>
        </w:rPr>
        <w:t xml:space="preserve"> in the Single Market and Competitiveness Scoreboard</w:t>
      </w:r>
      <w:r w:rsidR="00305A26">
        <w:rPr>
          <w:rFonts w:ascii="Times New Roman" w:hAnsi="Times New Roman" w:cs="Times New Roman"/>
          <w:sz w:val="18"/>
          <w:szCs w:val="18"/>
        </w:rPr>
        <w:t>.</w:t>
      </w:r>
    </w:p>
  </w:footnote>
  <w:footnote w:id="30">
    <w:p w14:paraId="212B1305" w14:textId="361A0A33" w:rsidR="005F4DCB" w:rsidRPr="008857A8" w:rsidRDefault="005F4DCB">
      <w:pPr>
        <w:pStyle w:val="FootnoteText"/>
        <w:rPr>
          <w:rFonts w:ascii="Times New Roman" w:hAnsi="Times New Roman" w:cs="Times New Roman"/>
          <w:sz w:val="18"/>
          <w:szCs w:val="18"/>
          <w:lang w:val="en-IE"/>
        </w:rPr>
      </w:pPr>
      <w:r w:rsidRPr="008857A8">
        <w:rPr>
          <w:rStyle w:val="FootnoteReference"/>
          <w:rFonts w:ascii="Times New Roman" w:hAnsi="Times New Roman" w:cs="Times New Roman"/>
          <w:sz w:val="18"/>
          <w:szCs w:val="18"/>
        </w:rPr>
        <w:footnoteRef/>
      </w:r>
      <w:r w:rsidRPr="008857A8">
        <w:rPr>
          <w:rFonts w:ascii="Times New Roman" w:hAnsi="Times New Roman" w:cs="Times New Roman"/>
          <w:sz w:val="18"/>
          <w:szCs w:val="18"/>
        </w:rPr>
        <w:t xml:space="preserve"> At the time of publication, no data were available for 2024.</w:t>
      </w:r>
    </w:p>
  </w:footnote>
  <w:footnote w:id="31">
    <w:p w14:paraId="52D9B20C" w14:textId="44F54A54" w:rsidR="00267A77" w:rsidRPr="00BC048A" w:rsidRDefault="00267A77" w:rsidP="00267A77">
      <w:pPr>
        <w:pStyle w:val="FootnoteText"/>
        <w:rPr>
          <w:rFonts w:ascii="Times New Roman" w:hAnsi="Times New Roman" w:cs="Times New Roman"/>
          <w:sz w:val="18"/>
          <w:szCs w:val="18"/>
        </w:rPr>
      </w:pPr>
      <w:r w:rsidRPr="00BC048A">
        <w:rPr>
          <w:rStyle w:val="FootnoteReference"/>
          <w:rFonts w:ascii="Times New Roman" w:hAnsi="Times New Roman" w:cs="Times New Roman"/>
          <w:sz w:val="18"/>
          <w:szCs w:val="18"/>
        </w:rPr>
        <w:footnoteRef/>
      </w:r>
      <w:r w:rsidRPr="00BC048A">
        <w:rPr>
          <w:rFonts w:ascii="Times New Roman" w:hAnsi="Times New Roman" w:cs="Times New Roman"/>
          <w:sz w:val="18"/>
          <w:szCs w:val="18"/>
        </w:rPr>
        <w:t xml:space="preserve"> </w:t>
      </w:r>
      <w:hyperlink r:id="rId13" w:history="1">
        <w:r w:rsidRPr="00BC048A">
          <w:rPr>
            <w:rStyle w:val="Hyperlink"/>
            <w:rFonts w:ascii="Times New Roman" w:eastAsia="Times New Roman" w:hAnsi="Times New Roman" w:cs="Times New Roman"/>
            <w:sz w:val="18"/>
            <w:szCs w:val="18"/>
          </w:rPr>
          <w:t>OECD Report on Economic Security in a Changing World</w:t>
        </w:r>
      </w:hyperlink>
      <w:r>
        <w:t>.</w:t>
      </w:r>
    </w:p>
  </w:footnote>
  <w:footnote w:id="32">
    <w:p w14:paraId="04906927" w14:textId="77777777" w:rsidR="00267A77" w:rsidRPr="00BC048A" w:rsidRDefault="00267A77" w:rsidP="00267A77">
      <w:pPr>
        <w:pStyle w:val="FootnoteText"/>
        <w:rPr>
          <w:rFonts w:ascii="Times New Roman" w:hAnsi="Times New Roman" w:cs="Times New Roman"/>
          <w:sz w:val="18"/>
          <w:szCs w:val="18"/>
        </w:rPr>
      </w:pPr>
      <w:r w:rsidRPr="00BC048A">
        <w:rPr>
          <w:rStyle w:val="FootnoteReference"/>
          <w:rFonts w:ascii="Times New Roman" w:hAnsi="Times New Roman" w:cs="Times New Roman"/>
          <w:sz w:val="18"/>
          <w:szCs w:val="18"/>
        </w:rPr>
        <w:footnoteRef/>
      </w:r>
      <w:r w:rsidRPr="00BC048A">
        <w:rPr>
          <w:rFonts w:ascii="Times New Roman" w:hAnsi="Times New Roman" w:cs="Times New Roman"/>
          <w:sz w:val="18"/>
          <w:szCs w:val="18"/>
        </w:rPr>
        <w:t>IMF Working Paper on Industrial Policy since the Great Financial Crisis.</w:t>
      </w:r>
    </w:p>
  </w:footnote>
  <w:footnote w:id="33">
    <w:p w14:paraId="331EBB23" w14:textId="2F10DBFD" w:rsidR="00267A77" w:rsidRPr="00BC048A" w:rsidRDefault="00267A77" w:rsidP="00267A77">
      <w:pPr>
        <w:pStyle w:val="FootnoteText"/>
        <w:jc w:val="both"/>
        <w:rPr>
          <w:rFonts w:ascii="Times New Roman" w:hAnsi="Times New Roman" w:cs="Times New Roman"/>
          <w:sz w:val="18"/>
          <w:szCs w:val="18"/>
        </w:rPr>
      </w:pPr>
      <w:r w:rsidRPr="00BC048A">
        <w:rPr>
          <w:rStyle w:val="FootnoteReference"/>
          <w:rFonts w:ascii="Times New Roman" w:hAnsi="Times New Roman" w:cs="Times New Roman"/>
          <w:sz w:val="18"/>
          <w:szCs w:val="18"/>
        </w:rPr>
        <w:footnoteRef/>
      </w:r>
      <w:r w:rsidRPr="00BC048A">
        <w:rPr>
          <w:rFonts w:ascii="Times New Roman" w:hAnsi="Times New Roman" w:cs="Times New Roman"/>
          <w:sz w:val="18"/>
          <w:szCs w:val="18"/>
        </w:rPr>
        <w:t xml:space="preserve"> </w:t>
      </w:r>
      <w:r>
        <w:rPr>
          <w:rFonts w:ascii="Times New Roman" w:hAnsi="Times New Roman" w:cs="Times New Roman"/>
          <w:sz w:val="18"/>
          <w:szCs w:val="18"/>
        </w:rPr>
        <w:t>‘</w:t>
      </w:r>
      <w:r w:rsidRPr="00BC048A">
        <w:rPr>
          <w:rFonts w:ascii="Times New Roman" w:hAnsi="Times New Roman" w:cs="Times New Roman"/>
          <w:sz w:val="18"/>
          <w:szCs w:val="18"/>
        </w:rPr>
        <w:t>GVC</w:t>
      </w:r>
      <w:r>
        <w:rPr>
          <w:rFonts w:ascii="Times New Roman" w:hAnsi="Times New Roman" w:cs="Times New Roman"/>
          <w:sz w:val="18"/>
          <w:szCs w:val="18"/>
        </w:rPr>
        <w:t>’</w:t>
      </w:r>
      <w:r w:rsidRPr="00BC048A">
        <w:rPr>
          <w:rFonts w:ascii="Times New Roman" w:hAnsi="Times New Roman" w:cs="Times New Roman"/>
          <w:sz w:val="18"/>
          <w:szCs w:val="18"/>
        </w:rPr>
        <w:t xml:space="preserve"> stands for </w:t>
      </w:r>
      <w:r w:rsidRPr="00BC048A">
        <w:rPr>
          <w:rStyle w:val="Hyperlink"/>
          <w:rFonts w:ascii="Times New Roman" w:eastAsia="Times New Roman" w:hAnsi="Times New Roman" w:cs="Times New Roman"/>
          <w:sz w:val="18"/>
          <w:szCs w:val="18"/>
        </w:rPr>
        <w:t>global</w:t>
      </w:r>
      <w:r w:rsidRPr="00BC048A">
        <w:rPr>
          <w:rFonts w:ascii="Times New Roman" w:hAnsi="Times New Roman" w:cs="Times New Roman"/>
          <w:sz w:val="18"/>
          <w:szCs w:val="18"/>
        </w:rPr>
        <w:t xml:space="preserve"> value chains, and </w:t>
      </w:r>
      <w:r>
        <w:rPr>
          <w:rFonts w:ascii="Times New Roman" w:hAnsi="Times New Roman" w:cs="Times New Roman"/>
          <w:sz w:val="18"/>
          <w:szCs w:val="18"/>
        </w:rPr>
        <w:t>‘</w:t>
      </w:r>
      <w:r w:rsidRPr="00BC048A">
        <w:rPr>
          <w:rFonts w:ascii="Times New Roman" w:hAnsi="Times New Roman" w:cs="Times New Roman"/>
          <w:sz w:val="18"/>
          <w:szCs w:val="18"/>
        </w:rPr>
        <w:t>national sec</w:t>
      </w:r>
      <w:r>
        <w:rPr>
          <w:rFonts w:ascii="Times New Roman" w:hAnsi="Times New Roman" w:cs="Times New Roman"/>
          <w:sz w:val="18"/>
          <w:szCs w:val="18"/>
        </w:rPr>
        <w:t>’</w:t>
      </w:r>
      <w:r w:rsidRPr="00BC048A">
        <w:rPr>
          <w:rFonts w:ascii="Times New Roman" w:hAnsi="Times New Roman" w:cs="Times New Roman"/>
          <w:sz w:val="18"/>
          <w:szCs w:val="18"/>
        </w:rPr>
        <w:t xml:space="preserve"> for national security as referenced in the </w:t>
      </w:r>
      <w:hyperlink r:id="rId14" w:history="1">
        <w:r w:rsidRPr="00BC048A">
          <w:rPr>
            <w:rStyle w:val="Hyperlink"/>
            <w:rFonts w:ascii="Times New Roman" w:hAnsi="Times New Roman" w:cs="Times New Roman"/>
            <w:sz w:val="18"/>
            <w:szCs w:val="18"/>
          </w:rPr>
          <w:t xml:space="preserve">IMF Working Paper on </w:t>
        </w:r>
        <w:r w:rsidRPr="00BC048A">
          <w:rPr>
            <w:rStyle w:val="Hyperlink"/>
            <w:rFonts w:ascii="Times New Roman" w:eastAsia="Times New Roman" w:hAnsi="Times New Roman" w:cs="Times New Roman"/>
            <w:sz w:val="18"/>
            <w:szCs w:val="18"/>
          </w:rPr>
          <w:t>Industrial</w:t>
        </w:r>
        <w:r w:rsidRPr="00BC048A">
          <w:rPr>
            <w:rStyle w:val="Hyperlink"/>
            <w:rFonts w:ascii="Times New Roman" w:hAnsi="Times New Roman" w:cs="Times New Roman"/>
            <w:sz w:val="18"/>
            <w:szCs w:val="18"/>
          </w:rPr>
          <w:t xml:space="preserve"> Policy since the Great Financial </w:t>
        </w:r>
        <w:r w:rsidRPr="00BC048A">
          <w:rPr>
            <w:rFonts w:ascii="Times New Roman" w:hAnsi="Times New Roman" w:cs="Times New Roman"/>
            <w:sz w:val="18"/>
            <w:szCs w:val="18"/>
          </w:rPr>
          <w:t>Crisis</w:t>
        </w:r>
      </w:hyperlink>
      <w:r w:rsidRPr="00BC048A">
        <w:t>.</w:t>
      </w:r>
    </w:p>
  </w:footnote>
  <w:footnote w:id="34">
    <w:p w14:paraId="3CFDE982" w14:textId="3D5E9EF4" w:rsidR="00267A77" w:rsidRPr="00BC048A" w:rsidRDefault="00267A77" w:rsidP="00267A77">
      <w:pPr>
        <w:pStyle w:val="FootnoteText"/>
        <w:jc w:val="both"/>
        <w:rPr>
          <w:rFonts w:ascii="Times New Roman" w:hAnsi="Times New Roman" w:cs="Times New Roman"/>
          <w:sz w:val="18"/>
          <w:szCs w:val="18"/>
        </w:rPr>
      </w:pPr>
      <w:r w:rsidRPr="00BC048A">
        <w:rPr>
          <w:rStyle w:val="FootnoteReference"/>
          <w:rFonts w:ascii="Times New Roman" w:hAnsi="Times New Roman" w:cs="Times New Roman"/>
          <w:sz w:val="18"/>
          <w:szCs w:val="18"/>
        </w:rPr>
        <w:footnoteRef/>
      </w:r>
      <w:r w:rsidRPr="00BC048A">
        <w:rPr>
          <w:rFonts w:ascii="Times New Roman" w:hAnsi="Times New Roman" w:cs="Times New Roman"/>
          <w:sz w:val="18"/>
          <w:szCs w:val="18"/>
        </w:rPr>
        <w:t xml:space="preserve"> The data used in this inventory is publicly available and has been collected through the knowledge and intelligence of Commission </w:t>
      </w:r>
      <w:r>
        <w:rPr>
          <w:rFonts w:ascii="Times New Roman" w:hAnsi="Times New Roman" w:cs="Times New Roman"/>
          <w:sz w:val="18"/>
          <w:szCs w:val="18"/>
        </w:rPr>
        <w:t>departments</w:t>
      </w:r>
      <w:r w:rsidRPr="00BC048A">
        <w:rPr>
          <w:rFonts w:ascii="Times New Roman" w:hAnsi="Times New Roman" w:cs="Times New Roman"/>
          <w:sz w:val="18"/>
          <w:szCs w:val="18"/>
        </w:rPr>
        <w:t xml:space="preserve"> and EU delegations, notably in media articles, press releases, official governmental documentation, a</w:t>
      </w:r>
      <w:r>
        <w:rPr>
          <w:rFonts w:ascii="Times New Roman" w:hAnsi="Times New Roman" w:cs="Times New Roman"/>
          <w:sz w:val="18"/>
          <w:szCs w:val="18"/>
        </w:rPr>
        <w:t xml:space="preserve">nd </w:t>
      </w:r>
      <w:r w:rsidRPr="00BC048A">
        <w:rPr>
          <w:rFonts w:ascii="Times New Roman" w:hAnsi="Times New Roman" w:cs="Times New Roman"/>
          <w:sz w:val="18"/>
          <w:szCs w:val="18"/>
        </w:rPr>
        <w:t xml:space="preserve">from </w:t>
      </w:r>
      <w:r>
        <w:rPr>
          <w:rFonts w:ascii="Times New Roman" w:hAnsi="Times New Roman" w:cs="Times New Roman"/>
          <w:sz w:val="18"/>
          <w:szCs w:val="18"/>
        </w:rPr>
        <w:t>contact</w:t>
      </w:r>
      <w:r w:rsidRPr="00BC048A">
        <w:rPr>
          <w:rFonts w:ascii="Times New Roman" w:hAnsi="Times New Roman" w:cs="Times New Roman"/>
          <w:sz w:val="18"/>
          <w:szCs w:val="18"/>
        </w:rPr>
        <w:t xml:space="preserve">s with </w:t>
      </w:r>
      <w:r>
        <w:rPr>
          <w:rFonts w:ascii="Times New Roman" w:hAnsi="Times New Roman" w:cs="Times New Roman"/>
          <w:sz w:val="18"/>
          <w:szCs w:val="18"/>
        </w:rPr>
        <w:t xml:space="preserve">the </w:t>
      </w:r>
      <w:r w:rsidRPr="00BC048A">
        <w:rPr>
          <w:rFonts w:ascii="Times New Roman" w:hAnsi="Times New Roman" w:cs="Times New Roman"/>
          <w:sz w:val="18"/>
          <w:szCs w:val="18"/>
        </w:rPr>
        <w:t>public authorities</w:t>
      </w:r>
      <w:r>
        <w:rPr>
          <w:rFonts w:ascii="Times New Roman" w:hAnsi="Times New Roman" w:cs="Times New Roman"/>
          <w:sz w:val="18"/>
          <w:szCs w:val="18"/>
        </w:rPr>
        <w:t xml:space="preserve"> concerned</w:t>
      </w:r>
      <w:r w:rsidRPr="00BC048A">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C444" w14:textId="77777777" w:rsidR="00E7679D" w:rsidRPr="00E7679D" w:rsidRDefault="00E7679D" w:rsidP="00E7679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8C170" w14:textId="77777777" w:rsidR="00E7679D" w:rsidRPr="00E7679D" w:rsidRDefault="00E7679D" w:rsidP="00E7679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446D" w14:textId="77777777" w:rsidR="00E7679D" w:rsidRPr="00E7679D" w:rsidRDefault="00E7679D" w:rsidP="00E7679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CD81" w14:textId="77777777" w:rsidR="00FB4850" w:rsidRDefault="00FB48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689E" w14:textId="77777777" w:rsidR="00FB4850" w:rsidRDefault="00FB485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D779A" w14:textId="77777777" w:rsidR="00FB4850" w:rsidRDefault="00FB48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93525" w14:textId="77777777" w:rsidR="00885DD3" w:rsidRDefault="00885DD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8E21" w14:textId="77777777" w:rsidR="00885DD3" w:rsidRDefault="00885DD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65840" w14:textId="77777777" w:rsidR="005C18C6" w:rsidRDefault="005C18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51B91" w14:textId="77777777" w:rsidR="005C18C6" w:rsidRDefault="005C18C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4DB47" w14:textId="77777777" w:rsidR="005C18C6" w:rsidRDefault="005C18C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6A3A" w14:textId="77777777" w:rsidR="00885DD3" w:rsidRDefault="00885D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6pt;height:11.4pt;visibility:visible" o:bullet="t">
        <v:imagedata r:id="rId1" o:title=""/>
      </v:shape>
    </w:pict>
  </w:numPicBullet>
  <w:abstractNum w:abstractNumId="0" w15:restartNumberingAfterBreak="0">
    <w:nsid w:val="00294547"/>
    <w:multiLevelType w:val="hybridMultilevel"/>
    <w:tmpl w:val="003654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0421570"/>
    <w:multiLevelType w:val="hybridMultilevel"/>
    <w:tmpl w:val="954AA4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D304C1"/>
    <w:multiLevelType w:val="multilevel"/>
    <w:tmpl w:val="EB70E520"/>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F47480"/>
    <w:multiLevelType w:val="multilevel"/>
    <w:tmpl w:val="3F005BA2"/>
    <w:styleLink w:val="WWOutlineListStyle2"/>
    <w:lvl w:ilvl="0">
      <w:start w:val="1"/>
      <w:numFmt w:val="upperRoman"/>
      <w:lvlText w:val="%1."/>
      <w:lvlJc w:val="right"/>
      <w:pPr>
        <w:ind w:left="720" w:hanging="360"/>
      </w:pPr>
    </w:lvl>
    <w:lvl w:ilvl="1">
      <w:start w:val="1"/>
      <w:numFmt w:val="none"/>
      <w:lvlText w:val="%2"/>
      <w:lvlJc w:val="left"/>
    </w:lvl>
    <w:lvl w:ilvl="2">
      <w:start w:val="1"/>
      <w:numFmt w:val="decimal"/>
      <w:lvlText w:val="%3."/>
      <w:lvlJc w:val="left"/>
      <w:pPr>
        <w:ind w:left="720" w:hanging="36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0B155C6D"/>
    <w:multiLevelType w:val="multilevel"/>
    <w:tmpl w:val="18D855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0F502C8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05968F0"/>
    <w:multiLevelType w:val="hybridMultilevel"/>
    <w:tmpl w:val="00A058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1F929F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B51A3E"/>
    <w:multiLevelType w:val="hybridMultilevel"/>
    <w:tmpl w:val="D2D825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0CB3C47"/>
    <w:multiLevelType w:val="hybridMultilevel"/>
    <w:tmpl w:val="3C9ED88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A42324"/>
    <w:multiLevelType w:val="multilevel"/>
    <w:tmpl w:val="CB7E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541833"/>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D34424"/>
    <w:multiLevelType w:val="hybridMultilevel"/>
    <w:tmpl w:val="DD244810"/>
    <w:lvl w:ilvl="0" w:tplc="7ADE3B4C">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2B7B5AF0"/>
    <w:multiLevelType w:val="multilevel"/>
    <w:tmpl w:val="E780DE2A"/>
    <w:styleLink w:val="WWOutlineListStyle1"/>
    <w:lvl w:ilvl="0">
      <w:start w:val="1"/>
      <w:numFmt w:val="upperRoman"/>
      <w:lvlText w:val="%1."/>
      <w:lvlJc w:val="right"/>
      <w:pPr>
        <w:ind w:left="720" w:hanging="360"/>
      </w:pPr>
    </w:lvl>
    <w:lvl w:ilvl="1">
      <w:start w:val="1"/>
      <w:numFmt w:val="none"/>
      <w:lvlText w:val="%2"/>
      <w:lvlJc w:val="left"/>
    </w:lvl>
    <w:lvl w:ilvl="2">
      <w:start w:val="1"/>
      <w:numFmt w:val="decimal"/>
      <w:lvlText w:val="%3."/>
      <w:lvlJc w:val="left"/>
      <w:pPr>
        <w:ind w:left="720" w:hanging="36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E60527F"/>
    <w:multiLevelType w:val="multilevel"/>
    <w:tmpl w:val="82EE7148"/>
    <w:lvl w:ilvl="0">
      <w:numFmt w:val="bullet"/>
      <w:lvlText w:val="·"/>
      <w:lvlJc w:val="left"/>
      <w:pPr>
        <w:ind w:left="720" w:hanging="360"/>
      </w:pPr>
      <w:rPr>
        <w:rFonts w:ascii="Symbol" w:hAnsi="Symbol"/>
      </w:rPr>
    </w:lvl>
    <w:lvl w:ilvl="1">
      <w:start w:val="1"/>
      <w:numFmt w:val="decimal"/>
      <w:lvlText w:val="(%2)"/>
      <w:lvlJc w:val="left"/>
      <w:pPr>
        <w:ind w:left="1440" w:hanging="360"/>
      </w:pPr>
      <w:rPr>
        <w:rFonts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2EBA4AD6"/>
    <w:multiLevelType w:val="multilevel"/>
    <w:tmpl w:val="56B4B452"/>
    <w:styleLink w:val="WWOutlineListStyle"/>
    <w:lvl w:ilvl="0">
      <w:start w:val="1"/>
      <w:numFmt w:val="upperRoman"/>
      <w:lvlText w:val="%1."/>
      <w:lvlJc w:val="right"/>
      <w:pPr>
        <w:ind w:left="720" w:hanging="360"/>
      </w:pPr>
    </w:lvl>
    <w:lvl w:ilvl="1">
      <w:start w:val="1"/>
      <w:numFmt w:val="none"/>
      <w:lvlText w:val="%2"/>
      <w:lvlJc w:val="left"/>
    </w:lvl>
    <w:lvl w:ilvl="2">
      <w:start w:val="1"/>
      <w:numFmt w:val="decimal"/>
      <w:lvlText w:val="%3."/>
      <w:lvlJc w:val="left"/>
      <w:pPr>
        <w:ind w:left="720" w:hanging="36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2F0104CA"/>
    <w:multiLevelType w:val="multilevel"/>
    <w:tmpl w:val="EB70E5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F7F451B"/>
    <w:multiLevelType w:val="hybridMultilevel"/>
    <w:tmpl w:val="2A881664"/>
    <w:lvl w:ilvl="0" w:tplc="A754EBB2">
      <w:start w:val="1"/>
      <w:numFmt w:val="upperRoman"/>
      <w:pStyle w:val="Style8"/>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0A74085"/>
    <w:multiLevelType w:val="multilevel"/>
    <w:tmpl w:val="D976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AA0F4F"/>
    <w:multiLevelType w:val="multilevel"/>
    <w:tmpl w:val="DFA0B74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2616544"/>
    <w:multiLevelType w:val="hybridMultilevel"/>
    <w:tmpl w:val="5A9A5660"/>
    <w:lvl w:ilvl="0" w:tplc="3A38E008">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674467A"/>
    <w:multiLevelType w:val="multilevel"/>
    <w:tmpl w:val="CE30C4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371A2907"/>
    <w:multiLevelType w:val="hybridMultilevel"/>
    <w:tmpl w:val="591E41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ECD1081"/>
    <w:multiLevelType w:val="hybridMultilevel"/>
    <w:tmpl w:val="C68CA28A"/>
    <w:lvl w:ilvl="0" w:tplc="33C8F94C">
      <w:start w:val="1"/>
      <w:numFmt w:val="bullet"/>
      <w:lvlText w:val=""/>
      <w:lvlPicBulletId w:val="0"/>
      <w:lvlJc w:val="left"/>
      <w:pPr>
        <w:tabs>
          <w:tab w:val="num" w:pos="720"/>
        </w:tabs>
        <w:ind w:left="720" w:hanging="360"/>
      </w:pPr>
      <w:rPr>
        <w:rFonts w:ascii="Symbol" w:hAnsi="Symbol" w:hint="default"/>
      </w:rPr>
    </w:lvl>
    <w:lvl w:ilvl="1" w:tplc="DC88EEA8" w:tentative="1">
      <w:start w:val="1"/>
      <w:numFmt w:val="bullet"/>
      <w:lvlText w:val=""/>
      <w:lvlJc w:val="left"/>
      <w:pPr>
        <w:tabs>
          <w:tab w:val="num" w:pos="1440"/>
        </w:tabs>
        <w:ind w:left="1440" w:hanging="360"/>
      </w:pPr>
      <w:rPr>
        <w:rFonts w:ascii="Symbol" w:hAnsi="Symbol" w:hint="default"/>
      </w:rPr>
    </w:lvl>
    <w:lvl w:ilvl="2" w:tplc="62EC5CDC" w:tentative="1">
      <w:start w:val="1"/>
      <w:numFmt w:val="bullet"/>
      <w:lvlText w:val=""/>
      <w:lvlJc w:val="left"/>
      <w:pPr>
        <w:tabs>
          <w:tab w:val="num" w:pos="2160"/>
        </w:tabs>
        <w:ind w:left="2160" w:hanging="360"/>
      </w:pPr>
      <w:rPr>
        <w:rFonts w:ascii="Symbol" w:hAnsi="Symbol" w:hint="default"/>
      </w:rPr>
    </w:lvl>
    <w:lvl w:ilvl="3" w:tplc="F43AF044" w:tentative="1">
      <w:start w:val="1"/>
      <w:numFmt w:val="bullet"/>
      <w:lvlText w:val=""/>
      <w:lvlJc w:val="left"/>
      <w:pPr>
        <w:tabs>
          <w:tab w:val="num" w:pos="2880"/>
        </w:tabs>
        <w:ind w:left="2880" w:hanging="360"/>
      </w:pPr>
      <w:rPr>
        <w:rFonts w:ascii="Symbol" w:hAnsi="Symbol" w:hint="default"/>
      </w:rPr>
    </w:lvl>
    <w:lvl w:ilvl="4" w:tplc="ECDA140E" w:tentative="1">
      <w:start w:val="1"/>
      <w:numFmt w:val="bullet"/>
      <w:lvlText w:val=""/>
      <w:lvlJc w:val="left"/>
      <w:pPr>
        <w:tabs>
          <w:tab w:val="num" w:pos="3600"/>
        </w:tabs>
        <w:ind w:left="3600" w:hanging="360"/>
      </w:pPr>
      <w:rPr>
        <w:rFonts w:ascii="Symbol" w:hAnsi="Symbol" w:hint="default"/>
      </w:rPr>
    </w:lvl>
    <w:lvl w:ilvl="5" w:tplc="BF9E93E4" w:tentative="1">
      <w:start w:val="1"/>
      <w:numFmt w:val="bullet"/>
      <w:lvlText w:val=""/>
      <w:lvlJc w:val="left"/>
      <w:pPr>
        <w:tabs>
          <w:tab w:val="num" w:pos="4320"/>
        </w:tabs>
        <w:ind w:left="4320" w:hanging="360"/>
      </w:pPr>
      <w:rPr>
        <w:rFonts w:ascii="Symbol" w:hAnsi="Symbol" w:hint="default"/>
      </w:rPr>
    </w:lvl>
    <w:lvl w:ilvl="6" w:tplc="0BF065B2" w:tentative="1">
      <w:start w:val="1"/>
      <w:numFmt w:val="bullet"/>
      <w:lvlText w:val=""/>
      <w:lvlJc w:val="left"/>
      <w:pPr>
        <w:tabs>
          <w:tab w:val="num" w:pos="5040"/>
        </w:tabs>
        <w:ind w:left="5040" w:hanging="360"/>
      </w:pPr>
      <w:rPr>
        <w:rFonts w:ascii="Symbol" w:hAnsi="Symbol" w:hint="default"/>
      </w:rPr>
    </w:lvl>
    <w:lvl w:ilvl="7" w:tplc="E2F2FB0A" w:tentative="1">
      <w:start w:val="1"/>
      <w:numFmt w:val="bullet"/>
      <w:lvlText w:val=""/>
      <w:lvlJc w:val="left"/>
      <w:pPr>
        <w:tabs>
          <w:tab w:val="num" w:pos="5760"/>
        </w:tabs>
        <w:ind w:left="5760" w:hanging="360"/>
      </w:pPr>
      <w:rPr>
        <w:rFonts w:ascii="Symbol" w:hAnsi="Symbol" w:hint="default"/>
      </w:rPr>
    </w:lvl>
    <w:lvl w:ilvl="8" w:tplc="5E265EF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04C5FCC"/>
    <w:multiLevelType w:val="hybridMultilevel"/>
    <w:tmpl w:val="E48416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0902571"/>
    <w:multiLevelType w:val="hybridMultilevel"/>
    <w:tmpl w:val="3DC294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31707A9"/>
    <w:multiLevelType w:val="multilevel"/>
    <w:tmpl w:val="105C1022"/>
    <w:styleLink w:val="LFO14"/>
    <w:lvl w:ilvl="0">
      <w:start w:val="1"/>
      <w:numFmt w:val="decimal"/>
      <w:pStyle w:val="Title5"/>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BC73DE"/>
    <w:multiLevelType w:val="hybridMultilevel"/>
    <w:tmpl w:val="9CAAD4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60324FE"/>
    <w:multiLevelType w:val="multilevel"/>
    <w:tmpl w:val="D2A8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811030A"/>
    <w:multiLevelType w:val="hybridMultilevel"/>
    <w:tmpl w:val="80D049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C5E0552"/>
    <w:multiLevelType w:val="multilevel"/>
    <w:tmpl w:val="983CD4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CBE49C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E72F34"/>
    <w:multiLevelType w:val="multilevel"/>
    <w:tmpl w:val="28A48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F2F0C2C"/>
    <w:multiLevelType w:val="hybridMultilevel"/>
    <w:tmpl w:val="290C23D2"/>
    <w:lvl w:ilvl="0" w:tplc="15C6D572">
      <w:start w:val="19"/>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579B13BE"/>
    <w:multiLevelType w:val="hybridMultilevel"/>
    <w:tmpl w:val="03B0AFAC"/>
    <w:lvl w:ilvl="0" w:tplc="D0EA18EA">
      <w:start w:val="1"/>
      <w:numFmt w:val="decimal"/>
      <w:lvlText w:val="%1."/>
      <w:lvlJc w:val="left"/>
      <w:pPr>
        <w:ind w:left="720" w:hanging="360"/>
      </w:pPr>
      <w:rPr>
        <w:rFonts w:hint="default"/>
        <w:b/>
        <w:bCs/>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D374ECC"/>
    <w:multiLevelType w:val="multilevel"/>
    <w:tmpl w:val="7926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D7947BC"/>
    <w:multiLevelType w:val="multilevel"/>
    <w:tmpl w:val="76701A4C"/>
    <w:lvl w:ilvl="0">
      <w:numFmt w:val="decimal"/>
      <w:lvlText w:val="%1"/>
      <w:lvlJc w:val="left"/>
      <w:pPr>
        <w:ind w:left="360" w:hanging="360"/>
      </w:pPr>
      <w:rPr>
        <w:rFonts w:hint="default"/>
        <w:color w:val="000000"/>
      </w:rPr>
    </w:lvl>
    <w:lvl w:ilvl="1">
      <w:start w:val="19"/>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8" w15:restartNumberingAfterBreak="0">
    <w:nsid w:val="5E617B45"/>
    <w:multiLevelType w:val="hybridMultilevel"/>
    <w:tmpl w:val="6D48D7D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18E4935"/>
    <w:multiLevelType w:val="multilevel"/>
    <w:tmpl w:val="EF344FE6"/>
    <w:styleLink w:val="WWOutlineListStyle3"/>
    <w:lvl w:ilvl="0">
      <w:start w:val="1"/>
      <w:numFmt w:val="upperRoman"/>
      <w:pStyle w:val="Title4"/>
      <w:lvlText w:val="%1."/>
      <w:lvlJc w:val="right"/>
      <w:pPr>
        <w:ind w:left="720" w:hanging="360"/>
      </w:pPr>
    </w:lvl>
    <w:lvl w:ilvl="1">
      <w:start w:val="1"/>
      <w:numFmt w:val="none"/>
      <w:lvlText w:val="%2"/>
      <w:lvlJc w:val="left"/>
    </w:lvl>
    <w:lvl w:ilvl="2">
      <w:start w:val="1"/>
      <w:numFmt w:val="decimal"/>
      <w:pStyle w:val="Title2"/>
      <w:lvlText w:val="%3."/>
      <w:lvlJc w:val="left"/>
      <w:pPr>
        <w:ind w:left="720" w:hanging="360"/>
      </w:pPr>
    </w:lvl>
    <w:lvl w:ilvl="3">
      <w:start w:val="1"/>
      <w:numFmt w:val="none"/>
      <w:lvlText w:val="%4"/>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0" w15:restartNumberingAfterBreak="0">
    <w:nsid w:val="621F0C8B"/>
    <w:multiLevelType w:val="hybridMultilevel"/>
    <w:tmpl w:val="D9EA61FC"/>
    <w:lvl w:ilvl="0" w:tplc="8B420EAE">
      <w:start w:val="1"/>
      <w:numFmt w:val="decimal"/>
      <w:lvlText w:val="%1."/>
      <w:lvlJc w:val="left"/>
      <w:pPr>
        <w:ind w:left="1020" w:hanging="360"/>
      </w:pPr>
    </w:lvl>
    <w:lvl w:ilvl="1" w:tplc="80EA1988">
      <w:start w:val="1"/>
      <w:numFmt w:val="decimal"/>
      <w:lvlText w:val="%2."/>
      <w:lvlJc w:val="left"/>
      <w:pPr>
        <w:ind w:left="1020" w:hanging="360"/>
      </w:pPr>
    </w:lvl>
    <w:lvl w:ilvl="2" w:tplc="F970C102">
      <w:start w:val="1"/>
      <w:numFmt w:val="decimal"/>
      <w:lvlText w:val="%3."/>
      <w:lvlJc w:val="left"/>
      <w:pPr>
        <w:ind w:left="1020" w:hanging="360"/>
      </w:pPr>
    </w:lvl>
    <w:lvl w:ilvl="3" w:tplc="12E40A90">
      <w:start w:val="1"/>
      <w:numFmt w:val="decimal"/>
      <w:lvlText w:val="%4."/>
      <w:lvlJc w:val="left"/>
      <w:pPr>
        <w:ind w:left="1020" w:hanging="360"/>
      </w:pPr>
    </w:lvl>
    <w:lvl w:ilvl="4" w:tplc="8E56F5E4">
      <w:start w:val="1"/>
      <w:numFmt w:val="decimal"/>
      <w:lvlText w:val="%5."/>
      <w:lvlJc w:val="left"/>
      <w:pPr>
        <w:ind w:left="1020" w:hanging="360"/>
      </w:pPr>
    </w:lvl>
    <w:lvl w:ilvl="5" w:tplc="D5501316">
      <w:start w:val="1"/>
      <w:numFmt w:val="decimal"/>
      <w:lvlText w:val="%6."/>
      <w:lvlJc w:val="left"/>
      <w:pPr>
        <w:ind w:left="1020" w:hanging="360"/>
      </w:pPr>
    </w:lvl>
    <w:lvl w:ilvl="6" w:tplc="B858A292">
      <w:start w:val="1"/>
      <w:numFmt w:val="decimal"/>
      <w:lvlText w:val="%7."/>
      <w:lvlJc w:val="left"/>
      <w:pPr>
        <w:ind w:left="1020" w:hanging="360"/>
      </w:pPr>
    </w:lvl>
    <w:lvl w:ilvl="7" w:tplc="62B89148">
      <w:start w:val="1"/>
      <w:numFmt w:val="decimal"/>
      <w:lvlText w:val="%8."/>
      <w:lvlJc w:val="left"/>
      <w:pPr>
        <w:ind w:left="1020" w:hanging="360"/>
      </w:pPr>
    </w:lvl>
    <w:lvl w:ilvl="8" w:tplc="1A9E90EA">
      <w:start w:val="1"/>
      <w:numFmt w:val="decimal"/>
      <w:lvlText w:val="%9."/>
      <w:lvlJc w:val="left"/>
      <w:pPr>
        <w:ind w:left="1020" w:hanging="360"/>
      </w:pPr>
    </w:lvl>
  </w:abstractNum>
  <w:abstractNum w:abstractNumId="41" w15:restartNumberingAfterBreak="0">
    <w:nsid w:val="66EB0206"/>
    <w:multiLevelType w:val="multilevel"/>
    <w:tmpl w:val="BB78A118"/>
    <w:lvl w:ilvl="0">
      <w:start w:val="6"/>
      <w:numFmt w:val="decimal"/>
      <w:lvlText w:val="%1"/>
      <w:lvlJc w:val="left"/>
      <w:pPr>
        <w:ind w:left="360" w:hanging="360"/>
      </w:pPr>
      <w:rPr>
        <w:rFonts w:ascii="Times New Roman" w:eastAsia="Times New Roman" w:hAnsi="Times New Roman" w:cs="Times New Roman" w:hint="default"/>
        <w:b/>
        <w:sz w:val="24"/>
      </w:rPr>
    </w:lvl>
    <w:lvl w:ilvl="1">
      <w:start w:val="2"/>
      <w:numFmt w:val="decimal"/>
      <w:lvlText w:val="%1.%2"/>
      <w:lvlJc w:val="left"/>
      <w:pPr>
        <w:ind w:left="644" w:hanging="360"/>
      </w:pPr>
      <w:rPr>
        <w:rFonts w:ascii="Times New Roman" w:eastAsia="Times New Roman" w:hAnsi="Times New Roman" w:cs="Times New Roman" w:hint="default"/>
        <w:b/>
        <w:sz w:val="24"/>
      </w:rPr>
    </w:lvl>
    <w:lvl w:ilvl="2">
      <w:start w:val="1"/>
      <w:numFmt w:val="decimal"/>
      <w:lvlText w:val="%1.%2.%3"/>
      <w:lvlJc w:val="left"/>
      <w:pPr>
        <w:ind w:left="1288" w:hanging="720"/>
      </w:pPr>
      <w:rPr>
        <w:rFonts w:ascii="Times New Roman" w:eastAsia="Times New Roman" w:hAnsi="Times New Roman" w:cs="Times New Roman" w:hint="default"/>
        <w:b/>
        <w:sz w:val="24"/>
      </w:rPr>
    </w:lvl>
    <w:lvl w:ilvl="3">
      <w:start w:val="1"/>
      <w:numFmt w:val="decimal"/>
      <w:lvlText w:val="%1.%2.%3.%4"/>
      <w:lvlJc w:val="left"/>
      <w:pPr>
        <w:ind w:left="1572" w:hanging="720"/>
      </w:pPr>
      <w:rPr>
        <w:rFonts w:ascii="Times New Roman" w:eastAsia="Times New Roman" w:hAnsi="Times New Roman" w:cs="Times New Roman" w:hint="default"/>
        <w:b/>
        <w:sz w:val="24"/>
      </w:rPr>
    </w:lvl>
    <w:lvl w:ilvl="4">
      <w:start w:val="1"/>
      <w:numFmt w:val="decimal"/>
      <w:lvlText w:val="%1.%2.%3.%4.%5"/>
      <w:lvlJc w:val="left"/>
      <w:pPr>
        <w:ind w:left="2216" w:hanging="1080"/>
      </w:pPr>
      <w:rPr>
        <w:rFonts w:ascii="Times New Roman" w:eastAsia="Times New Roman" w:hAnsi="Times New Roman" w:cs="Times New Roman" w:hint="default"/>
        <w:b/>
        <w:sz w:val="24"/>
      </w:rPr>
    </w:lvl>
    <w:lvl w:ilvl="5">
      <w:start w:val="1"/>
      <w:numFmt w:val="decimal"/>
      <w:lvlText w:val="%1.%2.%3.%4.%5.%6"/>
      <w:lvlJc w:val="left"/>
      <w:pPr>
        <w:ind w:left="2500" w:hanging="1080"/>
      </w:pPr>
      <w:rPr>
        <w:rFonts w:ascii="Times New Roman" w:eastAsia="Times New Roman" w:hAnsi="Times New Roman" w:cs="Times New Roman" w:hint="default"/>
        <w:b/>
        <w:sz w:val="24"/>
      </w:rPr>
    </w:lvl>
    <w:lvl w:ilvl="6">
      <w:start w:val="1"/>
      <w:numFmt w:val="decimal"/>
      <w:lvlText w:val="%1.%2.%3.%4.%5.%6.%7"/>
      <w:lvlJc w:val="left"/>
      <w:pPr>
        <w:ind w:left="3144" w:hanging="1440"/>
      </w:pPr>
      <w:rPr>
        <w:rFonts w:ascii="Times New Roman" w:eastAsia="Times New Roman" w:hAnsi="Times New Roman" w:cs="Times New Roman" w:hint="default"/>
        <w:b/>
        <w:sz w:val="24"/>
      </w:rPr>
    </w:lvl>
    <w:lvl w:ilvl="7">
      <w:start w:val="1"/>
      <w:numFmt w:val="decimal"/>
      <w:lvlText w:val="%1.%2.%3.%4.%5.%6.%7.%8"/>
      <w:lvlJc w:val="left"/>
      <w:pPr>
        <w:ind w:left="3428" w:hanging="1440"/>
      </w:pPr>
      <w:rPr>
        <w:rFonts w:ascii="Times New Roman" w:eastAsia="Times New Roman" w:hAnsi="Times New Roman" w:cs="Times New Roman" w:hint="default"/>
        <w:b/>
        <w:sz w:val="24"/>
      </w:rPr>
    </w:lvl>
    <w:lvl w:ilvl="8">
      <w:start w:val="1"/>
      <w:numFmt w:val="decimal"/>
      <w:lvlText w:val="%1.%2.%3.%4.%5.%6.%7.%8.%9"/>
      <w:lvlJc w:val="left"/>
      <w:pPr>
        <w:ind w:left="3712" w:hanging="1440"/>
      </w:pPr>
      <w:rPr>
        <w:rFonts w:ascii="Times New Roman" w:eastAsia="Times New Roman" w:hAnsi="Times New Roman" w:cs="Times New Roman" w:hint="default"/>
        <w:b/>
        <w:sz w:val="24"/>
      </w:rPr>
    </w:lvl>
  </w:abstractNum>
  <w:abstractNum w:abstractNumId="42" w15:restartNumberingAfterBreak="0">
    <w:nsid w:val="68EA2B79"/>
    <w:multiLevelType w:val="hybridMultilevel"/>
    <w:tmpl w:val="D07A9826"/>
    <w:lvl w:ilvl="0" w:tplc="18090001">
      <w:start w:val="1"/>
      <w:numFmt w:val="bullet"/>
      <w:lvlText w:val=""/>
      <w:lvlJc w:val="left"/>
      <w:pPr>
        <w:ind w:left="361" w:hanging="360"/>
      </w:pPr>
      <w:rPr>
        <w:rFonts w:ascii="Symbol" w:hAnsi="Symbol" w:hint="default"/>
      </w:rPr>
    </w:lvl>
    <w:lvl w:ilvl="1" w:tplc="18090003">
      <w:start w:val="1"/>
      <w:numFmt w:val="bullet"/>
      <w:lvlText w:val="o"/>
      <w:lvlJc w:val="left"/>
      <w:pPr>
        <w:ind w:left="1081" w:hanging="360"/>
      </w:pPr>
      <w:rPr>
        <w:rFonts w:ascii="Courier New" w:hAnsi="Courier New" w:cs="Courier New" w:hint="default"/>
      </w:rPr>
    </w:lvl>
    <w:lvl w:ilvl="2" w:tplc="18090005" w:tentative="1">
      <w:start w:val="1"/>
      <w:numFmt w:val="bullet"/>
      <w:lvlText w:val=""/>
      <w:lvlJc w:val="left"/>
      <w:pPr>
        <w:ind w:left="1801" w:hanging="360"/>
      </w:pPr>
      <w:rPr>
        <w:rFonts w:ascii="Wingdings" w:hAnsi="Wingdings" w:hint="default"/>
      </w:rPr>
    </w:lvl>
    <w:lvl w:ilvl="3" w:tplc="18090001" w:tentative="1">
      <w:start w:val="1"/>
      <w:numFmt w:val="bullet"/>
      <w:lvlText w:val=""/>
      <w:lvlJc w:val="left"/>
      <w:pPr>
        <w:ind w:left="2521" w:hanging="360"/>
      </w:pPr>
      <w:rPr>
        <w:rFonts w:ascii="Symbol" w:hAnsi="Symbol" w:hint="default"/>
      </w:rPr>
    </w:lvl>
    <w:lvl w:ilvl="4" w:tplc="18090003" w:tentative="1">
      <w:start w:val="1"/>
      <w:numFmt w:val="bullet"/>
      <w:lvlText w:val="o"/>
      <w:lvlJc w:val="left"/>
      <w:pPr>
        <w:ind w:left="3241" w:hanging="360"/>
      </w:pPr>
      <w:rPr>
        <w:rFonts w:ascii="Courier New" w:hAnsi="Courier New" w:cs="Courier New" w:hint="default"/>
      </w:rPr>
    </w:lvl>
    <w:lvl w:ilvl="5" w:tplc="18090005" w:tentative="1">
      <w:start w:val="1"/>
      <w:numFmt w:val="bullet"/>
      <w:lvlText w:val=""/>
      <w:lvlJc w:val="left"/>
      <w:pPr>
        <w:ind w:left="3961" w:hanging="360"/>
      </w:pPr>
      <w:rPr>
        <w:rFonts w:ascii="Wingdings" w:hAnsi="Wingdings" w:hint="default"/>
      </w:rPr>
    </w:lvl>
    <w:lvl w:ilvl="6" w:tplc="18090001" w:tentative="1">
      <w:start w:val="1"/>
      <w:numFmt w:val="bullet"/>
      <w:lvlText w:val=""/>
      <w:lvlJc w:val="left"/>
      <w:pPr>
        <w:ind w:left="4681" w:hanging="360"/>
      </w:pPr>
      <w:rPr>
        <w:rFonts w:ascii="Symbol" w:hAnsi="Symbol" w:hint="default"/>
      </w:rPr>
    </w:lvl>
    <w:lvl w:ilvl="7" w:tplc="18090003" w:tentative="1">
      <w:start w:val="1"/>
      <w:numFmt w:val="bullet"/>
      <w:lvlText w:val="o"/>
      <w:lvlJc w:val="left"/>
      <w:pPr>
        <w:ind w:left="5401" w:hanging="360"/>
      </w:pPr>
      <w:rPr>
        <w:rFonts w:ascii="Courier New" w:hAnsi="Courier New" w:cs="Courier New" w:hint="default"/>
      </w:rPr>
    </w:lvl>
    <w:lvl w:ilvl="8" w:tplc="18090005" w:tentative="1">
      <w:start w:val="1"/>
      <w:numFmt w:val="bullet"/>
      <w:lvlText w:val=""/>
      <w:lvlJc w:val="left"/>
      <w:pPr>
        <w:ind w:left="6121" w:hanging="360"/>
      </w:pPr>
      <w:rPr>
        <w:rFonts w:ascii="Wingdings" w:hAnsi="Wingdings" w:hint="default"/>
      </w:rPr>
    </w:lvl>
  </w:abstractNum>
  <w:abstractNum w:abstractNumId="43" w15:restartNumberingAfterBreak="0">
    <w:nsid w:val="76CF2301"/>
    <w:multiLevelType w:val="hybridMultilevel"/>
    <w:tmpl w:val="0D2C9F5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AD39261"/>
    <w:multiLevelType w:val="hybridMultilevel"/>
    <w:tmpl w:val="FFFFFFFF"/>
    <w:lvl w:ilvl="0" w:tplc="8D5EED22">
      <w:start w:val="1"/>
      <w:numFmt w:val="bullet"/>
      <w:lvlText w:val=""/>
      <w:lvlJc w:val="left"/>
      <w:pPr>
        <w:ind w:left="360" w:hanging="360"/>
      </w:pPr>
      <w:rPr>
        <w:rFonts w:ascii="Symbol" w:hAnsi="Symbol" w:hint="default"/>
      </w:rPr>
    </w:lvl>
    <w:lvl w:ilvl="1" w:tplc="F1587F2A">
      <w:start w:val="1"/>
      <w:numFmt w:val="bullet"/>
      <w:lvlText w:val="o"/>
      <w:lvlJc w:val="left"/>
      <w:pPr>
        <w:ind w:left="1080" w:hanging="360"/>
      </w:pPr>
      <w:rPr>
        <w:rFonts w:ascii="Courier New" w:hAnsi="Courier New" w:hint="default"/>
      </w:rPr>
    </w:lvl>
    <w:lvl w:ilvl="2" w:tplc="D5C8FF3E">
      <w:start w:val="1"/>
      <w:numFmt w:val="bullet"/>
      <w:lvlText w:val=""/>
      <w:lvlJc w:val="left"/>
      <w:pPr>
        <w:ind w:left="1800" w:hanging="360"/>
      </w:pPr>
      <w:rPr>
        <w:rFonts w:ascii="Wingdings" w:hAnsi="Wingdings" w:hint="default"/>
      </w:rPr>
    </w:lvl>
    <w:lvl w:ilvl="3" w:tplc="93849FFC">
      <w:start w:val="1"/>
      <w:numFmt w:val="bullet"/>
      <w:lvlText w:val=""/>
      <w:lvlJc w:val="left"/>
      <w:pPr>
        <w:ind w:left="2520" w:hanging="360"/>
      </w:pPr>
      <w:rPr>
        <w:rFonts w:ascii="Symbol" w:hAnsi="Symbol" w:hint="default"/>
      </w:rPr>
    </w:lvl>
    <w:lvl w:ilvl="4" w:tplc="0FB280E0">
      <w:start w:val="1"/>
      <w:numFmt w:val="bullet"/>
      <w:lvlText w:val="o"/>
      <w:lvlJc w:val="left"/>
      <w:pPr>
        <w:ind w:left="3240" w:hanging="360"/>
      </w:pPr>
      <w:rPr>
        <w:rFonts w:ascii="Courier New" w:hAnsi="Courier New" w:hint="default"/>
      </w:rPr>
    </w:lvl>
    <w:lvl w:ilvl="5" w:tplc="8F6C8E34">
      <w:start w:val="1"/>
      <w:numFmt w:val="bullet"/>
      <w:lvlText w:val=""/>
      <w:lvlJc w:val="left"/>
      <w:pPr>
        <w:ind w:left="3960" w:hanging="360"/>
      </w:pPr>
      <w:rPr>
        <w:rFonts w:ascii="Wingdings" w:hAnsi="Wingdings" w:hint="default"/>
      </w:rPr>
    </w:lvl>
    <w:lvl w:ilvl="6" w:tplc="EA3CA92A">
      <w:start w:val="1"/>
      <w:numFmt w:val="bullet"/>
      <w:lvlText w:val=""/>
      <w:lvlJc w:val="left"/>
      <w:pPr>
        <w:ind w:left="4680" w:hanging="360"/>
      </w:pPr>
      <w:rPr>
        <w:rFonts w:ascii="Symbol" w:hAnsi="Symbol" w:hint="default"/>
      </w:rPr>
    </w:lvl>
    <w:lvl w:ilvl="7" w:tplc="195C31C0">
      <w:start w:val="1"/>
      <w:numFmt w:val="bullet"/>
      <w:lvlText w:val="o"/>
      <w:lvlJc w:val="left"/>
      <w:pPr>
        <w:ind w:left="5400" w:hanging="360"/>
      </w:pPr>
      <w:rPr>
        <w:rFonts w:ascii="Courier New" w:hAnsi="Courier New" w:hint="default"/>
      </w:rPr>
    </w:lvl>
    <w:lvl w:ilvl="8" w:tplc="E82449A0">
      <w:start w:val="1"/>
      <w:numFmt w:val="bullet"/>
      <w:lvlText w:val=""/>
      <w:lvlJc w:val="left"/>
      <w:pPr>
        <w:ind w:left="6120" w:hanging="360"/>
      </w:pPr>
      <w:rPr>
        <w:rFonts w:ascii="Wingdings" w:hAnsi="Wingdings" w:hint="default"/>
      </w:rPr>
    </w:lvl>
  </w:abstractNum>
  <w:abstractNum w:abstractNumId="45" w15:restartNumberingAfterBreak="0">
    <w:nsid w:val="7C6C0606"/>
    <w:multiLevelType w:val="hybridMultilevel"/>
    <w:tmpl w:val="00A058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0592457">
    <w:abstractNumId w:val="39"/>
  </w:num>
  <w:num w:numId="2" w16cid:durableId="335766625">
    <w:abstractNumId w:val="3"/>
  </w:num>
  <w:num w:numId="3" w16cid:durableId="1983610208">
    <w:abstractNumId w:val="13"/>
  </w:num>
  <w:num w:numId="4" w16cid:durableId="955329090">
    <w:abstractNumId w:val="16"/>
  </w:num>
  <w:num w:numId="5" w16cid:durableId="1410541884">
    <w:abstractNumId w:val="27"/>
  </w:num>
  <w:num w:numId="6" w16cid:durableId="379861133">
    <w:abstractNumId w:val="22"/>
  </w:num>
  <w:num w:numId="7" w16cid:durableId="653221856">
    <w:abstractNumId w:val="31"/>
  </w:num>
  <w:num w:numId="8" w16cid:durableId="1596137017">
    <w:abstractNumId w:val="17"/>
  </w:num>
  <w:num w:numId="9" w16cid:durableId="2112892185">
    <w:abstractNumId w:val="4"/>
  </w:num>
  <w:num w:numId="10" w16cid:durableId="1592199053">
    <w:abstractNumId w:val="5"/>
  </w:num>
  <w:num w:numId="11" w16cid:durableId="1352415515">
    <w:abstractNumId w:val="32"/>
  </w:num>
  <w:num w:numId="12" w16cid:durableId="1137725961">
    <w:abstractNumId w:val="11"/>
  </w:num>
  <w:num w:numId="13" w16cid:durableId="605311444">
    <w:abstractNumId w:val="20"/>
  </w:num>
  <w:num w:numId="14" w16cid:durableId="6099725">
    <w:abstractNumId w:val="41"/>
  </w:num>
  <w:num w:numId="15" w16cid:durableId="637539217">
    <w:abstractNumId w:val="18"/>
  </w:num>
  <w:num w:numId="16" w16cid:durableId="199635809">
    <w:abstractNumId w:val="15"/>
  </w:num>
  <w:num w:numId="17" w16cid:durableId="1811943882">
    <w:abstractNumId w:val="1"/>
  </w:num>
  <w:num w:numId="18" w16cid:durableId="804928118">
    <w:abstractNumId w:val="23"/>
  </w:num>
  <w:num w:numId="19" w16cid:durableId="2115132842">
    <w:abstractNumId w:val="39"/>
  </w:num>
  <w:num w:numId="20" w16cid:durableId="1026248427">
    <w:abstractNumId w:val="8"/>
  </w:num>
  <w:num w:numId="21" w16cid:durableId="1715151476">
    <w:abstractNumId w:val="25"/>
  </w:num>
  <w:num w:numId="22" w16cid:durableId="1272929575">
    <w:abstractNumId w:val="0"/>
  </w:num>
  <w:num w:numId="23" w16cid:durableId="944309924">
    <w:abstractNumId w:val="7"/>
  </w:num>
  <w:num w:numId="24" w16cid:durableId="478499072">
    <w:abstractNumId w:val="39"/>
  </w:num>
  <w:num w:numId="25" w16cid:durableId="1855148328">
    <w:abstractNumId w:val="43"/>
  </w:num>
  <w:num w:numId="26" w16cid:durableId="2103067041">
    <w:abstractNumId w:val="44"/>
  </w:num>
  <w:num w:numId="27" w16cid:durableId="1933778087">
    <w:abstractNumId w:val="42"/>
  </w:num>
  <w:num w:numId="28" w16cid:durableId="1469282131">
    <w:abstractNumId w:val="21"/>
  </w:num>
  <w:num w:numId="29" w16cid:durableId="91585833">
    <w:abstractNumId w:val="34"/>
  </w:num>
  <w:num w:numId="30" w16cid:durableId="2122604864">
    <w:abstractNumId w:val="12"/>
  </w:num>
  <w:num w:numId="31" w16cid:durableId="1826510163">
    <w:abstractNumId w:val="9"/>
  </w:num>
  <w:num w:numId="32" w16cid:durableId="243731550">
    <w:abstractNumId w:val="26"/>
  </w:num>
  <w:num w:numId="33" w16cid:durableId="882592972">
    <w:abstractNumId w:val="6"/>
  </w:num>
  <w:num w:numId="34" w16cid:durableId="635113242">
    <w:abstractNumId w:val="38"/>
  </w:num>
  <w:num w:numId="35" w16cid:durableId="1491556446">
    <w:abstractNumId w:val="35"/>
  </w:num>
  <w:num w:numId="36" w16cid:durableId="1316105551">
    <w:abstractNumId w:val="2"/>
  </w:num>
  <w:num w:numId="37" w16cid:durableId="1427728308">
    <w:abstractNumId w:val="45"/>
  </w:num>
  <w:num w:numId="38" w16cid:durableId="872960304">
    <w:abstractNumId w:val="28"/>
  </w:num>
  <w:num w:numId="39" w16cid:durableId="218056658">
    <w:abstractNumId w:val="14"/>
  </w:num>
  <w:num w:numId="40" w16cid:durableId="533464633">
    <w:abstractNumId w:val="14"/>
  </w:num>
  <w:num w:numId="41" w16cid:durableId="1451241727">
    <w:abstractNumId w:val="14"/>
  </w:num>
  <w:num w:numId="42" w16cid:durableId="1952665105">
    <w:abstractNumId w:val="24"/>
  </w:num>
  <w:num w:numId="43" w16cid:durableId="1797403762">
    <w:abstractNumId w:val="33"/>
  </w:num>
  <w:num w:numId="44" w16cid:durableId="1759208150">
    <w:abstractNumId w:val="19"/>
  </w:num>
  <w:num w:numId="45" w16cid:durableId="1046218443">
    <w:abstractNumId w:val="29"/>
  </w:num>
  <w:num w:numId="46" w16cid:durableId="1728649448">
    <w:abstractNumId w:val="36"/>
  </w:num>
  <w:num w:numId="47" w16cid:durableId="1156990605">
    <w:abstractNumId w:val="10"/>
  </w:num>
  <w:num w:numId="48" w16cid:durableId="1141078611">
    <w:abstractNumId w:val="40"/>
  </w:num>
  <w:num w:numId="49" w16cid:durableId="1632662445">
    <w:abstractNumId w:val="30"/>
  </w:num>
  <w:num w:numId="50" w16cid:durableId="112030126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10241"/>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63506BBD-181B-4858-8061-95DA4E77241D"/>
    <w:docVar w:name="LW_COVERPAGE_TYPE" w:val="1"/>
    <w:docVar w:name="LW_CROSSREFERENCE" w:val="{COM(2026) 46 final}"/>
    <w:docVar w:name="LW_DocType" w:val="NORMAL"/>
    <w:docVar w:name="LW_EMISSION" w:val="30.1.2026"/>
    <w:docVar w:name="LW_EMISSION_ISODATE" w:val="2026-01-30"/>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The 2026 Annual Single Market and Competitiveness Report"/>
    <w:docVar w:name="LW_PART_NBR" w:val="1"/>
    <w:docVar w:name="LW_PART_NBR_TOTAL" w:val="1"/>
    <w:docVar w:name="LW_REF.INST.NEW" w:val="SWD"/>
    <w:docVar w:name="LW_REF.INST.NEW_ADOPTED" w:val="final"/>
    <w:docVar w:name="LW_REF.INST.NEW_TEXT" w:val="(2026) 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Key Performance Indicators (KPIs)_x000d__x000d__x000d__x000d__x000d__x000d__x000d__x000d__x000b__x000d__x000d_Implementation Trackers_x000d__x000d__x000d__x000d__x000d__x000d__x000d__x000d__x000d__x000b_Overview of Resilience Measures by Selected Global Players"/>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C1173C"/>
    <w:rsid w:val="00000145"/>
    <w:rsid w:val="000002EB"/>
    <w:rsid w:val="00000E01"/>
    <w:rsid w:val="00000EF3"/>
    <w:rsid w:val="000017EE"/>
    <w:rsid w:val="00001E10"/>
    <w:rsid w:val="0000259F"/>
    <w:rsid w:val="00002D43"/>
    <w:rsid w:val="000032F2"/>
    <w:rsid w:val="0000364C"/>
    <w:rsid w:val="000036DB"/>
    <w:rsid w:val="00003751"/>
    <w:rsid w:val="0000398C"/>
    <w:rsid w:val="00003AF5"/>
    <w:rsid w:val="00003D6B"/>
    <w:rsid w:val="00003D6C"/>
    <w:rsid w:val="000041F9"/>
    <w:rsid w:val="00004269"/>
    <w:rsid w:val="000042B0"/>
    <w:rsid w:val="000043C3"/>
    <w:rsid w:val="00004A7A"/>
    <w:rsid w:val="00004DB2"/>
    <w:rsid w:val="00004F11"/>
    <w:rsid w:val="00005748"/>
    <w:rsid w:val="00005854"/>
    <w:rsid w:val="00005E1F"/>
    <w:rsid w:val="00006668"/>
    <w:rsid w:val="00006E6E"/>
    <w:rsid w:val="00007501"/>
    <w:rsid w:val="000075DB"/>
    <w:rsid w:val="0000787E"/>
    <w:rsid w:val="00007C78"/>
    <w:rsid w:val="00007D6D"/>
    <w:rsid w:val="00007DF4"/>
    <w:rsid w:val="00010289"/>
    <w:rsid w:val="00010828"/>
    <w:rsid w:val="000112B5"/>
    <w:rsid w:val="00011833"/>
    <w:rsid w:val="00011F0C"/>
    <w:rsid w:val="00011F61"/>
    <w:rsid w:val="00012137"/>
    <w:rsid w:val="0001222A"/>
    <w:rsid w:val="000128BE"/>
    <w:rsid w:val="00012FDC"/>
    <w:rsid w:val="00013064"/>
    <w:rsid w:val="00013108"/>
    <w:rsid w:val="000133DB"/>
    <w:rsid w:val="000133DF"/>
    <w:rsid w:val="00013585"/>
    <w:rsid w:val="000136E3"/>
    <w:rsid w:val="0001372F"/>
    <w:rsid w:val="000137E8"/>
    <w:rsid w:val="00013A79"/>
    <w:rsid w:val="00014121"/>
    <w:rsid w:val="00014234"/>
    <w:rsid w:val="0001488C"/>
    <w:rsid w:val="000148C4"/>
    <w:rsid w:val="000148FE"/>
    <w:rsid w:val="00014924"/>
    <w:rsid w:val="00014B66"/>
    <w:rsid w:val="00014F3C"/>
    <w:rsid w:val="00014FAA"/>
    <w:rsid w:val="00015176"/>
    <w:rsid w:val="0001523C"/>
    <w:rsid w:val="0001527C"/>
    <w:rsid w:val="000152CF"/>
    <w:rsid w:val="0001548B"/>
    <w:rsid w:val="00015545"/>
    <w:rsid w:val="00015872"/>
    <w:rsid w:val="000161EC"/>
    <w:rsid w:val="0001625A"/>
    <w:rsid w:val="00016770"/>
    <w:rsid w:val="00017060"/>
    <w:rsid w:val="00017982"/>
    <w:rsid w:val="00017D9B"/>
    <w:rsid w:val="00017DF4"/>
    <w:rsid w:val="00020274"/>
    <w:rsid w:val="000205C1"/>
    <w:rsid w:val="000205CC"/>
    <w:rsid w:val="000206B9"/>
    <w:rsid w:val="0002083B"/>
    <w:rsid w:val="000209EA"/>
    <w:rsid w:val="00020F7E"/>
    <w:rsid w:val="000210DD"/>
    <w:rsid w:val="00021246"/>
    <w:rsid w:val="00021272"/>
    <w:rsid w:val="0002140A"/>
    <w:rsid w:val="00021506"/>
    <w:rsid w:val="0002193D"/>
    <w:rsid w:val="000219DF"/>
    <w:rsid w:val="0002214B"/>
    <w:rsid w:val="000221DB"/>
    <w:rsid w:val="000223E6"/>
    <w:rsid w:val="000224D3"/>
    <w:rsid w:val="000225A5"/>
    <w:rsid w:val="000226F9"/>
    <w:rsid w:val="00022BB0"/>
    <w:rsid w:val="00023109"/>
    <w:rsid w:val="00023146"/>
    <w:rsid w:val="00023289"/>
    <w:rsid w:val="000237A5"/>
    <w:rsid w:val="00023EB9"/>
    <w:rsid w:val="00024795"/>
    <w:rsid w:val="00024A40"/>
    <w:rsid w:val="00024BEE"/>
    <w:rsid w:val="00024E99"/>
    <w:rsid w:val="00024FF2"/>
    <w:rsid w:val="000250FA"/>
    <w:rsid w:val="00025B78"/>
    <w:rsid w:val="00025D45"/>
    <w:rsid w:val="00025F7A"/>
    <w:rsid w:val="000267C8"/>
    <w:rsid w:val="0002692E"/>
    <w:rsid w:val="00026A14"/>
    <w:rsid w:val="00026E17"/>
    <w:rsid w:val="000273C2"/>
    <w:rsid w:val="00030227"/>
    <w:rsid w:val="0003038E"/>
    <w:rsid w:val="00030A2D"/>
    <w:rsid w:val="00030C08"/>
    <w:rsid w:val="00030D14"/>
    <w:rsid w:val="00030E26"/>
    <w:rsid w:val="000312C5"/>
    <w:rsid w:val="0003138F"/>
    <w:rsid w:val="00031433"/>
    <w:rsid w:val="00031BDD"/>
    <w:rsid w:val="00032540"/>
    <w:rsid w:val="00032FC9"/>
    <w:rsid w:val="00033222"/>
    <w:rsid w:val="0003370E"/>
    <w:rsid w:val="00033AC1"/>
    <w:rsid w:val="00033C90"/>
    <w:rsid w:val="00033D28"/>
    <w:rsid w:val="0003411D"/>
    <w:rsid w:val="00034812"/>
    <w:rsid w:val="00034B85"/>
    <w:rsid w:val="00034EE6"/>
    <w:rsid w:val="0003578B"/>
    <w:rsid w:val="00035BC0"/>
    <w:rsid w:val="00035CB4"/>
    <w:rsid w:val="00035D3D"/>
    <w:rsid w:val="00035EC4"/>
    <w:rsid w:val="00036772"/>
    <w:rsid w:val="0003683E"/>
    <w:rsid w:val="00036A31"/>
    <w:rsid w:val="00036E0D"/>
    <w:rsid w:val="0003753D"/>
    <w:rsid w:val="0003776A"/>
    <w:rsid w:val="000377B1"/>
    <w:rsid w:val="000378FB"/>
    <w:rsid w:val="00037E7D"/>
    <w:rsid w:val="0004035F"/>
    <w:rsid w:val="00040BE4"/>
    <w:rsid w:val="00040BF4"/>
    <w:rsid w:val="00040D36"/>
    <w:rsid w:val="000412E5"/>
    <w:rsid w:val="0004180D"/>
    <w:rsid w:val="00041C86"/>
    <w:rsid w:val="0004214B"/>
    <w:rsid w:val="00042695"/>
    <w:rsid w:val="000427A7"/>
    <w:rsid w:val="00043594"/>
    <w:rsid w:val="00043CAC"/>
    <w:rsid w:val="00044426"/>
    <w:rsid w:val="0004473B"/>
    <w:rsid w:val="00044D1B"/>
    <w:rsid w:val="00044DB2"/>
    <w:rsid w:val="00044F27"/>
    <w:rsid w:val="00045400"/>
    <w:rsid w:val="0004548E"/>
    <w:rsid w:val="00045F58"/>
    <w:rsid w:val="0004610C"/>
    <w:rsid w:val="00046670"/>
    <w:rsid w:val="00046837"/>
    <w:rsid w:val="00046A4B"/>
    <w:rsid w:val="00046C41"/>
    <w:rsid w:val="00046DBF"/>
    <w:rsid w:val="000471FB"/>
    <w:rsid w:val="000473D4"/>
    <w:rsid w:val="00047754"/>
    <w:rsid w:val="00047933"/>
    <w:rsid w:val="00047953"/>
    <w:rsid w:val="000479F9"/>
    <w:rsid w:val="00047ABA"/>
    <w:rsid w:val="00047F48"/>
    <w:rsid w:val="00050026"/>
    <w:rsid w:val="00050075"/>
    <w:rsid w:val="00050573"/>
    <w:rsid w:val="00050A98"/>
    <w:rsid w:val="00050EC4"/>
    <w:rsid w:val="00051355"/>
    <w:rsid w:val="00051A2A"/>
    <w:rsid w:val="00051F64"/>
    <w:rsid w:val="00052125"/>
    <w:rsid w:val="000526B1"/>
    <w:rsid w:val="0005295F"/>
    <w:rsid w:val="00052CB4"/>
    <w:rsid w:val="00052DA2"/>
    <w:rsid w:val="00052DF6"/>
    <w:rsid w:val="0005304A"/>
    <w:rsid w:val="00053425"/>
    <w:rsid w:val="00053505"/>
    <w:rsid w:val="00053573"/>
    <w:rsid w:val="00053628"/>
    <w:rsid w:val="000537F3"/>
    <w:rsid w:val="0005391C"/>
    <w:rsid w:val="00053D27"/>
    <w:rsid w:val="00054108"/>
    <w:rsid w:val="00054295"/>
    <w:rsid w:val="000543E9"/>
    <w:rsid w:val="00054F9A"/>
    <w:rsid w:val="00055224"/>
    <w:rsid w:val="000555DF"/>
    <w:rsid w:val="000558C5"/>
    <w:rsid w:val="00055EBF"/>
    <w:rsid w:val="000565FA"/>
    <w:rsid w:val="00056832"/>
    <w:rsid w:val="00056D15"/>
    <w:rsid w:val="00056EDF"/>
    <w:rsid w:val="000571A8"/>
    <w:rsid w:val="0005748A"/>
    <w:rsid w:val="000575ED"/>
    <w:rsid w:val="000579D2"/>
    <w:rsid w:val="0006009A"/>
    <w:rsid w:val="0006021D"/>
    <w:rsid w:val="0006021E"/>
    <w:rsid w:val="00060258"/>
    <w:rsid w:val="000602C4"/>
    <w:rsid w:val="00060367"/>
    <w:rsid w:val="0006070F"/>
    <w:rsid w:val="00060CE0"/>
    <w:rsid w:val="00060F16"/>
    <w:rsid w:val="000615AE"/>
    <w:rsid w:val="00061BB0"/>
    <w:rsid w:val="000620ED"/>
    <w:rsid w:val="00062124"/>
    <w:rsid w:val="00062247"/>
    <w:rsid w:val="000622D2"/>
    <w:rsid w:val="0006262B"/>
    <w:rsid w:val="000627D3"/>
    <w:rsid w:val="00062856"/>
    <w:rsid w:val="00062AC2"/>
    <w:rsid w:val="00063091"/>
    <w:rsid w:val="0006335E"/>
    <w:rsid w:val="0006368B"/>
    <w:rsid w:val="000636E0"/>
    <w:rsid w:val="00063A8C"/>
    <w:rsid w:val="00063D01"/>
    <w:rsid w:val="00063D04"/>
    <w:rsid w:val="0006424B"/>
    <w:rsid w:val="000647C3"/>
    <w:rsid w:val="00064934"/>
    <w:rsid w:val="000649EB"/>
    <w:rsid w:val="00064A5B"/>
    <w:rsid w:val="00064AD8"/>
    <w:rsid w:val="00064ED1"/>
    <w:rsid w:val="0006517F"/>
    <w:rsid w:val="000656A4"/>
    <w:rsid w:val="00065A6C"/>
    <w:rsid w:val="00065C95"/>
    <w:rsid w:val="00066215"/>
    <w:rsid w:val="00066650"/>
    <w:rsid w:val="000667E6"/>
    <w:rsid w:val="00066D20"/>
    <w:rsid w:val="00066F45"/>
    <w:rsid w:val="0006712D"/>
    <w:rsid w:val="00067189"/>
    <w:rsid w:val="000678E8"/>
    <w:rsid w:val="00070216"/>
    <w:rsid w:val="000703AC"/>
    <w:rsid w:val="0007041A"/>
    <w:rsid w:val="00070579"/>
    <w:rsid w:val="00070638"/>
    <w:rsid w:val="00070E54"/>
    <w:rsid w:val="00070F2D"/>
    <w:rsid w:val="0007116F"/>
    <w:rsid w:val="00071203"/>
    <w:rsid w:val="00071259"/>
    <w:rsid w:val="000714B5"/>
    <w:rsid w:val="00071B7C"/>
    <w:rsid w:val="00071C4A"/>
    <w:rsid w:val="00071D9F"/>
    <w:rsid w:val="00071FB3"/>
    <w:rsid w:val="0007201E"/>
    <w:rsid w:val="0007282F"/>
    <w:rsid w:val="000729C0"/>
    <w:rsid w:val="00072D32"/>
    <w:rsid w:val="00073012"/>
    <w:rsid w:val="00073143"/>
    <w:rsid w:val="00073186"/>
    <w:rsid w:val="00073228"/>
    <w:rsid w:val="00073258"/>
    <w:rsid w:val="000735ED"/>
    <w:rsid w:val="00073E0B"/>
    <w:rsid w:val="000742D7"/>
    <w:rsid w:val="00074404"/>
    <w:rsid w:val="00074D12"/>
    <w:rsid w:val="00075170"/>
    <w:rsid w:val="000755AA"/>
    <w:rsid w:val="00075D08"/>
    <w:rsid w:val="00075D85"/>
    <w:rsid w:val="00075E8E"/>
    <w:rsid w:val="00075F35"/>
    <w:rsid w:val="00076438"/>
    <w:rsid w:val="00076778"/>
    <w:rsid w:val="00076915"/>
    <w:rsid w:val="00076AFD"/>
    <w:rsid w:val="00076B55"/>
    <w:rsid w:val="00076C93"/>
    <w:rsid w:val="000770C4"/>
    <w:rsid w:val="0008031D"/>
    <w:rsid w:val="000809C0"/>
    <w:rsid w:val="00080B80"/>
    <w:rsid w:val="00080BBB"/>
    <w:rsid w:val="00080F93"/>
    <w:rsid w:val="000813A8"/>
    <w:rsid w:val="00081504"/>
    <w:rsid w:val="0008173C"/>
    <w:rsid w:val="00081FF8"/>
    <w:rsid w:val="00082036"/>
    <w:rsid w:val="00082093"/>
    <w:rsid w:val="000822C6"/>
    <w:rsid w:val="00082338"/>
    <w:rsid w:val="00082B5D"/>
    <w:rsid w:val="00082CCD"/>
    <w:rsid w:val="00082DCF"/>
    <w:rsid w:val="00082F09"/>
    <w:rsid w:val="000833C4"/>
    <w:rsid w:val="00083580"/>
    <w:rsid w:val="000835C3"/>
    <w:rsid w:val="00083692"/>
    <w:rsid w:val="00083CEE"/>
    <w:rsid w:val="00083DCD"/>
    <w:rsid w:val="00083F7C"/>
    <w:rsid w:val="000840EF"/>
    <w:rsid w:val="000846E3"/>
    <w:rsid w:val="00084AB3"/>
    <w:rsid w:val="00084DAF"/>
    <w:rsid w:val="00084DEC"/>
    <w:rsid w:val="00085132"/>
    <w:rsid w:val="00085426"/>
    <w:rsid w:val="00085A6F"/>
    <w:rsid w:val="00085E65"/>
    <w:rsid w:val="00085E6B"/>
    <w:rsid w:val="0008641A"/>
    <w:rsid w:val="0008643A"/>
    <w:rsid w:val="0008667D"/>
    <w:rsid w:val="00086CA6"/>
    <w:rsid w:val="00086CD1"/>
    <w:rsid w:val="00086E4D"/>
    <w:rsid w:val="00086E96"/>
    <w:rsid w:val="000870B7"/>
    <w:rsid w:val="000871DC"/>
    <w:rsid w:val="000872A7"/>
    <w:rsid w:val="000873FB"/>
    <w:rsid w:val="000875FC"/>
    <w:rsid w:val="00087C13"/>
    <w:rsid w:val="0009025E"/>
    <w:rsid w:val="000906FD"/>
    <w:rsid w:val="00090995"/>
    <w:rsid w:val="00090C85"/>
    <w:rsid w:val="00090FEB"/>
    <w:rsid w:val="0009114A"/>
    <w:rsid w:val="00091260"/>
    <w:rsid w:val="00091515"/>
    <w:rsid w:val="00091627"/>
    <w:rsid w:val="000918E3"/>
    <w:rsid w:val="000919B1"/>
    <w:rsid w:val="0009213D"/>
    <w:rsid w:val="000925E6"/>
    <w:rsid w:val="00093278"/>
    <w:rsid w:val="0009329F"/>
    <w:rsid w:val="0009383A"/>
    <w:rsid w:val="00093933"/>
    <w:rsid w:val="00093A89"/>
    <w:rsid w:val="00093A93"/>
    <w:rsid w:val="00094072"/>
    <w:rsid w:val="0009419C"/>
    <w:rsid w:val="00094325"/>
    <w:rsid w:val="000944E2"/>
    <w:rsid w:val="000948D7"/>
    <w:rsid w:val="000948EE"/>
    <w:rsid w:val="000949D9"/>
    <w:rsid w:val="00094C10"/>
    <w:rsid w:val="00094D1A"/>
    <w:rsid w:val="0009513A"/>
    <w:rsid w:val="000952CE"/>
    <w:rsid w:val="00095372"/>
    <w:rsid w:val="0009558F"/>
    <w:rsid w:val="0009572C"/>
    <w:rsid w:val="00095A31"/>
    <w:rsid w:val="00096017"/>
    <w:rsid w:val="000961A8"/>
    <w:rsid w:val="00096312"/>
    <w:rsid w:val="00096576"/>
    <w:rsid w:val="0009673F"/>
    <w:rsid w:val="00096E27"/>
    <w:rsid w:val="00096ED6"/>
    <w:rsid w:val="00097438"/>
    <w:rsid w:val="00097825"/>
    <w:rsid w:val="00097FD6"/>
    <w:rsid w:val="000A0C06"/>
    <w:rsid w:val="000A0CD9"/>
    <w:rsid w:val="000A0D0E"/>
    <w:rsid w:val="000A0D92"/>
    <w:rsid w:val="000A129D"/>
    <w:rsid w:val="000A1A57"/>
    <w:rsid w:val="000A1EEA"/>
    <w:rsid w:val="000A2F2A"/>
    <w:rsid w:val="000A325E"/>
    <w:rsid w:val="000A32A2"/>
    <w:rsid w:val="000A340B"/>
    <w:rsid w:val="000A34A3"/>
    <w:rsid w:val="000A3830"/>
    <w:rsid w:val="000A41D2"/>
    <w:rsid w:val="000A433E"/>
    <w:rsid w:val="000A4604"/>
    <w:rsid w:val="000A4709"/>
    <w:rsid w:val="000A50DA"/>
    <w:rsid w:val="000A5134"/>
    <w:rsid w:val="000A515A"/>
    <w:rsid w:val="000A55A1"/>
    <w:rsid w:val="000A5B80"/>
    <w:rsid w:val="000A5BEF"/>
    <w:rsid w:val="000A5FE1"/>
    <w:rsid w:val="000A60A5"/>
    <w:rsid w:val="000A6146"/>
    <w:rsid w:val="000A6249"/>
    <w:rsid w:val="000A64E9"/>
    <w:rsid w:val="000A6C2B"/>
    <w:rsid w:val="000A6C3E"/>
    <w:rsid w:val="000A7791"/>
    <w:rsid w:val="000B0AA4"/>
    <w:rsid w:val="000B0F9F"/>
    <w:rsid w:val="000B1520"/>
    <w:rsid w:val="000B1D1C"/>
    <w:rsid w:val="000B238D"/>
    <w:rsid w:val="000B257E"/>
    <w:rsid w:val="000B27FE"/>
    <w:rsid w:val="000B2874"/>
    <w:rsid w:val="000B2A04"/>
    <w:rsid w:val="000B2A60"/>
    <w:rsid w:val="000B2ACC"/>
    <w:rsid w:val="000B2AED"/>
    <w:rsid w:val="000B2CE0"/>
    <w:rsid w:val="000B2D28"/>
    <w:rsid w:val="000B38F9"/>
    <w:rsid w:val="000B3B2E"/>
    <w:rsid w:val="000B3DF1"/>
    <w:rsid w:val="000B48F6"/>
    <w:rsid w:val="000B4A81"/>
    <w:rsid w:val="000B505A"/>
    <w:rsid w:val="000B5192"/>
    <w:rsid w:val="000B5810"/>
    <w:rsid w:val="000B5ADF"/>
    <w:rsid w:val="000B5E0B"/>
    <w:rsid w:val="000B6760"/>
    <w:rsid w:val="000B67B3"/>
    <w:rsid w:val="000B6A2B"/>
    <w:rsid w:val="000B75FC"/>
    <w:rsid w:val="000B7702"/>
    <w:rsid w:val="000B7706"/>
    <w:rsid w:val="000B7709"/>
    <w:rsid w:val="000B7F1B"/>
    <w:rsid w:val="000C06EB"/>
    <w:rsid w:val="000C08AB"/>
    <w:rsid w:val="000C0B93"/>
    <w:rsid w:val="000C0C40"/>
    <w:rsid w:val="000C1765"/>
    <w:rsid w:val="000C1C11"/>
    <w:rsid w:val="000C1C55"/>
    <w:rsid w:val="000C1DBF"/>
    <w:rsid w:val="000C20D4"/>
    <w:rsid w:val="000C25E9"/>
    <w:rsid w:val="000C265D"/>
    <w:rsid w:val="000C2B8C"/>
    <w:rsid w:val="000C2C98"/>
    <w:rsid w:val="000C2E52"/>
    <w:rsid w:val="000C2F3E"/>
    <w:rsid w:val="000C32B4"/>
    <w:rsid w:val="000C3533"/>
    <w:rsid w:val="000C39E1"/>
    <w:rsid w:val="000C3A33"/>
    <w:rsid w:val="000C3B37"/>
    <w:rsid w:val="000C3BBD"/>
    <w:rsid w:val="000C40DB"/>
    <w:rsid w:val="000C410F"/>
    <w:rsid w:val="000C4A45"/>
    <w:rsid w:val="000C4CE9"/>
    <w:rsid w:val="000C54C1"/>
    <w:rsid w:val="000C5591"/>
    <w:rsid w:val="000C58AF"/>
    <w:rsid w:val="000C5A94"/>
    <w:rsid w:val="000C5FD4"/>
    <w:rsid w:val="000C6423"/>
    <w:rsid w:val="000C644E"/>
    <w:rsid w:val="000C6610"/>
    <w:rsid w:val="000C6717"/>
    <w:rsid w:val="000C6B44"/>
    <w:rsid w:val="000C6ED0"/>
    <w:rsid w:val="000C7438"/>
    <w:rsid w:val="000C7489"/>
    <w:rsid w:val="000C7616"/>
    <w:rsid w:val="000C766E"/>
    <w:rsid w:val="000C76A3"/>
    <w:rsid w:val="000C7FF5"/>
    <w:rsid w:val="000D001C"/>
    <w:rsid w:val="000D01CC"/>
    <w:rsid w:val="000D04CA"/>
    <w:rsid w:val="000D08CF"/>
    <w:rsid w:val="000D0DE6"/>
    <w:rsid w:val="000D11A5"/>
    <w:rsid w:val="000D158C"/>
    <w:rsid w:val="000D1753"/>
    <w:rsid w:val="000D185C"/>
    <w:rsid w:val="000D18EB"/>
    <w:rsid w:val="000D1E06"/>
    <w:rsid w:val="000D2B9C"/>
    <w:rsid w:val="000D3053"/>
    <w:rsid w:val="000D30DA"/>
    <w:rsid w:val="000D3630"/>
    <w:rsid w:val="000D3DEB"/>
    <w:rsid w:val="000D3E4A"/>
    <w:rsid w:val="000D409C"/>
    <w:rsid w:val="000D44D0"/>
    <w:rsid w:val="000D44E5"/>
    <w:rsid w:val="000D4654"/>
    <w:rsid w:val="000D47CB"/>
    <w:rsid w:val="000D494F"/>
    <w:rsid w:val="000D49A7"/>
    <w:rsid w:val="000D4EA0"/>
    <w:rsid w:val="000D5236"/>
    <w:rsid w:val="000D5498"/>
    <w:rsid w:val="000D5594"/>
    <w:rsid w:val="000D5780"/>
    <w:rsid w:val="000D5E86"/>
    <w:rsid w:val="000D6152"/>
    <w:rsid w:val="000D6156"/>
    <w:rsid w:val="000D637B"/>
    <w:rsid w:val="000D71AE"/>
    <w:rsid w:val="000D730D"/>
    <w:rsid w:val="000D7649"/>
    <w:rsid w:val="000D7795"/>
    <w:rsid w:val="000D7C69"/>
    <w:rsid w:val="000D7D0C"/>
    <w:rsid w:val="000D7D55"/>
    <w:rsid w:val="000D7EA8"/>
    <w:rsid w:val="000E0AA3"/>
    <w:rsid w:val="000E0B7B"/>
    <w:rsid w:val="000E0EE9"/>
    <w:rsid w:val="000E1CF2"/>
    <w:rsid w:val="000E1DAD"/>
    <w:rsid w:val="000E225C"/>
    <w:rsid w:val="000E2519"/>
    <w:rsid w:val="000E2B31"/>
    <w:rsid w:val="000E2B99"/>
    <w:rsid w:val="000E2D46"/>
    <w:rsid w:val="000E309A"/>
    <w:rsid w:val="000E3285"/>
    <w:rsid w:val="000E3640"/>
    <w:rsid w:val="000E36BC"/>
    <w:rsid w:val="000E36ED"/>
    <w:rsid w:val="000E381D"/>
    <w:rsid w:val="000E3D06"/>
    <w:rsid w:val="000E3E1C"/>
    <w:rsid w:val="000E3E30"/>
    <w:rsid w:val="000E3F39"/>
    <w:rsid w:val="000E3FF1"/>
    <w:rsid w:val="000E41DE"/>
    <w:rsid w:val="000E43CD"/>
    <w:rsid w:val="000E4783"/>
    <w:rsid w:val="000E4C9A"/>
    <w:rsid w:val="000E4DA4"/>
    <w:rsid w:val="000E4FAA"/>
    <w:rsid w:val="000E5053"/>
    <w:rsid w:val="000E5384"/>
    <w:rsid w:val="000E56B8"/>
    <w:rsid w:val="000E58C3"/>
    <w:rsid w:val="000E5A6C"/>
    <w:rsid w:val="000E5C88"/>
    <w:rsid w:val="000E5DA1"/>
    <w:rsid w:val="000E5FEE"/>
    <w:rsid w:val="000E6154"/>
    <w:rsid w:val="000E64EF"/>
    <w:rsid w:val="000E65BC"/>
    <w:rsid w:val="000E666F"/>
    <w:rsid w:val="000E66FE"/>
    <w:rsid w:val="000E69F3"/>
    <w:rsid w:val="000E6FCD"/>
    <w:rsid w:val="000E72D8"/>
    <w:rsid w:val="000E7455"/>
    <w:rsid w:val="000E7856"/>
    <w:rsid w:val="000F0096"/>
    <w:rsid w:val="000F08C6"/>
    <w:rsid w:val="000F0DCA"/>
    <w:rsid w:val="000F11D4"/>
    <w:rsid w:val="000F1C09"/>
    <w:rsid w:val="000F245F"/>
    <w:rsid w:val="000F2AD6"/>
    <w:rsid w:val="000F2D18"/>
    <w:rsid w:val="000F2DF4"/>
    <w:rsid w:val="000F2E2D"/>
    <w:rsid w:val="000F33E9"/>
    <w:rsid w:val="000F34F5"/>
    <w:rsid w:val="000F3BA7"/>
    <w:rsid w:val="000F3C41"/>
    <w:rsid w:val="000F3EAD"/>
    <w:rsid w:val="000F4356"/>
    <w:rsid w:val="000F4FF7"/>
    <w:rsid w:val="000F5217"/>
    <w:rsid w:val="000F522F"/>
    <w:rsid w:val="000F5B2A"/>
    <w:rsid w:val="000F5B9A"/>
    <w:rsid w:val="000F5BA2"/>
    <w:rsid w:val="000F63F7"/>
    <w:rsid w:val="000F6492"/>
    <w:rsid w:val="000F663E"/>
    <w:rsid w:val="000F6A5C"/>
    <w:rsid w:val="000F6DCA"/>
    <w:rsid w:val="000F6F3B"/>
    <w:rsid w:val="000F6F77"/>
    <w:rsid w:val="000F70B6"/>
    <w:rsid w:val="000F715F"/>
    <w:rsid w:val="000F76F9"/>
    <w:rsid w:val="000F7734"/>
    <w:rsid w:val="000F797E"/>
    <w:rsid w:val="000F79EE"/>
    <w:rsid w:val="000F7B63"/>
    <w:rsid w:val="000F7F9D"/>
    <w:rsid w:val="00100023"/>
    <w:rsid w:val="0010005E"/>
    <w:rsid w:val="0010032B"/>
    <w:rsid w:val="0010093D"/>
    <w:rsid w:val="00100EE1"/>
    <w:rsid w:val="00100F3B"/>
    <w:rsid w:val="001011D0"/>
    <w:rsid w:val="0010148F"/>
    <w:rsid w:val="0010152D"/>
    <w:rsid w:val="001016E1"/>
    <w:rsid w:val="00101711"/>
    <w:rsid w:val="00101993"/>
    <w:rsid w:val="00101A17"/>
    <w:rsid w:val="00101D21"/>
    <w:rsid w:val="00102874"/>
    <w:rsid w:val="001031D1"/>
    <w:rsid w:val="00103268"/>
    <w:rsid w:val="001032CF"/>
    <w:rsid w:val="00103391"/>
    <w:rsid w:val="001036D0"/>
    <w:rsid w:val="00103896"/>
    <w:rsid w:val="00103915"/>
    <w:rsid w:val="00103CB0"/>
    <w:rsid w:val="00103D4F"/>
    <w:rsid w:val="00103E09"/>
    <w:rsid w:val="00103E6A"/>
    <w:rsid w:val="0010417C"/>
    <w:rsid w:val="00104911"/>
    <w:rsid w:val="00104C47"/>
    <w:rsid w:val="0010565D"/>
    <w:rsid w:val="00105F7D"/>
    <w:rsid w:val="001061A5"/>
    <w:rsid w:val="00106570"/>
    <w:rsid w:val="00106C99"/>
    <w:rsid w:val="00106EA2"/>
    <w:rsid w:val="00107010"/>
    <w:rsid w:val="001071A5"/>
    <w:rsid w:val="00107802"/>
    <w:rsid w:val="00107E0C"/>
    <w:rsid w:val="0011003C"/>
    <w:rsid w:val="00110466"/>
    <w:rsid w:val="00110490"/>
    <w:rsid w:val="001109B7"/>
    <w:rsid w:val="00110F85"/>
    <w:rsid w:val="00110FC6"/>
    <w:rsid w:val="00111116"/>
    <w:rsid w:val="001114FB"/>
    <w:rsid w:val="00111BC2"/>
    <w:rsid w:val="00111DFF"/>
    <w:rsid w:val="00111EF7"/>
    <w:rsid w:val="00112082"/>
    <w:rsid w:val="00112152"/>
    <w:rsid w:val="001121D4"/>
    <w:rsid w:val="001126B5"/>
    <w:rsid w:val="00112768"/>
    <w:rsid w:val="00112781"/>
    <w:rsid w:val="00112854"/>
    <w:rsid w:val="00112A6C"/>
    <w:rsid w:val="001130F9"/>
    <w:rsid w:val="00113635"/>
    <w:rsid w:val="001136D2"/>
    <w:rsid w:val="00113A12"/>
    <w:rsid w:val="00113B3A"/>
    <w:rsid w:val="00114004"/>
    <w:rsid w:val="0011400B"/>
    <w:rsid w:val="00114012"/>
    <w:rsid w:val="0011407E"/>
    <w:rsid w:val="001141A3"/>
    <w:rsid w:val="001143C7"/>
    <w:rsid w:val="0011476F"/>
    <w:rsid w:val="00114D56"/>
    <w:rsid w:val="00114FB0"/>
    <w:rsid w:val="001153FC"/>
    <w:rsid w:val="0011555F"/>
    <w:rsid w:val="0011579D"/>
    <w:rsid w:val="00115A34"/>
    <w:rsid w:val="00115AF6"/>
    <w:rsid w:val="00115B43"/>
    <w:rsid w:val="0011641E"/>
    <w:rsid w:val="00116534"/>
    <w:rsid w:val="00116739"/>
    <w:rsid w:val="001167DC"/>
    <w:rsid w:val="00116A5A"/>
    <w:rsid w:val="00116C17"/>
    <w:rsid w:val="00116E0B"/>
    <w:rsid w:val="00116EA6"/>
    <w:rsid w:val="0011725B"/>
    <w:rsid w:val="001174F7"/>
    <w:rsid w:val="00117863"/>
    <w:rsid w:val="0012011A"/>
    <w:rsid w:val="0012020B"/>
    <w:rsid w:val="001203D6"/>
    <w:rsid w:val="00120779"/>
    <w:rsid w:val="001207D6"/>
    <w:rsid w:val="00120B03"/>
    <w:rsid w:val="00120B66"/>
    <w:rsid w:val="00120C28"/>
    <w:rsid w:val="00120EC2"/>
    <w:rsid w:val="0012142D"/>
    <w:rsid w:val="001215BD"/>
    <w:rsid w:val="00121B4D"/>
    <w:rsid w:val="0012203E"/>
    <w:rsid w:val="00122EF3"/>
    <w:rsid w:val="00122F2C"/>
    <w:rsid w:val="00123726"/>
    <w:rsid w:val="001239CA"/>
    <w:rsid w:val="001246D9"/>
    <w:rsid w:val="001247C6"/>
    <w:rsid w:val="00124FD1"/>
    <w:rsid w:val="001252BF"/>
    <w:rsid w:val="001252D8"/>
    <w:rsid w:val="00125684"/>
    <w:rsid w:val="00125CDD"/>
    <w:rsid w:val="00126549"/>
    <w:rsid w:val="0012684F"/>
    <w:rsid w:val="00126A61"/>
    <w:rsid w:val="00126E9E"/>
    <w:rsid w:val="00126FC6"/>
    <w:rsid w:val="001270B9"/>
    <w:rsid w:val="00127477"/>
    <w:rsid w:val="00127740"/>
    <w:rsid w:val="00127F10"/>
    <w:rsid w:val="00127F25"/>
    <w:rsid w:val="0013040F"/>
    <w:rsid w:val="00130D66"/>
    <w:rsid w:val="00130DA8"/>
    <w:rsid w:val="00130DE2"/>
    <w:rsid w:val="00130FF7"/>
    <w:rsid w:val="0013121E"/>
    <w:rsid w:val="0013136A"/>
    <w:rsid w:val="00131908"/>
    <w:rsid w:val="00131960"/>
    <w:rsid w:val="00131CE7"/>
    <w:rsid w:val="00131D51"/>
    <w:rsid w:val="00131EF2"/>
    <w:rsid w:val="0013252C"/>
    <w:rsid w:val="0013273E"/>
    <w:rsid w:val="001328DF"/>
    <w:rsid w:val="00132B00"/>
    <w:rsid w:val="00132B4E"/>
    <w:rsid w:val="00132D7A"/>
    <w:rsid w:val="00132F5E"/>
    <w:rsid w:val="00133002"/>
    <w:rsid w:val="001330E3"/>
    <w:rsid w:val="00133425"/>
    <w:rsid w:val="00133718"/>
    <w:rsid w:val="00133A90"/>
    <w:rsid w:val="00133F78"/>
    <w:rsid w:val="001342C8"/>
    <w:rsid w:val="00134592"/>
    <w:rsid w:val="001345F8"/>
    <w:rsid w:val="001346EA"/>
    <w:rsid w:val="00134B08"/>
    <w:rsid w:val="00135371"/>
    <w:rsid w:val="00135570"/>
    <w:rsid w:val="0013583E"/>
    <w:rsid w:val="00135B07"/>
    <w:rsid w:val="00136022"/>
    <w:rsid w:val="001369FB"/>
    <w:rsid w:val="00136DBF"/>
    <w:rsid w:val="00136DCF"/>
    <w:rsid w:val="00136FA9"/>
    <w:rsid w:val="00137485"/>
    <w:rsid w:val="001374BE"/>
    <w:rsid w:val="00137A3D"/>
    <w:rsid w:val="00140420"/>
    <w:rsid w:val="00140425"/>
    <w:rsid w:val="00140463"/>
    <w:rsid w:val="001405C7"/>
    <w:rsid w:val="00140B24"/>
    <w:rsid w:val="00140DBA"/>
    <w:rsid w:val="00140EC7"/>
    <w:rsid w:val="00140FE8"/>
    <w:rsid w:val="00141242"/>
    <w:rsid w:val="001412DB"/>
    <w:rsid w:val="00141431"/>
    <w:rsid w:val="00141500"/>
    <w:rsid w:val="001416A0"/>
    <w:rsid w:val="00141C6E"/>
    <w:rsid w:val="00142240"/>
    <w:rsid w:val="00142268"/>
    <w:rsid w:val="0014267B"/>
    <w:rsid w:val="00142725"/>
    <w:rsid w:val="00142927"/>
    <w:rsid w:val="00142C5D"/>
    <w:rsid w:val="00142EFB"/>
    <w:rsid w:val="00142F15"/>
    <w:rsid w:val="0014350A"/>
    <w:rsid w:val="001437A1"/>
    <w:rsid w:val="001437A9"/>
    <w:rsid w:val="001437F1"/>
    <w:rsid w:val="001438FA"/>
    <w:rsid w:val="00143AEC"/>
    <w:rsid w:val="00143E5C"/>
    <w:rsid w:val="00143F05"/>
    <w:rsid w:val="00144563"/>
    <w:rsid w:val="001447F6"/>
    <w:rsid w:val="00144B51"/>
    <w:rsid w:val="00144EEA"/>
    <w:rsid w:val="00145396"/>
    <w:rsid w:val="00145E3E"/>
    <w:rsid w:val="001463D5"/>
    <w:rsid w:val="00146574"/>
    <w:rsid w:val="0014680C"/>
    <w:rsid w:val="00146C70"/>
    <w:rsid w:val="00147036"/>
    <w:rsid w:val="00147449"/>
    <w:rsid w:val="0014755E"/>
    <w:rsid w:val="001477B7"/>
    <w:rsid w:val="00147BD8"/>
    <w:rsid w:val="001508AE"/>
    <w:rsid w:val="00150983"/>
    <w:rsid w:val="00150B04"/>
    <w:rsid w:val="00150C99"/>
    <w:rsid w:val="0015142F"/>
    <w:rsid w:val="00151721"/>
    <w:rsid w:val="001517B4"/>
    <w:rsid w:val="001518C7"/>
    <w:rsid w:val="00151DFD"/>
    <w:rsid w:val="00152148"/>
    <w:rsid w:val="00152A16"/>
    <w:rsid w:val="00152E55"/>
    <w:rsid w:val="0015305D"/>
    <w:rsid w:val="00153063"/>
    <w:rsid w:val="001532F5"/>
    <w:rsid w:val="0015385E"/>
    <w:rsid w:val="00153A31"/>
    <w:rsid w:val="00153A87"/>
    <w:rsid w:val="00153B18"/>
    <w:rsid w:val="00153C0A"/>
    <w:rsid w:val="00153CA8"/>
    <w:rsid w:val="00154320"/>
    <w:rsid w:val="001544E5"/>
    <w:rsid w:val="00154DF3"/>
    <w:rsid w:val="00154F98"/>
    <w:rsid w:val="001551BC"/>
    <w:rsid w:val="00155434"/>
    <w:rsid w:val="00155ACA"/>
    <w:rsid w:val="00155E85"/>
    <w:rsid w:val="001561CB"/>
    <w:rsid w:val="001566B0"/>
    <w:rsid w:val="00156A8B"/>
    <w:rsid w:val="00156FCF"/>
    <w:rsid w:val="0015711B"/>
    <w:rsid w:val="00157336"/>
    <w:rsid w:val="00157994"/>
    <w:rsid w:val="00160422"/>
    <w:rsid w:val="00160AA6"/>
    <w:rsid w:val="00160D9C"/>
    <w:rsid w:val="00160F07"/>
    <w:rsid w:val="00160F0F"/>
    <w:rsid w:val="00161039"/>
    <w:rsid w:val="0016150F"/>
    <w:rsid w:val="00161547"/>
    <w:rsid w:val="00161AA3"/>
    <w:rsid w:val="00161AE3"/>
    <w:rsid w:val="00162044"/>
    <w:rsid w:val="0016213B"/>
    <w:rsid w:val="0016217A"/>
    <w:rsid w:val="00162438"/>
    <w:rsid w:val="001625AA"/>
    <w:rsid w:val="00162B16"/>
    <w:rsid w:val="00162C73"/>
    <w:rsid w:val="00163B28"/>
    <w:rsid w:val="00163D04"/>
    <w:rsid w:val="00163DF3"/>
    <w:rsid w:val="00164126"/>
    <w:rsid w:val="0016415F"/>
    <w:rsid w:val="001643E2"/>
    <w:rsid w:val="00164611"/>
    <w:rsid w:val="00164805"/>
    <w:rsid w:val="00164A78"/>
    <w:rsid w:val="00164F94"/>
    <w:rsid w:val="0016526C"/>
    <w:rsid w:val="001653D9"/>
    <w:rsid w:val="00165440"/>
    <w:rsid w:val="001654DE"/>
    <w:rsid w:val="00165981"/>
    <w:rsid w:val="00165EAD"/>
    <w:rsid w:val="00165F81"/>
    <w:rsid w:val="00166206"/>
    <w:rsid w:val="00166209"/>
    <w:rsid w:val="00166257"/>
    <w:rsid w:val="00166318"/>
    <w:rsid w:val="00166718"/>
    <w:rsid w:val="0016692D"/>
    <w:rsid w:val="00166AD0"/>
    <w:rsid w:val="00166D81"/>
    <w:rsid w:val="001671C0"/>
    <w:rsid w:val="001675C9"/>
    <w:rsid w:val="00167653"/>
    <w:rsid w:val="00167C38"/>
    <w:rsid w:val="00167F6B"/>
    <w:rsid w:val="001700DB"/>
    <w:rsid w:val="0017082F"/>
    <w:rsid w:val="001709D4"/>
    <w:rsid w:val="00170C48"/>
    <w:rsid w:val="00170F4E"/>
    <w:rsid w:val="00170FCC"/>
    <w:rsid w:val="0017115A"/>
    <w:rsid w:val="001714CB"/>
    <w:rsid w:val="001716B4"/>
    <w:rsid w:val="001716F6"/>
    <w:rsid w:val="00171731"/>
    <w:rsid w:val="00171C3E"/>
    <w:rsid w:val="00172542"/>
    <w:rsid w:val="001729E5"/>
    <w:rsid w:val="00172BF1"/>
    <w:rsid w:val="00172C20"/>
    <w:rsid w:val="0017302F"/>
    <w:rsid w:val="0017344C"/>
    <w:rsid w:val="001734E4"/>
    <w:rsid w:val="00173A8C"/>
    <w:rsid w:val="00173BA5"/>
    <w:rsid w:val="00173C4A"/>
    <w:rsid w:val="00173E01"/>
    <w:rsid w:val="00173F1F"/>
    <w:rsid w:val="001741E8"/>
    <w:rsid w:val="001744C7"/>
    <w:rsid w:val="0017465C"/>
    <w:rsid w:val="00174AAE"/>
    <w:rsid w:val="00174AEC"/>
    <w:rsid w:val="00174DA4"/>
    <w:rsid w:val="00174E5A"/>
    <w:rsid w:val="0017552F"/>
    <w:rsid w:val="00175A63"/>
    <w:rsid w:val="00175C03"/>
    <w:rsid w:val="00175F6E"/>
    <w:rsid w:val="001763AF"/>
    <w:rsid w:val="001763E8"/>
    <w:rsid w:val="00176656"/>
    <w:rsid w:val="00176736"/>
    <w:rsid w:val="00176802"/>
    <w:rsid w:val="00176AE7"/>
    <w:rsid w:val="00176B41"/>
    <w:rsid w:val="00177444"/>
    <w:rsid w:val="00177916"/>
    <w:rsid w:val="00177968"/>
    <w:rsid w:val="00180009"/>
    <w:rsid w:val="00180618"/>
    <w:rsid w:val="00180798"/>
    <w:rsid w:val="00180904"/>
    <w:rsid w:val="00180AD3"/>
    <w:rsid w:val="00180E42"/>
    <w:rsid w:val="00180E5D"/>
    <w:rsid w:val="00180E62"/>
    <w:rsid w:val="00180FA2"/>
    <w:rsid w:val="00181397"/>
    <w:rsid w:val="001813D7"/>
    <w:rsid w:val="001814CE"/>
    <w:rsid w:val="001815FB"/>
    <w:rsid w:val="0018181F"/>
    <w:rsid w:val="001819F3"/>
    <w:rsid w:val="0018208E"/>
    <w:rsid w:val="00182420"/>
    <w:rsid w:val="00182498"/>
    <w:rsid w:val="00182644"/>
    <w:rsid w:val="00182880"/>
    <w:rsid w:val="00182D19"/>
    <w:rsid w:val="001834F5"/>
    <w:rsid w:val="00183601"/>
    <w:rsid w:val="00183735"/>
    <w:rsid w:val="00184111"/>
    <w:rsid w:val="0018415E"/>
    <w:rsid w:val="001843B1"/>
    <w:rsid w:val="0018463D"/>
    <w:rsid w:val="0018478E"/>
    <w:rsid w:val="00184D58"/>
    <w:rsid w:val="00184D69"/>
    <w:rsid w:val="001852F8"/>
    <w:rsid w:val="00185779"/>
    <w:rsid w:val="00185A5B"/>
    <w:rsid w:val="00185BF3"/>
    <w:rsid w:val="00185DC5"/>
    <w:rsid w:val="00186894"/>
    <w:rsid w:val="00186C58"/>
    <w:rsid w:val="00186DC7"/>
    <w:rsid w:val="00186ED3"/>
    <w:rsid w:val="00186EF4"/>
    <w:rsid w:val="001870FB"/>
    <w:rsid w:val="0018711C"/>
    <w:rsid w:val="0018722F"/>
    <w:rsid w:val="001872FA"/>
    <w:rsid w:val="00187484"/>
    <w:rsid w:val="001878E2"/>
    <w:rsid w:val="00187AC3"/>
    <w:rsid w:val="00187BDC"/>
    <w:rsid w:val="00187BFC"/>
    <w:rsid w:val="00190468"/>
    <w:rsid w:val="00190B6D"/>
    <w:rsid w:val="00190E97"/>
    <w:rsid w:val="00191124"/>
    <w:rsid w:val="00191590"/>
    <w:rsid w:val="0019180B"/>
    <w:rsid w:val="00191A3F"/>
    <w:rsid w:val="00191BB6"/>
    <w:rsid w:val="00191C1B"/>
    <w:rsid w:val="00191D14"/>
    <w:rsid w:val="00191D53"/>
    <w:rsid w:val="00192278"/>
    <w:rsid w:val="0019307E"/>
    <w:rsid w:val="00193327"/>
    <w:rsid w:val="001937AB"/>
    <w:rsid w:val="0019395E"/>
    <w:rsid w:val="00193D46"/>
    <w:rsid w:val="00193DFE"/>
    <w:rsid w:val="00193FE8"/>
    <w:rsid w:val="0019415B"/>
    <w:rsid w:val="00194359"/>
    <w:rsid w:val="001947A9"/>
    <w:rsid w:val="00194DCF"/>
    <w:rsid w:val="00194EA0"/>
    <w:rsid w:val="00194F10"/>
    <w:rsid w:val="001952EB"/>
    <w:rsid w:val="0019545A"/>
    <w:rsid w:val="001954B0"/>
    <w:rsid w:val="0019556C"/>
    <w:rsid w:val="00195687"/>
    <w:rsid w:val="00195C2D"/>
    <w:rsid w:val="00195C93"/>
    <w:rsid w:val="0019605C"/>
    <w:rsid w:val="001960A9"/>
    <w:rsid w:val="00196163"/>
    <w:rsid w:val="0019628F"/>
    <w:rsid w:val="00196301"/>
    <w:rsid w:val="00196741"/>
    <w:rsid w:val="001971EB"/>
    <w:rsid w:val="00197296"/>
    <w:rsid w:val="001973C0"/>
    <w:rsid w:val="0019762D"/>
    <w:rsid w:val="00197683"/>
    <w:rsid w:val="00197691"/>
    <w:rsid w:val="001978CB"/>
    <w:rsid w:val="00197920"/>
    <w:rsid w:val="00197AED"/>
    <w:rsid w:val="001A031B"/>
    <w:rsid w:val="001A061B"/>
    <w:rsid w:val="001A0725"/>
    <w:rsid w:val="001A096F"/>
    <w:rsid w:val="001A0A61"/>
    <w:rsid w:val="001A0ECD"/>
    <w:rsid w:val="001A11A7"/>
    <w:rsid w:val="001A15E5"/>
    <w:rsid w:val="001A1D81"/>
    <w:rsid w:val="001A1DE9"/>
    <w:rsid w:val="001A21AA"/>
    <w:rsid w:val="001A234C"/>
    <w:rsid w:val="001A26AE"/>
    <w:rsid w:val="001A270D"/>
    <w:rsid w:val="001A29D6"/>
    <w:rsid w:val="001A2A12"/>
    <w:rsid w:val="001A2B4A"/>
    <w:rsid w:val="001A2C76"/>
    <w:rsid w:val="001A2C91"/>
    <w:rsid w:val="001A2DAA"/>
    <w:rsid w:val="001A2F79"/>
    <w:rsid w:val="001A3004"/>
    <w:rsid w:val="001A3256"/>
    <w:rsid w:val="001A3469"/>
    <w:rsid w:val="001A3694"/>
    <w:rsid w:val="001A3C95"/>
    <w:rsid w:val="001A3CA5"/>
    <w:rsid w:val="001A3CF6"/>
    <w:rsid w:val="001A3D01"/>
    <w:rsid w:val="001A3E96"/>
    <w:rsid w:val="001A4313"/>
    <w:rsid w:val="001A45CE"/>
    <w:rsid w:val="001A4DC9"/>
    <w:rsid w:val="001A540A"/>
    <w:rsid w:val="001A5CAB"/>
    <w:rsid w:val="001A638E"/>
    <w:rsid w:val="001A64CD"/>
    <w:rsid w:val="001A6580"/>
    <w:rsid w:val="001A673A"/>
    <w:rsid w:val="001A68A1"/>
    <w:rsid w:val="001A696B"/>
    <w:rsid w:val="001A6A53"/>
    <w:rsid w:val="001A6ADE"/>
    <w:rsid w:val="001A6C12"/>
    <w:rsid w:val="001A6C98"/>
    <w:rsid w:val="001A6D41"/>
    <w:rsid w:val="001A6E3B"/>
    <w:rsid w:val="001A6F42"/>
    <w:rsid w:val="001A6FCC"/>
    <w:rsid w:val="001A71D4"/>
    <w:rsid w:val="001A7263"/>
    <w:rsid w:val="001A7336"/>
    <w:rsid w:val="001A7923"/>
    <w:rsid w:val="001A79C9"/>
    <w:rsid w:val="001B02FB"/>
    <w:rsid w:val="001B0E20"/>
    <w:rsid w:val="001B0E2D"/>
    <w:rsid w:val="001B1191"/>
    <w:rsid w:val="001B1479"/>
    <w:rsid w:val="001B1819"/>
    <w:rsid w:val="001B1B7C"/>
    <w:rsid w:val="001B27BB"/>
    <w:rsid w:val="001B29E8"/>
    <w:rsid w:val="001B2D79"/>
    <w:rsid w:val="001B2E41"/>
    <w:rsid w:val="001B316D"/>
    <w:rsid w:val="001B35BC"/>
    <w:rsid w:val="001B374D"/>
    <w:rsid w:val="001B3A97"/>
    <w:rsid w:val="001B3CE7"/>
    <w:rsid w:val="001B3DFD"/>
    <w:rsid w:val="001B4108"/>
    <w:rsid w:val="001B442D"/>
    <w:rsid w:val="001B443C"/>
    <w:rsid w:val="001B4DB2"/>
    <w:rsid w:val="001B50B2"/>
    <w:rsid w:val="001B54FA"/>
    <w:rsid w:val="001B56CE"/>
    <w:rsid w:val="001B5764"/>
    <w:rsid w:val="001B5AAF"/>
    <w:rsid w:val="001B61D0"/>
    <w:rsid w:val="001B6490"/>
    <w:rsid w:val="001B64CD"/>
    <w:rsid w:val="001B6500"/>
    <w:rsid w:val="001B6644"/>
    <w:rsid w:val="001B6C2D"/>
    <w:rsid w:val="001B6F08"/>
    <w:rsid w:val="001B7654"/>
    <w:rsid w:val="001B7829"/>
    <w:rsid w:val="001B788E"/>
    <w:rsid w:val="001B78DD"/>
    <w:rsid w:val="001B7CF0"/>
    <w:rsid w:val="001B7F41"/>
    <w:rsid w:val="001B7FAB"/>
    <w:rsid w:val="001C013C"/>
    <w:rsid w:val="001C0671"/>
    <w:rsid w:val="001C0699"/>
    <w:rsid w:val="001C0BA9"/>
    <w:rsid w:val="001C0C30"/>
    <w:rsid w:val="001C0DAA"/>
    <w:rsid w:val="001C0E7E"/>
    <w:rsid w:val="001C0FE9"/>
    <w:rsid w:val="001C1054"/>
    <w:rsid w:val="001C1297"/>
    <w:rsid w:val="001C1CB8"/>
    <w:rsid w:val="001C1ECC"/>
    <w:rsid w:val="001C22E4"/>
    <w:rsid w:val="001C2322"/>
    <w:rsid w:val="001C2772"/>
    <w:rsid w:val="001C2E85"/>
    <w:rsid w:val="001C350D"/>
    <w:rsid w:val="001C365A"/>
    <w:rsid w:val="001C36EA"/>
    <w:rsid w:val="001C3FA9"/>
    <w:rsid w:val="001C40F4"/>
    <w:rsid w:val="001C418E"/>
    <w:rsid w:val="001C4233"/>
    <w:rsid w:val="001C4925"/>
    <w:rsid w:val="001C53C7"/>
    <w:rsid w:val="001C555F"/>
    <w:rsid w:val="001C55C6"/>
    <w:rsid w:val="001C5C55"/>
    <w:rsid w:val="001C5FE9"/>
    <w:rsid w:val="001C6010"/>
    <w:rsid w:val="001C6094"/>
    <w:rsid w:val="001C633D"/>
    <w:rsid w:val="001C6771"/>
    <w:rsid w:val="001C697A"/>
    <w:rsid w:val="001C733F"/>
    <w:rsid w:val="001C774F"/>
    <w:rsid w:val="001C7794"/>
    <w:rsid w:val="001C7D41"/>
    <w:rsid w:val="001C7E67"/>
    <w:rsid w:val="001C7E77"/>
    <w:rsid w:val="001D0293"/>
    <w:rsid w:val="001D031F"/>
    <w:rsid w:val="001D07C9"/>
    <w:rsid w:val="001D09A0"/>
    <w:rsid w:val="001D09F4"/>
    <w:rsid w:val="001D0BB6"/>
    <w:rsid w:val="001D11A9"/>
    <w:rsid w:val="001D1767"/>
    <w:rsid w:val="001D186D"/>
    <w:rsid w:val="001D18B6"/>
    <w:rsid w:val="001D18BF"/>
    <w:rsid w:val="001D1BBA"/>
    <w:rsid w:val="001D22B8"/>
    <w:rsid w:val="001D2BF4"/>
    <w:rsid w:val="001D2C7B"/>
    <w:rsid w:val="001D2CC2"/>
    <w:rsid w:val="001D2EBE"/>
    <w:rsid w:val="001D2FD0"/>
    <w:rsid w:val="001D3661"/>
    <w:rsid w:val="001D4305"/>
    <w:rsid w:val="001D4437"/>
    <w:rsid w:val="001D456A"/>
    <w:rsid w:val="001D4967"/>
    <w:rsid w:val="001D4A35"/>
    <w:rsid w:val="001D4AA3"/>
    <w:rsid w:val="001D5123"/>
    <w:rsid w:val="001D51E6"/>
    <w:rsid w:val="001D538F"/>
    <w:rsid w:val="001D57D8"/>
    <w:rsid w:val="001D596D"/>
    <w:rsid w:val="001D5CB0"/>
    <w:rsid w:val="001D66AC"/>
    <w:rsid w:val="001D677D"/>
    <w:rsid w:val="001D680D"/>
    <w:rsid w:val="001D69BE"/>
    <w:rsid w:val="001D6E05"/>
    <w:rsid w:val="001D72F3"/>
    <w:rsid w:val="001D7751"/>
    <w:rsid w:val="001D786D"/>
    <w:rsid w:val="001D79F6"/>
    <w:rsid w:val="001D7AFA"/>
    <w:rsid w:val="001D7D5E"/>
    <w:rsid w:val="001E0192"/>
    <w:rsid w:val="001E01BA"/>
    <w:rsid w:val="001E0AD3"/>
    <w:rsid w:val="001E0BD8"/>
    <w:rsid w:val="001E0E30"/>
    <w:rsid w:val="001E0E8D"/>
    <w:rsid w:val="001E108B"/>
    <w:rsid w:val="001E1116"/>
    <w:rsid w:val="001E1A0E"/>
    <w:rsid w:val="001E2331"/>
    <w:rsid w:val="001E25A3"/>
    <w:rsid w:val="001E25F0"/>
    <w:rsid w:val="001E2815"/>
    <w:rsid w:val="001E2A14"/>
    <w:rsid w:val="001E2B59"/>
    <w:rsid w:val="001E2E2E"/>
    <w:rsid w:val="001E2EAA"/>
    <w:rsid w:val="001E33C9"/>
    <w:rsid w:val="001E3418"/>
    <w:rsid w:val="001E3ACB"/>
    <w:rsid w:val="001E3CD8"/>
    <w:rsid w:val="001E40AA"/>
    <w:rsid w:val="001E45CF"/>
    <w:rsid w:val="001E466F"/>
    <w:rsid w:val="001E4698"/>
    <w:rsid w:val="001E46BD"/>
    <w:rsid w:val="001E4801"/>
    <w:rsid w:val="001E4BF9"/>
    <w:rsid w:val="001E4CD7"/>
    <w:rsid w:val="001E5874"/>
    <w:rsid w:val="001E5E44"/>
    <w:rsid w:val="001E5F8A"/>
    <w:rsid w:val="001E60E9"/>
    <w:rsid w:val="001E6118"/>
    <w:rsid w:val="001E66E2"/>
    <w:rsid w:val="001E6BF2"/>
    <w:rsid w:val="001E6FBE"/>
    <w:rsid w:val="001E71E8"/>
    <w:rsid w:val="001E728F"/>
    <w:rsid w:val="001E72C6"/>
    <w:rsid w:val="001E7410"/>
    <w:rsid w:val="001E748B"/>
    <w:rsid w:val="001E74B7"/>
    <w:rsid w:val="001E7623"/>
    <w:rsid w:val="001E7ADA"/>
    <w:rsid w:val="001F042E"/>
    <w:rsid w:val="001F0685"/>
    <w:rsid w:val="001F09EC"/>
    <w:rsid w:val="001F0E28"/>
    <w:rsid w:val="001F1278"/>
    <w:rsid w:val="001F1578"/>
    <w:rsid w:val="001F1F78"/>
    <w:rsid w:val="001F2347"/>
    <w:rsid w:val="001F245F"/>
    <w:rsid w:val="001F2505"/>
    <w:rsid w:val="001F2668"/>
    <w:rsid w:val="001F2787"/>
    <w:rsid w:val="001F27A8"/>
    <w:rsid w:val="001F30D7"/>
    <w:rsid w:val="001F38B5"/>
    <w:rsid w:val="001F3B8B"/>
    <w:rsid w:val="001F3E98"/>
    <w:rsid w:val="001F3F73"/>
    <w:rsid w:val="001F3FB5"/>
    <w:rsid w:val="001F4186"/>
    <w:rsid w:val="001F49DE"/>
    <w:rsid w:val="001F4A5B"/>
    <w:rsid w:val="001F4AB4"/>
    <w:rsid w:val="001F4BAF"/>
    <w:rsid w:val="001F4CB2"/>
    <w:rsid w:val="001F4F34"/>
    <w:rsid w:val="001F510B"/>
    <w:rsid w:val="001F5113"/>
    <w:rsid w:val="001F52BF"/>
    <w:rsid w:val="001F565F"/>
    <w:rsid w:val="001F5902"/>
    <w:rsid w:val="001F599D"/>
    <w:rsid w:val="001F5B10"/>
    <w:rsid w:val="001F6645"/>
    <w:rsid w:val="001F720A"/>
    <w:rsid w:val="001F725E"/>
    <w:rsid w:val="001F7858"/>
    <w:rsid w:val="001F7C08"/>
    <w:rsid w:val="001F7D9A"/>
    <w:rsid w:val="001F7FF5"/>
    <w:rsid w:val="00200373"/>
    <w:rsid w:val="002003B8"/>
    <w:rsid w:val="0020052D"/>
    <w:rsid w:val="00200721"/>
    <w:rsid w:val="00200D05"/>
    <w:rsid w:val="00200F91"/>
    <w:rsid w:val="00200FE6"/>
    <w:rsid w:val="0020104A"/>
    <w:rsid w:val="002011F6"/>
    <w:rsid w:val="0020135A"/>
    <w:rsid w:val="00201383"/>
    <w:rsid w:val="002013B5"/>
    <w:rsid w:val="0020144D"/>
    <w:rsid w:val="00201E93"/>
    <w:rsid w:val="00201F87"/>
    <w:rsid w:val="00201FFF"/>
    <w:rsid w:val="00202350"/>
    <w:rsid w:val="00202754"/>
    <w:rsid w:val="002027A8"/>
    <w:rsid w:val="00202853"/>
    <w:rsid w:val="00202E25"/>
    <w:rsid w:val="00202FB4"/>
    <w:rsid w:val="002030FC"/>
    <w:rsid w:val="00203132"/>
    <w:rsid w:val="00203BAC"/>
    <w:rsid w:val="00203BD1"/>
    <w:rsid w:val="00203F5E"/>
    <w:rsid w:val="002040F7"/>
    <w:rsid w:val="00204284"/>
    <w:rsid w:val="00204388"/>
    <w:rsid w:val="002044D5"/>
    <w:rsid w:val="00204B0E"/>
    <w:rsid w:val="00204CEB"/>
    <w:rsid w:val="00205121"/>
    <w:rsid w:val="00205FA4"/>
    <w:rsid w:val="0020637F"/>
    <w:rsid w:val="00206B06"/>
    <w:rsid w:val="0020734F"/>
    <w:rsid w:val="00207438"/>
    <w:rsid w:val="002074D6"/>
    <w:rsid w:val="002075AF"/>
    <w:rsid w:val="00207844"/>
    <w:rsid w:val="00207B69"/>
    <w:rsid w:val="00207DE6"/>
    <w:rsid w:val="00210073"/>
    <w:rsid w:val="0021043C"/>
    <w:rsid w:val="00211648"/>
    <w:rsid w:val="0021171E"/>
    <w:rsid w:val="00211CF4"/>
    <w:rsid w:val="0021220D"/>
    <w:rsid w:val="002127DF"/>
    <w:rsid w:val="0021297B"/>
    <w:rsid w:val="00212C82"/>
    <w:rsid w:val="00212D87"/>
    <w:rsid w:val="002132D5"/>
    <w:rsid w:val="00213562"/>
    <w:rsid w:val="002135B5"/>
    <w:rsid w:val="0021382C"/>
    <w:rsid w:val="002138F6"/>
    <w:rsid w:val="00213DD3"/>
    <w:rsid w:val="002140AB"/>
    <w:rsid w:val="0021441A"/>
    <w:rsid w:val="002147C7"/>
    <w:rsid w:val="00214832"/>
    <w:rsid w:val="00214AD5"/>
    <w:rsid w:val="00214D20"/>
    <w:rsid w:val="0021534E"/>
    <w:rsid w:val="00215390"/>
    <w:rsid w:val="002153CC"/>
    <w:rsid w:val="00215844"/>
    <w:rsid w:val="00215C53"/>
    <w:rsid w:val="00216834"/>
    <w:rsid w:val="0021698A"/>
    <w:rsid w:val="002169A0"/>
    <w:rsid w:val="00216F3E"/>
    <w:rsid w:val="0021793A"/>
    <w:rsid w:val="0021793F"/>
    <w:rsid w:val="00217AEF"/>
    <w:rsid w:val="00220198"/>
    <w:rsid w:val="00220851"/>
    <w:rsid w:val="00220858"/>
    <w:rsid w:val="00220CBA"/>
    <w:rsid w:val="00220D8D"/>
    <w:rsid w:val="00220E99"/>
    <w:rsid w:val="00220F67"/>
    <w:rsid w:val="00221089"/>
    <w:rsid w:val="00221417"/>
    <w:rsid w:val="00221524"/>
    <w:rsid w:val="00221B7C"/>
    <w:rsid w:val="00221D33"/>
    <w:rsid w:val="00222643"/>
    <w:rsid w:val="00222ABD"/>
    <w:rsid w:val="00222C4D"/>
    <w:rsid w:val="00222F37"/>
    <w:rsid w:val="002236E2"/>
    <w:rsid w:val="00223C6D"/>
    <w:rsid w:val="0022451B"/>
    <w:rsid w:val="00224593"/>
    <w:rsid w:val="002249F5"/>
    <w:rsid w:val="0022518F"/>
    <w:rsid w:val="002251A6"/>
    <w:rsid w:val="00225913"/>
    <w:rsid w:val="00225BBC"/>
    <w:rsid w:val="00226260"/>
    <w:rsid w:val="00226B1B"/>
    <w:rsid w:val="00226C8A"/>
    <w:rsid w:val="00226F75"/>
    <w:rsid w:val="0022727E"/>
    <w:rsid w:val="002273B3"/>
    <w:rsid w:val="002273E9"/>
    <w:rsid w:val="002275D6"/>
    <w:rsid w:val="002276FC"/>
    <w:rsid w:val="002278A1"/>
    <w:rsid w:val="002279B6"/>
    <w:rsid w:val="00227ACF"/>
    <w:rsid w:val="00227B66"/>
    <w:rsid w:val="00227BFE"/>
    <w:rsid w:val="00227ED8"/>
    <w:rsid w:val="0023026C"/>
    <w:rsid w:val="00230949"/>
    <w:rsid w:val="00230E05"/>
    <w:rsid w:val="00230E8C"/>
    <w:rsid w:val="0023125A"/>
    <w:rsid w:val="00231421"/>
    <w:rsid w:val="002314BE"/>
    <w:rsid w:val="00231683"/>
    <w:rsid w:val="002317CF"/>
    <w:rsid w:val="00231AE5"/>
    <w:rsid w:val="002321E3"/>
    <w:rsid w:val="002323D2"/>
    <w:rsid w:val="00232411"/>
    <w:rsid w:val="00232749"/>
    <w:rsid w:val="00232849"/>
    <w:rsid w:val="00232D5F"/>
    <w:rsid w:val="00233765"/>
    <w:rsid w:val="00233C34"/>
    <w:rsid w:val="00233C70"/>
    <w:rsid w:val="00233E97"/>
    <w:rsid w:val="002340BC"/>
    <w:rsid w:val="002341D9"/>
    <w:rsid w:val="0023457A"/>
    <w:rsid w:val="0023471A"/>
    <w:rsid w:val="00234727"/>
    <w:rsid w:val="0023488D"/>
    <w:rsid w:val="00234A4D"/>
    <w:rsid w:val="00234AE2"/>
    <w:rsid w:val="002351C9"/>
    <w:rsid w:val="0023536C"/>
    <w:rsid w:val="002357BE"/>
    <w:rsid w:val="002358A9"/>
    <w:rsid w:val="002358EA"/>
    <w:rsid w:val="00235F90"/>
    <w:rsid w:val="002364EA"/>
    <w:rsid w:val="00236616"/>
    <w:rsid w:val="00236912"/>
    <w:rsid w:val="00236A4E"/>
    <w:rsid w:val="00236DBB"/>
    <w:rsid w:val="0023716B"/>
    <w:rsid w:val="0023744C"/>
    <w:rsid w:val="00237501"/>
    <w:rsid w:val="00237728"/>
    <w:rsid w:val="00237BE0"/>
    <w:rsid w:val="00237C5F"/>
    <w:rsid w:val="00237D52"/>
    <w:rsid w:val="00237FDD"/>
    <w:rsid w:val="002402E5"/>
    <w:rsid w:val="0024057A"/>
    <w:rsid w:val="00240692"/>
    <w:rsid w:val="002409D7"/>
    <w:rsid w:val="00240DE7"/>
    <w:rsid w:val="002413C8"/>
    <w:rsid w:val="002413CE"/>
    <w:rsid w:val="00241511"/>
    <w:rsid w:val="00241541"/>
    <w:rsid w:val="002417D8"/>
    <w:rsid w:val="00241A21"/>
    <w:rsid w:val="00242279"/>
    <w:rsid w:val="002423EE"/>
    <w:rsid w:val="00242E54"/>
    <w:rsid w:val="00242FE1"/>
    <w:rsid w:val="00243003"/>
    <w:rsid w:val="00243007"/>
    <w:rsid w:val="002430D8"/>
    <w:rsid w:val="002432C3"/>
    <w:rsid w:val="00243344"/>
    <w:rsid w:val="002437A5"/>
    <w:rsid w:val="002438B5"/>
    <w:rsid w:val="00243C5D"/>
    <w:rsid w:val="00244629"/>
    <w:rsid w:val="00244DD3"/>
    <w:rsid w:val="0024515B"/>
    <w:rsid w:val="002451E5"/>
    <w:rsid w:val="00245319"/>
    <w:rsid w:val="0024534E"/>
    <w:rsid w:val="00245783"/>
    <w:rsid w:val="002459DA"/>
    <w:rsid w:val="00245C21"/>
    <w:rsid w:val="00245CF9"/>
    <w:rsid w:val="00245E72"/>
    <w:rsid w:val="002468D7"/>
    <w:rsid w:val="00246EEF"/>
    <w:rsid w:val="00247621"/>
    <w:rsid w:val="002477CE"/>
    <w:rsid w:val="00247A61"/>
    <w:rsid w:val="00247D3B"/>
    <w:rsid w:val="00250090"/>
    <w:rsid w:val="0025013D"/>
    <w:rsid w:val="00250B18"/>
    <w:rsid w:val="00250BAB"/>
    <w:rsid w:val="00250E0D"/>
    <w:rsid w:val="00250E35"/>
    <w:rsid w:val="00250EB5"/>
    <w:rsid w:val="00250FBF"/>
    <w:rsid w:val="00250FD2"/>
    <w:rsid w:val="00251119"/>
    <w:rsid w:val="00251123"/>
    <w:rsid w:val="0025136D"/>
    <w:rsid w:val="002516A8"/>
    <w:rsid w:val="002516E5"/>
    <w:rsid w:val="00251ACF"/>
    <w:rsid w:val="00251B02"/>
    <w:rsid w:val="00251C76"/>
    <w:rsid w:val="00252080"/>
    <w:rsid w:val="00252136"/>
    <w:rsid w:val="00252223"/>
    <w:rsid w:val="0025255A"/>
    <w:rsid w:val="00252641"/>
    <w:rsid w:val="00252693"/>
    <w:rsid w:val="0025295A"/>
    <w:rsid w:val="00252AB1"/>
    <w:rsid w:val="00252B50"/>
    <w:rsid w:val="0025349F"/>
    <w:rsid w:val="0025375F"/>
    <w:rsid w:val="002538AA"/>
    <w:rsid w:val="00254229"/>
    <w:rsid w:val="002544F3"/>
    <w:rsid w:val="00254890"/>
    <w:rsid w:val="002548DA"/>
    <w:rsid w:val="00254BA8"/>
    <w:rsid w:val="00254E75"/>
    <w:rsid w:val="00255492"/>
    <w:rsid w:val="002557B0"/>
    <w:rsid w:val="0025587F"/>
    <w:rsid w:val="00255966"/>
    <w:rsid w:val="00255B10"/>
    <w:rsid w:val="00255CB0"/>
    <w:rsid w:val="002560F3"/>
    <w:rsid w:val="0025616E"/>
    <w:rsid w:val="00256624"/>
    <w:rsid w:val="00256919"/>
    <w:rsid w:val="0025722E"/>
    <w:rsid w:val="002576B8"/>
    <w:rsid w:val="00257876"/>
    <w:rsid w:val="002578E1"/>
    <w:rsid w:val="0026089D"/>
    <w:rsid w:val="00260A7A"/>
    <w:rsid w:val="00260EE6"/>
    <w:rsid w:val="002612D4"/>
    <w:rsid w:val="00261354"/>
    <w:rsid w:val="00261375"/>
    <w:rsid w:val="0026150D"/>
    <w:rsid w:val="002619D2"/>
    <w:rsid w:val="00261EFF"/>
    <w:rsid w:val="0026218F"/>
    <w:rsid w:val="002626F3"/>
    <w:rsid w:val="0026278D"/>
    <w:rsid w:val="0026281B"/>
    <w:rsid w:val="00262F4D"/>
    <w:rsid w:val="00263408"/>
    <w:rsid w:val="00263F5A"/>
    <w:rsid w:val="002642AE"/>
    <w:rsid w:val="002643C0"/>
    <w:rsid w:val="0026442E"/>
    <w:rsid w:val="0026446E"/>
    <w:rsid w:val="002649DE"/>
    <w:rsid w:val="00265163"/>
    <w:rsid w:val="002651AB"/>
    <w:rsid w:val="00265292"/>
    <w:rsid w:val="002658BC"/>
    <w:rsid w:val="00265C4F"/>
    <w:rsid w:val="00266262"/>
    <w:rsid w:val="00266C13"/>
    <w:rsid w:val="00266C39"/>
    <w:rsid w:val="0026723C"/>
    <w:rsid w:val="002674DE"/>
    <w:rsid w:val="0026779E"/>
    <w:rsid w:val="002677C2"/>
    <w:rsid w:val="002677E2"/>
    <w:rsid w:val="00267A77"/>
    <w:rsid w:val="00267AC7"/>
    <w:rsid w:val="00267B1C"/>
    <w:rsid w:val="00267D43"/>
    <w:rsid w:val="00270028"/>
    <w:rsid w:val="00270596"/>
    <w:rsid w:val="00270995"/>
    <w:rsid w:val="00270A56"/>
    <w:rsid w:val="00270D83"/>
    <w:rsid w:val="002714E9"/>
    <w:rsid w:val="0027150E"/>
    <w:rsid w:val="00271609"/>
    <w:rsid w:val="00271D6A"/>
    <w:rsid w:val="00271FD9"/>
    <w:rsid w:val="00272205"/>
    <w:rsid w:val="002723F8"/>
    <w:rsid w:val="00272555"/>
    <w:rsid w:val="00272603"/>
    <w:rsid w:val="00272631"/>
    <w:rsid w:val="002726CE"/>
    <w:rsid w:val="00272F48"/>
    <w:rsid w:val="00272F5D"/>
    <w:rsid w:val="002731EF"/>
    <w:rsid w:val="00273FFE"/>
    <w:rsid w:val="0027433A"/>
    <w:rsid w:val="00274491"/>
    <w:rsid w:val="002744B8"/>
    <w:rsid w:val="002747E3"/>
    <w:rsid w:val="00274C80"/>
    <w:rsid w:val="00275734"/>
    <w:rsid w:val="00275814"/>
    <w:rsid w:val="00275ABE"/>
    <w:rsid w:val="00275C87"/>
    <w:rsid w:val="0027603F"/>
    <w:rsid w:val="00276383"/>
    <w:rsid w:val="002768A0"/>
    <w:rsid w:val="00276F57"/>
    <w:rsid w:val="00277334"/>
    <w:rsid w:val="002773CE"/>
    <w:rsid w:val="002775C7"/>
    <w:rsid w:val="00277762"/>
    <w:rsid w:val="00277A8F"/>
    <w:rsid w:val="00277F78"/>
    <w:rsid w:val="0028020B"/>
    <w:rsid w:val="00280583"/>
    <w:rsid w:val="0028059B"/>
    <w:rsid w:val="00280818"/>
    <w:rsid w:val="002809A7"/>
    <w:rsid w:val="00280B21"/>
    <w:rsid w:val="00280EC9"/>
    <w:rsid w:val="002817D6"/>
    <w:rsid w:val="002818B6"/>
    <w:rsid w:val="00281EC7"/>
    <w:rsid w:val="002825CD"/>
    <w:rsid w:val="00282B01"/>
    <w:rsid w:val="002832A3"/>
    <w:rsid w:val="002835E6"/>
    <w:rsid w:val="002836DC"/>
    <w:rsid w:val="00283853"/>
    <w:rsid w:val="00283D56"/>
    <w:rsid w:val="00283E21"/>
    <w:rsid w:val="0028419D"/>
    <w:rsid w:val="002848DF"/>
    <w:rsid w:val="00284CBA"/>
    <w:rsid w:val="00285B15"/>
    <w:rsid w:val="00285B6C"/>
    <w:rsid w:val="00286248"/>
    <w:rsid w:val="00286631"/>
    <w:rsid w:val="00286F91"/>
    <w:rsid w:val="00287201"/>
    <w:rsid w:val="002873A1"/>
    <w:rsid w:val="00287B9E"/>
    <w:rsid w:val="002900E5"/>
    <w:rsid w:val="002903A0"/>
    <w:rsid w:val="00290670"/>
    <w:rsid w:val="00290EA4"/>
    <w:rsid w:val="00291290"/>
    <w:rsid w:val="0029149B"/>
    <w:rsid w:val="00291648"/>
    <w:rsid w:val="00291A69"/>
    <w:rsid w:val="00291BBD"/>
    <w:rsid w:val="00291D6C"/>
    <w:rsid w:val="00291F5F"/>
    <w:rsid w:val="002921DE"/>
    <w:rsid w:val="00292366"/>
    <w:rsid w:val="00292722"/>
    <w:rsid w:val="00292A52"/>
    <w:rsid w:val="00292AD3"/>
    <w:rsid w:val="00292E16"/>
    <w:rsid w:val="002937C6"/>
    <w:rsid w:val="00293941"/>
    <w:rsid w:val="00293A41"/>
    <w:rsid w:val="00293FF7"/>
    <w:rsid w:val="002942D2"/>
    <w:rsid w:val="00294326"/>
    <w:rsid w:val="00294373"/>
    <w:rsid w:val="002944F1"/>
    <w:rsid w:val="00294604"/>
    <w:rsid w:val="0029471B"/>
    <w:rsid w:val="00294803"/>
    <w:rsid w:val="002949AB"/>
    <w:rsid w:val="00294C89"/>
    <w:rsid w:val="00295744"/>
    <w:rsid w:val="00295901"/>
    <w:rsid w:val="00295BD2"/>
    <w:rsid w:val="00295CA1"/>
    <w:rsid w:val="00295D5B"/>
    <w:rsid w:val="00295DFA"/>
    <w:rsid w:val="00295E70"/>
    <w:rsid w:val="00295E99"/>
    <w:rsid w:val="00295F94"/>
    <w:rsid w:val="00295FE8"/>
    <w:rsid w:val="00296052"/>
    <w:rsid w:val="00296560"/>
    <w:rsid w:val="0029660A"/>
    <w:rsid w:val="00296787"/>
    <w:rsid w:val="0029695D"/>
    <w:rsid w:val="0029712E"/>
    <w:rsid w:val="00297B15"/>
    <w:rsid w:val="00297C81"/>
    <w:rsid w:val="00297EF9"/>
    <w:rsid w:val="002A00F1"/>
    <w:rsid w:val="002A0121"/>
    <w:rsid w:val="002A0145"/>
    <w:rsid w:val="002A0751"/>
    <w:rsid w:val="002A0785"/>
    <w:rsid w:val="002A0CE4"/>
    <w:rsid w:val="002A12F9"/>
    <w:rsid w:val="002A13DC"/>
    <w:rsid w:val="002A14E1"/>
    <w:rsid w:val="002A19F3"/>
    <w:rsid w:val="002A23C2"/>
    <w:rsid w:val="002A23C4"/>
    <w:rsid w:val="002A2440"/>
    <w:rsid w:val="002A25B8"/>
    <w:rsid w:val="002A26A2"/>
    <w:rsid w:val="002A29FD"/>
    <w:rsid w:val="002A2C7C"/>
    <w:rsid w:val="002A2DE8"/>
    <w:rsid w:val="002A2EF2"/>
    <w:rsid w:val="002A366C"/>
    <w:rsid w:val="002A38C1"/>
    <w:rsid w:val="002A45F9"/>
    <w:rsid w:val="002A467C"/>
    <w:rsid w:val="002A4687"/>
    <w:rsid w:val="002A491E"/>
    <w:rsid w:val="002A4B15"/>
    <w:rsid w:val="002A4B59"/>
    <w:rsid w:val="002A4CB1"/>
    <w:rsid w:val="002A5824"/>
    <w:rsid w:val="002A5922"/>
    <w:rsid w:val="002A6116"/>
    <w:rsid w:val="002A61E0"/>
    <w:rsid w:val="002A6304"/>
    <w:rsid w:val="002A63AF"/>
    <w:rsid w:val="002A69CF"/>
    <w:rsid w:val="002A6A43"/>
    <w:rsid w:val="002A6BFB"/>
    <w:rsid w:val="002A7065"/>
    <w:rsid w:val="002A7135"/>
    <w:rsid w:val="002A7250"/>
    <w:rsid w:val="002A730D"/>
    <w:rsid w:val="002A788B"/>
    <w:rsid w:val="002A7B72"/>
    <w:rsid w:val="002A7C31"/>
    <w:rsid w:val="002A7C52"/>
    <w:rsid w:val="002A7F84"/>
    <w:rsid w:val="002B00F2"/>
    <w:rsid w:val="002B0310"/>
    <w:rsid w:val="002B068E"/>
    <w:rsid w:val="002B0712"/>
    <w:rsid w:val="002B0724"/>
    <w:rsid w:val="002B0734"/>
    <w:rsid w:val="002B0B12"/>
    <w:rsid w:val="002B0FD8"/>
    <w:rsid w:val="002B11EB"/>
    <w:rsid w:val="002B1402"/>
    <w:rsid w:val="002B1418"/>
    <w:rsid w:val="002B1771"/>
    <w:rsid w:val="002B1972"/>
    <w:rsid w:val="002B19FF"/>
    <w:rsid w:val="002B1AD1"/>
    <w:rsid w:val="002B20AD"/>
    <w:rsid w:val="002B231B"/>
    <w:rsid w:val="002B2345"/>
    <w:rsid w:val="002B2359"/>
    <w:rsid w:val="002B2679"/>
    <w:rsid w:val="002B275D"/>
    <w:rsid w:val="002B290C"/>
    <w:rsid w:val="002B29CB"/>
    <w:rsid w:val="002B2BC0"/>
    <w:rsid w:val="002B2D2C"/>
    <w:rsid w:val="002B2E2A"/>
    <w:rsid w:val="002B3426"/>
    <w:rsid w:val="002B3445"/>
    <w:rsid w:val="002B3D75"/>
    <w:rsid w:val="002B3D8D"/>
    <w:rsid w:val="002B41FD"/>
    <w:rsid w:val="002B46FD"/>
    <w:rsid w:val="002B47C9"/>
    <w:rsid w:val="002B4E57"/>
    <w:rsid w:val="002B4F4C"/>
    <w:rsid w:val="002B53B1"/>
    <w:rsid w:val="002B5A66"/>
    <w:rsid w:val="002B5B50"/>
    <w:rsid w:val="002B5B6E"/>
    <w:rsid w:val="002B5E92"/>
    <w:rsid w:val="002B5ED7"/>
    <w:rsid w:val="002B611C"/>
    <w:rsid w:val="002B6896"/>
    <w:rsid w:val="002B6ABE"/>
    <w:rsid w:val="002B6CFC"/>
    <w:rsid w:val="002B6DFF"/>
    <w:rsid w:val="002B6E3F"/>
    <w:rsid w:val="002B7643"/>
    <w:rsid w:val="002C030C"/>
    <w:rsid w:val="002C048B"/>
    <w:rsid w:val="002C057E"/>
    <w:rsid w:val="002C0FE4"/>
    <w:rsid w:val="002C147F"/>
    <w:rsid w:val="002C1502"/>
    <w:rsid w:val="002C160A"/>
    <w:rsid w:val="002C16DD"/>
    <w:rsid w:val="002C18DD"/>
    <w:rsid w:val="002C1E2F"/>
    <w:rsid w:val="002C201D"/>
    <w:rsid w:val="002C2066"/>
    <w:rsid w:val="002C219D"/>
    <w:rsid w:val="002C2A53"/>
    <w:rsid w:val="002C2B61"/>
    <w:rsid w:val="002C2C48"/>
    <w:rsid w:val="002C2CE0"/>
    <w:rsid w:val="002C30D0"/>
    <w:rsid w:val="002C33A2"/>
    <w:rsid w:val="002C3941"/>
    <w:rsid w:val="002C3A2B"/>
    <w:rsid w:val="002C48B5"/>
    <w:rsid w:val="002C499E"/>
    <w:rsid w:val="002C4B3A"/>
    <w:rsid w:val="002C4EC8"/>
    <w:rsid w:val="002C5A75"/>
    <w:rsid w:val="002C5A76"/>
    <w:rsid w:val="002C5D96"/>
    <w:rsid w:val="002C5E11"/>
    <w:rsid w:val="002C64B0"/>
    <w:rsid w:val="002C6672"/>
    <w:rsid w:val="002C66BE"/>
    <w:rsid w:val="002C67A6"/>
    <w:rsid w:val="002C67C0"/>
    <w:rsid w:val="002C6A7E"/>
    <w:rsid w:val="002C6E0F"/>
    <w:rsid w:val="002C7404"/>
    <w:rsid w:val="002C7692"/>
    <w:rsid w:val="002D0799"/>
    <w:rsid w:val="002D08E7"/>
    <w:rsid w:val="002D0EDB"/>
    <w:rsid w:val="002D0F8B"/>
    <w:rsid w:val="002D16C9"/>
    <w:rsid w:val="002D1880"/>
    <w:rsid w:val="002D1C16"/>
    <w:rsid w:val="002D1EE8"/>
    <w:rsid w:val="002D2C7F"/>
    <w:rsid w:val="002D2FDC"/>
    <w:rsid w:val="002D330E"/>
    <w:rsid w:val="002D3374"/>
    <w:rsid w:val="002D359B"/>
    <w:rsid w:val="002D35EC"/>
    <w:rsid w:val="002D39F8"/>
    <w:rsid w:val="002D3BF2"/>
    <w:rsid w:val="002D46BA"/>
    <w:rsid w:val="002D491B"/>
    <w:rsid w:val="002D49C9"/>
    <w:rsid w:val="002D53C0"/>
    <w:rsid w:val="002D5469"/>
    <w:rsid w:val="002D54A5"/>
    <w:rsid w:val="002D59FF"/>
    <w:rsid w:val="002D5CBC"/>
    <w:rsid w:val="002D61B8"/>
    <w:rsid w:val="002D6685"/>
    <w:rsid w:val="002D6F99"/>
    <w:rsid w:val="002D7114"/>
    <w:rsid w:val="002D715F"/>
    <w:rsid w:val="002D738A"/>
    <w:rsid w:val="002D7957"/>
    <w:rsid w:val="002D7A91"/>
    <w:rsid w:val="002D7C23"/>
    <w:rsid w:val="002D7DA4"/>
    <w:rsid w:val="002D7E48"/>
    <w:rsid w:val="002D7ED7"/>
    <w:rsid w:val="002E00AC"/>
    <w:rsid w:val="002E0329"/>
    <w:rsid w:val="002E0A46"/>
    <w:rsid w:val="002E0B8B"/>
    <w:rsid w:val="002E0BC9"/>
    <w:rsid w:val="002E1468"/>
    <w:rsid w:val="002E14B9"/>
    <w:rsid w:val="002E1848"/>
    <w:rsid w:val="002E1ADC"/>
    <w:rsid w:val="002E1BEE"/>
    <w:rsid w:val="002E1D3F"/>
    <w:rsid w:val="002E2585"/>
    <w:rsid w:val="002E272B"/>
    <w:rsid w:val="002E293E"/>
    <w:rsid w:val="002E2A20"/>
    <w:rsid w:val="002E3444"/>
    <w:rsid w:val="002E35F0"/>
    <w:rsid w:val="002E383D"/>
    <w:rsid w:val="002E3D73"/>
    <w:rsid w:val="002E41EB"/>
    <w:rsid w:val="002E48E5"/>
    <w:rsid w:val="002E4FAC"/>
    <w:rsid w:val="002E5279"/>
    <w:rsid w:val="002E56A8"/>
    <w:rsid w:val="002E5778"/>
    <w:rsid w:val="002E5C8E"/>
    <w:rsid w:val="002E5FE3"/>
    <w:rsid w:val="002E607D"/>
    <w:rsid w:val="002E6421"/>
    <w:rsid w:val="002E68FE"/>
    <w:rsid w:val="002E6CD5"/>
    <w:rsid w:val="002E7897"/>
    <w:rsid w:val="002E7B18"/>
    <w:rsid w:val="002F01CD"/>
    <w:rsid w:val="002F01DF"/>
    <w:rsid w:val="002F06D8"/>
    <w:rsid w:val="002F07C4"/>
    <w:rsid w:val="002F0980"/>
    <w:rsid w:val="002F0BFD"/>
    <w:rsid w:val="002F108C"/>
    <w:rsid w:val="002F112A"/>
    <w:rsid w:val="002F1580"/>
    <w:rsid w:val="002F16A1"/>
    <w:rsid w:val="002F1E6C"/>
    <w:rsid w:val="002F2255"/>
    <w:rsid w:val="002F2519"/>
    <w:rsid w:val="002F2870"/>
    <w:rsid w:val="002F28A2"/>
    <w:rsid w:val="002F28E3"/>
    <w:rsid w:val="002F2978"/>
    <w:rsid w:val="002F2ABF"/>
    <w:rsid w:val="002F2D8D"/>
    <w:rsid w:val="002F3339"/>
    <w:rsid w:val="002F342A"/>
    <w:rsid w:val="002F3A9B"/>
    <w:rsid w:val="002F3C1E"/>
    <w:rsid w:val="002F4244"/>
    <w:rsid w:val="002F4588"/>
    <w:rsid w:val="002F4D29"/>
    <w:rsid w:val="002F56CB"/>
    <w:rsid w:val="002F56EA"/>
    <w:rsid w:val="002F58F8"/>
    <w:rsid w:val="002F595C"/>
    <w:rsid w:val="002F5E03"/>
    <w:rsid w:val="002F5EA8"/>
    <w:rsid w:val="002F656E"/>
    <w:rsid w:val="002F69C2"/>
    <w:rsid w:val="002F6A8F"/>
    <w:rsid w:val="002F71CF"/>
    <w:rsid w:val="002F75D9"/>
    <w:rsid w:val="002F7858"/>
    <w:rsid w:val="002F7CD8"/>
    <w:rsid w:val="002F7D7F"/>
    <w:rsid w:val="00300253"/>
    <w:rsid w:val="00300346"/>
    <w:rsid w:val="00300CD4"/>
    <w:rsid w:val="00300FF1"/>
    <w:rsid w:val="00300FF8"/>
    <w:rsid w:val="00301167"/>
    <w:rsid w:val="00301386"/>
    <w:rsid w:val="003016C0"/>
    <w:rsid w:val="003017E6"/>
    <w:rsid w:val="00301803"/>
    <w:rsid w:val="0030195B"/>
    <w:rsid w:val="00302472"/>
    <w:rsid w:val="00302547"/>
    <w:rsid w:val="00302549"/>
    <w:rsid w:val="00302A3D"/>
    <w:rsid w:val="00302B85"/>
    <w:rsid w:val="00302ED6"/>
    <w:rsid w:val="003030A3"/>
    <w:rsid w:val="003030A4"/>
    <w:rsid w:val="0030398A"/>
    <w:rsid w:val="00303AFD"/>
    <w:rsid w:val="00303B99"/>
    <w:rsid w:val="00303DD1"/>
    <w:rsid w:val="00303F93"/>
    <w:rsid w:val="00303FA8"/>
    <w:rsid w:val="003041DC"/>
    <w:rsid w:val="00304740"/>
    <w:rsid w:val="0030476D"/>
    <w:rsid w:val="00304C34"/>
    <w:rsid w:val="00304FA7"/>
    <w:rsid w:val="003050D1"/>
    <w:rsid w:val="003052F2"/>
    <w:rsid w:val="00305721"/>
    <w:rsid w:val="00305934"/>
    <w:rsid w:val="00305A26"/>
    <w:rsid w:val="003068F6"/>
    <w:rsid w:val="00306B16"/>
    <w:rsid w:val="00306B1B"/>
    <w:rsid w:val="00306EC3"/>
    <w:rsid w:val="003072CA"/>
    <w:rsid w:val="00307334"/>
    <w:rsid w:val="00307664"/>
    <w:rsid w:val="00307AB7"/>
    <w:rsid w:val="00307DA1"/>
    <w:rsid w:val="0031016E"/>
    <w:rsid w:val="00310221"/>
    <w:rsid w:val="00310386"/>
    <w:rsid w:val="0031057A"/>
    <w:rsid w:val="003107E4"/>
    <w:rsid w:val="00310805"/>
    <w:rsid w:val="0031093A"/>
    <w:rsid w:val="00310A77"/>
    <w:rsid w:val="0031155D"/>
    <w:rsid w:val="00311575"/>
    <w:rsid w:val="00311595"/>
    <w:rsid w:val="00311803"/>
    <w:rsid w:val="0031180A"/>
    <w:rsid w:val="00311887"/>
    <w:rsid w:val="00311BCD"/>
    <w:rsid w:val="00311C48"/>
    <w:rsid w:val="00311D4F"/>
    <w:rsid w:val="0031207D"/>
    <w:rsid w:val="00312154"/>
    <w:rsid w:val="0031222E"/>
    <w:rsid w:val="00312768"/>
    <w:rsid w:val="00312ADC"/>
    <w:rsid w:val="00312EA5"/>
    <w:rsid w:val="00313033"/>
    <w:rsid w:val="00313BE7"/>
    <w:rsid w:val="00313C2F"/>
    <w:rsid w:val="00313C7A"/>
    <w:rsid w:val="00313FFB"/>
    <w:rsid w:val="00314BC5"/>
    <w:rsid w:val="00314D63"/>
    <w:rsid w:val="00314E96"/>
    <w:rsid w:val="00315299"/>
    <w:rsid w:val="00315A46"/>
    <w:rsid w:val="00315F9A"/>
    <w:rsid w:val="0031683C"/>
    <w:rsid w:val="003169D2"/>
    <w:rsid w:val="00316A61"/>
    <w:rsid w:val="00316A7C"/>
    <w:rsid w:val="00316E78"/>
    <w:rsid w:val="00316FBB"/>
    <w:rsid w:val="00317839"/>
    <w:rsid w:val="0031790C"/>
    <w:rsid w:val="00317A18"/>
    <w:rsid w:val="00317C6B"/>
    <w:rsid w:val="00317F8B"/>
    <w:rsid w:val="0032005E"/>
    <w:rsid w:val="00320247"/>
    <w:rsid w:val="003205C7"/>
    <w:rsid w:val="003207FC"/>
    <w:rsid w:val="0032094F"/>
    <w:rsid w:val="00320FE1"/>
    <w:rsid w:val="003213CC"/>
    <w:rsid w:val="003215D1"/>
    <w:rsid w:val="00321BB5"/>
    <w:rsid w:val="00322056"/>
    <w:rsid w:val="00322076"/>
    <w:rsid w:val="003227D0"/>
    <w:rsid w:val="00322816"/>
    <w:rsid w:val="0032298C"/>
    <w:rsid w:val="00323067"/>
    <w:rsid w:val="0032321E"/>
    <w:rsid w:val="003236C8"/>
    <w:rsid w:val="00323814"/>
    <w:rsid w:val="00323918"/>
    <w:rsid w:val="00323A34"/>
    <w:rsid w:val="00323F3E"/>
    <w:rsid w:val="00324566"/>
    <w:rsid w:val="00324675"/>
    <w:rsid w:val="003246AD"/>
    <w:rsid w:val="00324838"/>
    <w:rsid w:val="00324AD4"/>
    <w:rsid w:val="00324C78"/>
    <w:rsid w:val="00324F2C"/>
    <w:rsid w:val="00324FB9"/>
    <w:rsid w:val="00325008"/>
    <w:rsid w:val="00325094"/>
    <w:rsid w:val="00325333"/>
    <w:rsid w:val="00325AAB"/>
    <w:rsid w:val="0032629C"/>
    <w:rsid w:val="0032693D"/>
    <w:rsid w:val="00326C22"/>
    <w:rsid w:val="00326E41"/>
    <w:rsid w:val="0032702E"/>
    <w:rsid w:val="00327202"/>
    <w:rsid w:val="0032723B"/>
    <w:rsid w:val="003273C6"/>
    <w:rsid w:val="003275E0"/>
    <w:rsid w:val="00327B6D"/>
    <w:rsid w:val="00327E51"/>
    <w:rsid w:val="00327EDD"/>
    <w:rsid w:val="003303A0"/>
    <w:rsid w:val="0033048D"/>
    <w:rsid w:val="0033063E"/>
    <w:rsid w:val="003308CF"/>
    <w:rsid w:val="003309F8"/>
    <w:rsid w:val="00330B3B"/>
    <w:rsid w:val="00330F70"/>
    <w:rsid w:val="0033118C"/>
    <w:rsid w:val="00331259"/>
    <w:rsid w:val="00331AF3"/>
    <w:rsid w:val="00331B9E"/>
    <w:rsid w:val="00331C3B"/>
    <w:rsid w:val="00331E2C"/>
    <w:rsid w:val="00331E60"/>
    <w:rsid w:val="00332004"/>
    <w:rsid w:val="00332113"/>
    <w:rsid w:val="00332537"/>
    <w:rsid w:val="00332716"/>
    <w:rsid w:val="00332777"/>
    <w:rsid w:val="00332E18"/>
    <w:rsid w:val="00332FAA"/>
    <w:rsid w:val="00333419"/>
    <w:rsid w:val="00333533"/>
    <w:rsid w:val="003337AF"/>
    <w:rsid w:val="00333B44"/>
    <w:rsid w:val="00333DA9"/>
    <w:rsid w:val="00333E46"/>
    <w:rsid w:val="00334296"/>
    <w:rsid w:val="003342B3"/>
    <w:rsid w:val="00334333"/>
    <w:rsid w:val="003343F5"/>
    <w:rsid w:val="00334F0D"/>
    <w:rsid w:val="003357BD"/>
    <w:rsid w:val="00335C0D"/>
    <w:rsid w:val="00336091"/>
    <w:rsid w:val="003360DC"/>
    <w:rsid w:val="003361AB"/>
    <w:rsid w:val="003361D1"/>
    <w:rsid w:val="003363D1"/>
    <w:rsid w:val="00336911"/>
    <w:rsid w:val="00336A19"/>
    <w:rsid w:val="00336A34"/>
    <w:rsid w:val="0033725D"/>
    <w:rsid w:val="003373DB"/>
    <w:rsid w:val="003375A5"/>
    <w:rsid w:val="003377D5"/>
    <w:rsid w:val="00337992"/>
    <w:rsid w:val="00337F47"/>
    <w:rsid w:val="00340550"/>
    <w:rsid w:val="003407BE"/>
    <w:rsid w:val="003414FD"/>
    <w:rsid w:val="00341AC2"/>
    <w:rsid w:val="00341F65"/>
    <w:rsid w:val="00341FB4"/>
    <w:rsid w:val="003423DF"/>
    <w:rsid w:val="00342631"/>
    <w:rsid w:val="0034280B"/>
    <w:rsid w:val="00342B3B"/>
    <w:rsid w:val="00343049"/>
    <w:rsid w:val="003433A7"/>
    <w:rsid w:val="00343466"/>
    <w:rsid w:val="003435B1"/>
    <w:rsid w:val="003436BC"/>
    <w:rsid w:val="00343ECB"/>
    <w:rsid w:val="00343F05"/>
    <w:rsid w:val="00344228"/>
    <w:rsid w:val="003447FD"/>
    <w:rsid w:val="00344F13"/>
    <w:rsid w:val="00345115"/>
    <w:rsid w:val="003455A0"/>
    <w:rsid w:val="003455E2"/>
    <w:rsid w:val="00345F7C"/>
    <w:rsid w:val="00345FE3"/>
    <w:rsid w:val="00345FE4"/>
    <w:rsid w:val="0034632D"/>
    <w:rsid w:val="0034661D"/>
    <w:rsid w:val="003466A8"/>
    <w:rsid w:val="003467EF"/>
    <w:rsid w:val="00346A3E"/>
    <w:rsid w:val="00346E13"/>
    <w:rsid w:val="00346F3C"/>
    <w:rsid w:val="00347063"/>
    <w:rsid w:val="003470E2"/>
    <w:rsid w:val="00347133"/>
    <w:rsid w:val="0034718B"/>
    <w:rsid w:val="00347409"/>
    <w:rsid w:val="00347446"/>
    <w:rsid w:val="00347A63"/>
    <w:rsid w:val="00347D54"/>
    <w:rsid w:val="00350184"/>
    <w:rsid w:val="00350599"/>
    <w:rsid w:val="00350636"/>
    <w:rsid w:val="003506DF"/>
    <w:rsid w:val="00350B42"/>
    <w:rsid w:val="00350FD9"/>
    <w:rsid w:val="0035130A"/>
    <w:rsid w:val="003525E9"/>
    <w:rsid w:val="00352676"/>
    <w:rsid w:val="00352692"/>
    <w:rsid w:val="003529E2"/>
    <w:rsid w:val="00352B5B"/>
    <w:rsid w:val="00352FFF"/>
    <w:rsid w:val="00353066"/>
    <w:rsid w:val="00353222"/>
    <w:rsid w:val="00353313"/>
    <w:rsid w:val="00353556"/>
    <w:rsid w:val="0035366A"/>
    <w:rsid w:val="0035386E"/>
    <w:rsid w:val="00353EC9"/>
    <w:rsid w:val="003540B2"/>
    <w:rsid w:val="0035429A"/>
    <w:rsid w:val="00354559"/>
    <w:rsid w:val="003545DC"/>
    <w:rsid w:val="00354612"/>
    <w:rsid w:val="003546FD"/>
    <w:rsid w:val="003547C5"/>
    <w:rsid w:val="00354AB2"/>
    <w:rsid w:val="00354C1E"/>
    <w:rsid w:val="00354D57"/>
    <w:rsid w:val="00354DB9"/>
    <w:rsid w:val="00354F7A"/>
    <w:rsid w:val="00355293"/>
    <w:rsid w:val="003556D6"/>
    <w:rsid w:val="00355906"/>
    <w:rsid w:val="00355A5A"/>
    <w:rsid w:val="00355D4B"/>
    <w:rsid w:val="00355E96"/>
    <w:rsid w:val="00356009"/>
    <w:rsid w:val="003560D6"/>
    <w:rsid w:val="00356976"/>
    <w:rsid w:val="00356AE5"/>
    <w:rsid w:val="00356B91"/>
    <w:rsid w:val="0035707B"/>
    <w:rsid w:val="00357980"/>
    <w:rsid w:val="00357986"/>
    <w:rsid w:val="00360667"/>
    <w:rsid w:val="003606C2"/>
    <w:rsid w:val="00360A4C"/>
    <w:rsid w:val="003611A0"/>
    <w:rsid w:val="00361666"/>
    <w:rsid w:val="0036194D"/>
    <w:rsid w:val="00361A26"/>
    <w:rsid w:val="00361CF6"/>
    <w:rsid w:val="003622C2"/>
    <w:rsid w:val="003628B5"/>
    <w:rsid w:val="003628E2"/>
    <w:rsid w:val="003629ED"/>
    <w:rsid w:val="00362F18"/>
    <w:rsid w:val="00363066"/>
    <w:rsid w:val="00363226"/>
    <w:rsid w:val="003635F3"/>
    <w:rsid w:val="003637AF"/>
    <w:rsid w:val="00363AD3"/>
    <w:rsid w:val="0036426B"/>
    <w:rsid w:val="00364686"/>
    <w:rsid w:val="0036468B"/>
    <w:rsid w:val="003654D8"/>
    <w:rsid w:val="00365604"/>
    <w:rsid w:val="003658B8"/>
    <w:rsid w:val="00365AAA"/>
    <w:rsid w:val="00365B3F"/>
    <w:rsid w:val="0036605E"/>
    <w:rsid w:val="003662B2"/>
    <w:rsid w:val="003666F5"/>
    <w:rsid w:val="00366C2F"/>
    <w:rsid w:val="00366E9F"/>
    <w:rsid w:val="00367017"/>
    <w:rsid w:val="003670DD"/>
    <w:rsid w:val="00367129"/>
    <w:rsid w:val="0036718C"/>
    <w:rsid w:val="003671AF"/>
    <w:rsid w:val="00367494"/>
    <w:rsid w:val="0036797A"/>
    <w:rsid w:val="00367CA9"/>
    <w:rsid w:val="003701E0"/>
    <w:rsid w:val="00370635"/>
    <w:rsid w:val="00370989"/>
    <w:rsid w:val="00370EAA"/>
    <w:rsid w:val="003711FF"/>
    <w:rsid w:val="00371891"/>
    <w:rsid w:val="00371920"/>
    <w:rsid w:val="00371CB3"/>
    <w:rsid w:val="00371D0E"/>
    <w:rsid w:val="00371EE9"/>
    <w:rsid w:val="003726A1"/>
    <w:rsid w:val="003728D6"/>
    <w:rsid w:val="00372958"/>
    <w:rsid w:val="00372A4A"/>
    <w:rsid w:val="00372A8D"/>
    <w:rsid w:val="00372B16"/>
    <w:rsid w:val="00372CC1"/>
    <w:rsid w:val="00372E32"/>
    <w:rsid w:val="0037307C"/>
    <w:rsid w:val="0037370E"/>
    <w:rsid w:val="00373E10"/>
    <w:rsid w:val="00373FF5"/>
    <w:rsid w:val="003740A4"/>
    <w:rsid w:val="003742AC"/>
    <w:rsid w:val="003744E7"/>
    <w:rsid w:val="0037478E"/>
    <w:rsid w:val="00374C38"/>
    <w:rsid w:val="00374EB2"/>
    <w:rsid w:val="00375457"/>
    <w:rsid w:val="0037556B"/>
    <w:rsid w:val="0037571F"/>
    <w:rsid w:val="003758D5"/>
    <w:rsid w:val="003758F1"/>
    <w:rsid w:val="00375BF3"/>
    <w:rsid w:val="00375CEF"/>
    <w:rsid w:val="00375D62"/>
    <w:rsid w:val="00376379"/>
    <w:rsid w:val="00376572"/>
    <w:rsid w:val="00376945"/>
    <w:rsid w:val="00376B53"/>
    <w:rsid w:val="00376E1D"/>
    <w:rsid w:val="00376EA4"/>
    <w:rsid w:val="00376F73"/>
    <w:rsid w:val="00376F8B"/>
    <w:rsid w:val="003771BB"/>
    <w:rsid w:val="003775FB"/>
    <w:rsid w:val="00377A99"/>
    <w:rsid w:val="00377D4B"/>
    <w:rsid w:val="00377DF2"/>
    <w:rsid w:val="00380006"/>
    <w:rsid w:val="003800C2"/>
    <w:rsid w:val="00381247"/>
    <w:rsid w:val="003812AA"/>
    <w:rsid w:val="003816B7"/>
    <w:rsid w:val="003818D4"/>
    <w:rsid w:val="00381970"/>
    <w:rsid w:val="00381A96"/>
    <w:rsid w:val="00381B3B"/>
    <w:rsid w:val="00381BCF"/>
    <w:rsid w:val="00381BDA"/>
    <w:rsid w:val="0038268E"/>
    <w:rsid w:val="003829E4"/>
    <w:rsid w:val="003830FB"/>
    <w:rsid w:val="003831C9"/>
    <w:rsid w:val="003836CD"/>
    <w:rsid w:val="00384057"/>
    <w:rsid w:val="003841A8"/>
    <w:rsid w:val="003841AB"/>
    <w:rsid w:val="0038422B"/>
    <w:rsid w:val="0038441A"/>
    <w:rsid w:val="003847FD"/>
    <w:rsid w:val="00384A4D"/>
    <w:rsid w:val="00385016"/>
    <w:rsid w:val="00385244"/>
    <w:rsid w:val="00385357"/>
    <w:rsid w:val="003853BE"/>
    <w:rsid w:val="00385595"/>
    <w:rsid w:val="003857E5"/>
    <w:rsid w:val="00385A7A"/>
    <w:rsid w:val="00385D1D"/>
    <w:rsid w:val="00385DD3"/>
    <w:rsid w:val="0038602E"/>
    <w:rsid w:val="00386072"/>
    <w:rsid w:val="00386690"/>
    <w:rsid w:val="00386874"/>
    <w:rsid w:val="0038694B"/>
    <w:rsid w:val="00386B3D"/>
    <w:rsid w:val="00387374"/>
    <w:rsid w:val="003873DC"/>
    <w:rsid w:val="00390207"/>
    <w:rsid w:val="00390278"/>
    <w:rsid w:val="003903A1"/>
    <w:rsid w:val="00391095"/>
    <w:rsid w:val="003912BE"/>
    <w:rsid w:val="003914BA"/>
    <w:rsid w:val="0039156D"/>
    <w:rsid w:val="003915D1"/>
    <w:rsid w:val="003915DF"/>
    <w:rsid w:val="00391765"/>
    <w:rsid w:val="00391AB6"/>
    <w:rsid w:val="00391FA8"/>
    <w:rsid w:val="003924EE"/>
    <w:rsid w:val="00392B4C"/>
    <w:rsid w:val="0039317A"/>
    <w:rsid w:val="003931FD"/>
    <w:rsid w:val="003934DA"/>
    <w:rsid w:val="0039391A"/>
    <w:rsid w:val="00393A90"/>
    <w:rsid w:val="00394F31"/>
    <w:rsid w:val="003951BF"/>
    <w:rsid w:val="003951D4"/>
    <w:rsid w:val="00395408"/>
    <w:rsid w:val="0039559E"/>
    <w:rsid w:val="00395756"/>
    <w:rsid w:val="0039585F"/>
    <w:rsid w:val="00395A5A"/>
    <w:rsid w:val="00395B29"/>
    <w:rsid w:val="003961B4"/>
    <w:rsid w:val="00396996"/>
    <w:rsid w:val="00396A4B"/>
    <w:rsid w:val="00396E4F"/>
    <w:rsid w:val="00397153"/>
    <w:rsid w:val="003971B5"/>
    <w:rsid w:val="003972F4"/>
    <w:rsid w:val="003974FE"/>
    <w:rsid w:val="003A0BBF"/>
    <w:rsid w:val="003A0CC5"/>
    <w:rsid w:val="003A10D3"/>
    <w:rsid w:val="003A1306"/>
    <w:rsid w:val="003A1654"/>
    <w:rsid w:val="003A1CB9"/>
    <w:rsid w:val="003A1CDB"/>
    <w:rsid w:val="003A1DA6"/>
    <w:rsid w:val="003A1EF8"/>
    <w:rsid w:val="003A25FE"/>
    <w:rsid w:val="003A26CE"/>
    <w:rsid w:val="003A2B7A"/>
    <w:rsid w:val="003A320C"/>
    <w:rsid w:val="003A3379"/>
    <w:rsid w:val="003A35D2"/>
    <w:rsid w:val="003A391C"/>
    <w:rsid w:val="003A394A"/>
    <w:rsid w:val="003A396B"/>
    <w:rsid w:val="003A3A46"/>
    <w:rsid w:val="003A3D9B"/>
    <w:rsid w:val="003A3EF2"/>
    <w:rsid w:val="003A42A5"/>
    <w:rsid w:val="003A48F5"/>
    <w:rsid w:val="003A4A78"/>
    <w:rsid w:val="003A4AB0"/>
    <w:rsid w:val="003A4C64"/>
    <w:rsid w:val="003A4D92"/>
    <w:rsid w:val="003A5464"/>
    <w:rsid w:val="003A5691"/>
    <w:rsid w:val="003A5A45"/>
    <w:rsid w:val="003A5F3C"/>
    <w:rsid w:val="003A606D"/>
    <w:rsid w:val="003A64B9"/>
    <w:rsid w:val="003A6690"/>
    <w:rsid w:val="003A7067"/>
    <w:rsid w:val="003A72B1"/>
    <w:rsid w:val="003A7491"/>
    <w:rsid w:val="003A762B"/>
    <w:rsid w:val="003A7682"/>
    <w:rsid w:val="003A78AF"/>
    <w:rsid w:val="003A795B"/>
    <w:rsid w:val="003A7DDA"/>
    <w:rsid w:val="003A7E33"/>
    <w:rsid w:val="003B0684"/>
    <w:rsid w:val="003B08B5"/>
    <w:rsid w:val="003B0C57"/>
    <w:rsid w:val="003B0DEC"/>
    <w:rsid w:val="003B0EE7"/>
    <w:rsid w:val="003B11CA"/>
    <w:rsid w:val="003B1855"/>
    <w:rsid w:val="003B1B21"/>
    <w:rsid w:val="003B1B7D"/>
    <w:rsid w:val="003B1D24"/>
    <w:rsid w:val="003B2019"/>
    <w:rsid w:val="003B2188"/>
    <w:rsid w:val="003B222A"/>
    <w:rsid w:val="003B22D3"/>
    <w:rsid w:val="003B24EC"/>
    <w:rsid w:val="003B25FF"/>
    <w:rsid w:val="003B2BF8"/>
    <w:rsid w:val="003B2C82"/>
    <w:rsid w:val="003B3089"/>
    <w:rsid w:val="003B309F"/>
    <w:rsid w:val="003B3225"/>
    <w:rsid w:val="003B3264"/>
    <w:rsid w:val="003B34A2"/>
    <w:rsid w:val="003B37A7"/>
    <w:rsid w:val="003B37F1"/>
    <w:rsid w:val="003B3F66"/>
    <w:rsid w:val="003B4350"/>
    <w:rsid w:val="003B46D2"/>
    <w:rsid w:val="003B4874"/>
    <w:rsid w:val="003B4C68"/>
    <w:rsid w:val="003B5675"/>
    <w:rsid w:val="003B5852"/>
    <w:rsid w:val="003B5B5D"/>
    <w:rsid w:val="003B5F46"/>
    <w:rsid w:val="003B6446"/>
    <w:rsid w:val="003B6F44"/>
    <w:rsid w:val="003B721C"/>
    <w:rsid w:val="003B7257"/>
    <w:rsid w:val="003B72A4"/>
    <w:rsid w:val="003B7423"/>
    <w:rsid w:val="003B74F7"/>
    <w:rsid w:val="003B7B79"/>
    <w:rsid w:val="003B7B99"/>
    <w:rsid w:val="003C009C"/>
    <w:rsid w:val="003C01B6"/>
    <w:rsid w:val="003C01DB"/>
    <w:rsid w:val="003C05B6"/>
    <w:rsid w:val="003C0B21"/>
    <w:rsid w:val="003C0B85"/>
    <w:rsid w:val="003C0CC3"/>
    <w:rsid w:val="003C14DC"/>
    <w:rsid w:val="003C1560"/>
    <w:rsid w:val="003C1824"/>
    <w:rsid w:val="003C1ABF"/>
    <w:rsid w:val="003C1C12"/>
    <w:rsid w:val="003C25EC"/>
    <w:rsid w:val="003C2632"/>
    <w:rsid w:val="003C27A1"/>
    <w:rsid w:val="003C29C9"/>
    <w:rsid w:val="003C2BAD"/>
    <w:rsid w:val="003C3039"/>
    <w:rsid w:val="003C303F"/>
    <w:rsid w:val="003C34E5"/>
    <w:rsid w:val="003C3592"/>
    <w:rsid w:val="003C3F15"/>
    <w:rsid w:val="003C44E0"/>
    <w:rsid w:val="003C4540"/>
    <w:rsid w:val="003C4574"/>
    <w:rsid w:val="003C4835"/>
    <w:rsid w:val="003C4C93"/>
    <w:rsid w:val="003C4CD0"/>
    <w:rsid w:val="003C5449"/>
    <w:rsid w:val="003C568B"/>
    <w:rsid w:val="003C6411"/>
    <w:rsid w:val="003C67AF"/>
    <w:rsid w:val="003C698D"/>
    <w:rsid w:val="003C6AA0"/>
    <w:rsid w:val="003C6DCB"/>
    <w:rsid w:val="003C6EE9"/>
    <w:rsid w:val="003C737F"/>
    <w:rsid w:val="003C7462"/>
    <w:rsid w:val="003C74DB"/>
    <w:rsid w:val="003C74FA"/>
    <w:rsid w:val="003C78D7"/>
    <w:rsid w:val="003C7979"/>
    <w:rsid w:val="003C798F"/>
    <w:rsid w:val="003C7B7C"/>
    <w:rsid w:val="003D02E2"/>
    <w:rsid w:val="003D030C"/>
    <w:rsid w:val="003D073A"/>
    <w:rsid w:val="003D0A36"/>
    <w:rsid w:val="003D0B2F"/>
    <w:rsid w:val="003D0D97"/>
    <w:rsid w:val="003D0EF9"/>
    <w:rsid w:val="003D1629"/>
    <w:rsid w:val="003D1B24"/>
    <w:rsid w:val="003D1DBC"/>
    <w:rsid w:val="003D2299"/>
    <w:rsid w:val="003D2419"/>
    <w:rsid w:val="003D2441"/>
    <w:rsid w:val="003D299E"/>
    <w:rsid w:val="003D2A5D"/>
    <w:rsid w:val="003D2ED3"/>
    <w:rsid w:val="003D31D2"/>
    <w:rsid w:val="003D3564"/>
    <w:rsid w:val="003D36CF"/>
    <w:rsid w:val="003D36FA"/>
    <w:rsid w:val="003D3B86"/>
    <w:rsid w:val="003D3C12"/>
    <w:rsid w:val="003D414B"/>
    <w:rsid w:val="003D4170"/>
    <w:rsid w:val="003D41F8"/>
    <w:rsid w:val="003D43A7"/>
    <w:rsid w:val="003D44CD"/>
    <w:rsid w:val="003D49EA"/>
    <w:rsid w:val="003D4B79"/>
    <w:rsid w:val="003D4D20"/>
    <w:rsid w:val="003D513C"/>
    <w:rsid w:val="003D5540"/>
    <w:rsid w:val="003D5699"/>
    <w:rsid w:val="003D56B9"/>
    <w:rsid w:val="003D5772"/>
    <w:rsid w:val="003D5ADE"/>
    <w:rsid w:val="003D5C2A"/>
    <w:rsid w:val="003D5CB0"/>
    <w:rsid w:val="003D5DFD"/>
    <w:rsid w:val="003D620F"/>
    <w:rsid w:val="003D6514"/>
    <w:rsid w:val="003D6C5D"/>
    <w:rsid w:val="003D721C"/>
    <w:rsid w:val="003D728B"/>
    <w:rsid w:val="003D797E"/>
    <w:rsid w:val="003D7A57"/>
    <w:rsid w:val="003D7D37"/>
    <w:rsid w:val="003D7D9D"/>
    <w:rsid w:val="003E008B"/>
    <w:rsid w:val="003E054C"/>
    <w:rsid w:val="003E05E4"/>
    <w:rsid w:val="003E0740"/>
    <w:rsid w:val="003E0A71"/>
    <w:rsid w:val="003E0CE9"/>
    <w:rsid w:val="003E0DE7"/>
    <w:rsid w:val="003E1213"/>
    <w:rsid w:val="003E13EF"/>
    <w:rsid w:val="003E144D"/>
    <w:rsid w:val="003E14E9"/>
    <w:rsid w:val="003E17D2"/>
    <w:rsid w:val="003E1A60"/>
    <w:rsid w:val="003E1F18"/>
    <w:rsid w:val="003E1F48"/>
    <w:rsid w:val="003E2AC3"/>
    <w:rsid w:val="003E2ACC"/>
    <w:rsid w:val="003E2FAB"/>
    <w:rsid w:val="003E324B"/>
    <w:rsid w:val="003E32F4"/>
    <w:rsid w:val="003E34B1"/>
    <w:rsid w:val="003E387B"/>
    <w:rsid w:val="003E39B2"/>
    <w:rsid w:val="003E3CD6"/>
    <w:rsid w:val="003E3CF3"/>
    <w:rsid w:val="003E3E91"/>
    <w:rsid w:val="003E3FD4"/>
    <w:rsid w:val="003E4147"/>
    <w:rsid w:val="003E4200"/>
    <w:rsid w:val="003E428E"/>
    <w:rsid w:val="003E42ED"/>
    <w:rsid w:val="003E45AE"/>
    <w:rsid w:val="003E4653"/>
    <w:rsid w:val="003E47B5"/>
    <w:rsid w:val="003E4F28"/>
    <w:rsid w:val="003E4F76"/>
    <w:rsid w:val="003E5115"/>
    <w:rsid w:val="003E516C"/>
    <w:rsid w:val="003E5510"/>
    <w:rsid w:val="003E56E1"/>
    <w:rsid w:val="003E58AF"/>
    <w:rsid w:val="003E5901"/>
    <w:rsid w:val="003E5DF4"/>
    <w:rsid w:val="003E6126"/>
    <w:rsid w:val="003E640F"/>
    <w:rsid w:val="003E68FE"/>
    <w:rsid w:val="003E69A2"/>
    <w:rsid w:val="003E72BE"/>
    <w:rsid w:val="003E7311"/>
    <w:rsid w:val="003E77F0"/>
    <w:rsid w:val="003E7900"/>
    <w:rsid w:val="003E7B09"/>
    <w:rsid w:val="003E7FCA"/>
    <w:rsid w:val="003F0096"/>
    <w:rsid w:val="003F0280"/>
    <w:rsid w:val="003F0393"/>
    <w:rsid w:val="003F03A2"/>
    <w:rsid w:val="003F0992"/>
    <w:rsid w:val="003F0B09"/>
    <w:rsid w:val="003F0C10"/>
    <w:rsid w:val="003F0C9B"/>
    <w:rsid w:val="003F0DF2"/>
    <w:rsid w:val="003F1237"/>
    <w:rsid w:val="003F1A43"/>
    <w:rsid w:val="003F1A9B"/>
    <w:rsid w:val="003F1DF4"/>
    <w:rsid w:val="003F231D"/>
    <w:rsid w:val="003F29DF"/>
    <w:rsid w:val="003F2AFC"/>
    <w:rsid w:val="003F2C1A"/>
    <w:rsid w:val="003F3057"/>
    <w:rsid w:val="003F3189"/>
    <w:rsid w:val="003F3657"/>
    <w:rsid w:val="003F3C3E"/>
    <w:rsid w:val="003F3CF5"/>
    <w:rsid w:val="003F3DE7"/>
    <w:rsid w:val="003F3E91"/>
    <w:rsid w:val="003F3F48"/>
    <w:rsid w:val="003F459C"/>
    <w:rsid w:val="003F4746"/>
    <w:rsid w:val="003F5058"/>
    <w:rsid w:val="003F53A0"/>
    <w:rsid w:val="003F54E6"/>
    <w:rsid w:val="003F5E75"/>
    <w:rsid w:val="003F5EDE"/>
    <w:rsid w:val="003F6517"/>
    <w:rsid w:val="003F65D4"/>
    <w:rsid w:val="003F679A"/>
    <w:rsid w:val="003F6D1D"/>
    <w:rsid w:val="003F7153"/>
    <w:rsid w:val="003F7593"/>
    <w:rsid w:val="003F7713"/>
    <w:rsid w:val="003F77A6"/>
    <w:rsid w:val="004000E3"/>
    <w:rsid w:val="0040028E"/>
    <w:rsid w:val="004009C5"/>
    <w:rsid w:val="00400A1E"/>
    <w:rsid w:val="00400A68"/>
    <w:rsid w:val="00400AFC"/>
    <w:rsid w:val="00400DE1"/>
    <w:rsid w:val="00400FBB"/>
    <w:rsid w:val="004012CC"/>
    <w:rsid w:val="004015E5"/>
    <w:rsid w:val="0040160B"/>
    <w:rsid w:val="0040192E"/>
    <w:rsid w:val="00401C72"/>
    <w:rsid w:val="00401E0A"/>
    <w:rsid w:val="0040231E"/>
    <w:rsid w:val="004030AD"/>
    <w:rsid w:val="0040313E"/>
    <w:rsid w:val="004041A6"/>
    <w:rsid w:val="0040479B"/>
    <w:rsid w:val="00404BE6"/>
    <w:rsid w:val="00404BF4"/>
    <w:rsid w:val="00404C54"/>
    <w:rsid w:val="004059D5"/>
    <w:rsid w:val="00405A83"/>
    <w:rsid w:val="00406307"/>
    <w:rsid w:val="004065AC"/>
    <w:rsid w:val="00406695"/>
    <w:rsid w:val="004067EF"/>
    <w:rsid w:val="004069BD"/>
    <w:rsid w:val="00407051"/>
    <w:rsid w:val="0040726C"/>
    <w:rsid w:val="004072A4"/>
    <w:rsid w:val="004072CD"/>
    <w:rsid w:val="004075BC"/>
    <w:rsid w:val="00407696"/>
    <w:rsid w:val="004077B5"/>
    <w:rsid w:val="0040789A"/>
    <w:rsid w:val="00407CD4"/>
    <w:rsid w:val="00410004"/>
    <w:rsid w:val="00410B86"/>
    <w:rsid w:val="00411148"/>
    <w:rsid w:val="00411233"/>
    <w:rsid w:val="00411360"/>
    <w:rsid w:val="0041149E"/>
    <w:rsid w:val="00411C55"/>
    <w:rsid w:val="00411D86"/>
    <w:rsid w:val="00411E50"/>
    <w:rsid w:val="0041207B"/>
    <w:rsid w:val="00412098"/>
    <w:rsid w:val="004120DE"/>
    <w:rsid w:val="0041261E"/>
    <w:rsid w:val="00412766"/>
    <w:rsid w:val="00412AEB"/>
    <w:rsid w:val="00412CB9"/>
    <w:rsid w:val="00412D5F"/>
    <w:rsid w:val="00412DC0"/>
    <w:rsid w:val="00412F59"/>
    <w:rsid w:val="00412FD4"/>
    <w:rsid w:val="00413411"/>
    <w:rsid w:val="00413960"/>
    <w:rsid w:val="004139B2"/>
    <w:rsid w:val="00413C3E"/>
    <w:rsid w:val="00413D57"/>
    <w:rsid w:val="0041408C"/>
    <w:rsid w:val="00414858"/>
    <w:rsid w:val="004149B4"/>
    <w:rsid w:val="00415397"/>
    <w:rsid w:val="004155F8"/>
    <w:rsid w:val="00415A7E"/>
    <w:rsid w:val="00415CB3"/>
    <w:rsid w:val="00415D07"/>
    <w:rsid w:val="00415DF7"/>
    <w:rsid w:val="00416475"/>
    <w:rsid w:val="004165F8"/>
    <w:rsid w:val="00416EF3"/>
    <w:rsid w:val="0041735A"/>
    <w:rsid w:val="004174DE"/>
    <w:rsid w:val="0041781B"/>
    <w:rsid w:val="00417931"/>
    <w:rsid w:val="004179FC"/>
    <w:rsid w:val="00417FC0"/>
    <w:rsid w:val="004202C3"/>
    <w:rsid w:val="0042087D"/>
    <w:rsid w:val="00421191"/>
    <w:rsid w:val="0042128A"/>
    <w:rsid w:val="00421551"/>
    <w:rsid w:val="004216E2"/>
    <w:rsid w:val="00421715"/>
    <w:rsid w:val="0042191B"/>
    <w:rsid w:val="00421B46"/>
    <w:rsid w:val="00421E27"/>
    <w:rsid w:val="004223F9"/>
    <w:rsid w:val="00422407"/>
    <w:rsid w:val="004227ED"/>
    <w:rsid w:val="00422A2D"/>
    <w:rsid w:val="00422C29"/>
    <w:rsid w:val="00422F0C"/>
    <w:rsid w:val="0042360C"/>
    <w:rsid w:val="0042372C"/>
    <w:rsid w:val="0042396E"/>
    <w:rsid w:val="00423D44"/>
    <w:rsid w:val="00423D69"/>
    <w:rsid w:val="00424015"/>
    <w:rsid w:val="00424125"/>
    <w:rsid w:val="0042422B"/>
    <w:rsid w:val="004243D4"/>
    <w:rsid w:val="004249F5"/>
    <w:rsid w:val="00424D3D"/>
    <w:rsid w:val="00424D5E"/>
    <w:rsid w:val="0042512E"/>
    <w:rsid w:val="004252C2"/>
    <w:rsid w:val="004254E1"/>
    <w:rsid w:val="004256D7"/>
    <w:rsid w:val="00425841"/>
    <w:rsid w:val="00425A22"/>
    <w:rsid w:val="00425CCB"/>
    <w:rsid w:val="00425E21"/>
    <w:rsid w:val="00426415"/>
    <w:rsid w:val="004267AF"/>
    <w:rsid w:val="00426D3D"/>
    <w:rsid w:val="00426F77"/>
    <w:rsid w:val="00426FEE"/>
    <w:rsid w:val="00427381"/>
    <w:rsid w:val="0042757A"/>
    <w:rsid w:val="00427607"/>
    <w:rsid w:val="00427828"/>
    <w:rsid w:val="00427D9C"/>
    <w:rsid w:val="004303DF"/>
    <w:rsid w:val="004307EC"/>
    <w:rsid w:val="00430B61"/>
    <w:rsid w:val="00430C62"/>
    <w:rsid w:val="00431023"/>
    <w:rsid w:val="004312D2"/>
    <w:rsid w:val="004317E7"/>
    <w:rsid w:val="00431A6B"/>
    <w:rsid w:val="00431C1D"/>
    <w:rsid w:val="00432160"/>
    <w:rsid w:val="00432632"/>
    <w:rsid w:val="004328B5"/>
    <w:rsid w:val="00432911"/>
    <w:rsid w:val="00432A46"/>
    <w:rsid w:val="00432B92"/>
    <w:rsid w:val="00433AF1"/>
    <w:rsid w:val="00433F93"/>
    <w:rsid w:val="00433FE3"/>
    <w:rsid w:val="00434700"/>
    <w:rsid w:val="00435694"/>
    <w:rsid w:val="004356E4"/>
    <w:rsid w:val="00435725"/>
    <w:rsid w:val="00435C2E"/>
    <w:rsid w:val="00436021"/>
    <w:rsid w:val="0043602A"/>
    <w:rsid w:val="00436096"/>
    <w:rsid w:val="00436302"/>
    <w:rsid w:val="0043660E"/>
    <w:rsid w:val="0043685F"/>
    <w:rsid w:val="00436861"/>
    <w:rsid w:val="00436866"/>
    <w:rsid w:val="00436C9B"/>
    <w:rsid w:val="00436FE7"/>
    <w:rsid w:val="00437280"/>
    <w:rsid w:val="00437506"/>
    <w:rsid w:val="00437592"/>
    <w:rsid w:val="0044036B"/>
    <w:rsid w:val="00440689"/>
    <w:rsid w:val="00440924"/>
    <w:rsid w:val="00440945"/>
    <w:rsid w:val="00440B5F"/>
    <w:rsid w:val="00440BF4"/>
    <w:rsid w:val="00441228"/>
    <w:rsid w:val="004414A3"/>
    <w:rsid w:val="00441773"/>
    <w:rsid w:val="00441944"/>
    <w:rsid w:val="00441FA9"/>
    <w:rsid w:val="00441FED"/>
    <w:rsid w:val="004421FA"/>
    <w:rsid w:val="00442934"/>
    <w:rsid w:val="0044294F"/>
    <w:rsid w:val="00442BC6"/>
    <w:rsid w:val="004430D9"/>
    <w:rsid w:val="00443170"/>
    <w:rsid w:val="004436E0"/>
    <w:rsid w:val="00443895"/>
    <w:rsid w:val="0044389F"/>
    <w:rsid w:val="00444037"/>
    <w:rsid w:val="00444526"/>
    <w:rsid w:val="00444527"/>
    <w:rsid w:val="00444601"/>
    <w:rsid w:val="00444763"/>
    <w:rsid w:val="00444A0D"/>
    <w:rsid w:val="00445139"/>
    <w:rsid w:val="004451CF"/>
    <w:rsid w:val="004453CD"/>
    <w:rsid w:val="00445AC4"/>
    <w:rsid w:val="00445E2E"/>
    <w:rsid w:val="00445FCA"/>
    <w:rsid w:val="00446067"/>
    <w:rsid w:val="004465AB"/>
    <w:rsid w:val="00446A32"/>
    <w:rsid w:val="00446D2B"/>
    <w:rsid w:val="00446DF3"/>
    <w:rsid w:val="00446E11"/>
    <w:rsid w:val="0044705D"/>
    <w:rsid w:val="0044724F"/>
    <w:rsid w:val="00447580"/>
    <w:rsid w:val="004477BF"/>
    <w:rsid w:val="00447B89"/>
    <w:rsid w:val="00447F76"/>
    <w:rsid w:val="00447FBF"/>
    <w:rsid w:val="004509EF"/>
    <w:rsid w:val="00450C45"/>
    <w:rsid w:val="00451509"/>
    <w:rsid w:val="00451762"/>
    <w:rsid w:val="00451898"/>
    <w:rsid w:val="00451926"/>
    <w:rsid w:val="00451BAB"/>
    <w:rsid w:val="00451C49"/>
    <w:rsid w:val="00451D13"/>
    <w:rsid w:val="004521B1"/>
    <w:rsid w:val="004521C6"/>
    <w:rsid w:val="004525F4"/>
    <w:rsid w:val="0045270B"/>
    <w:rsid w:val="00452B1B"/>
    <w:rsid w:val="00452EE2"/>
    <w:rsid w:val="004530D7"/>
    <w:rsid w:val="00453779"/>
    <w:rsid w:val="00453A92"/>
    <w:rsid w:val="00453B7B"/>
    <w:rsid w:val="00453B8C"/>
    <w:rsid w:val="00453D0E"/>
    <w:rsid w:val="00453D70"/>
    <w:rsid w:val="004540FB"/>
    <w:rsid w:val="004544A2"/>
    <w:rsid w:val="004546B2"/>
    <w:rsid w:val="00454952"/>
    <w:rsid w:val="00454B0C"/>
    <w:rsid w:val="00454F0F"/>
    <w:rsid w:val="00454F38"/>
    <w:rsid w:val="004551A5"/>
    <w:rsid w:val="00455235"/>
    <w:rsid w:val="004556C3"/>
    <w:rsid w:val="00455EE8"/>
    <w:rsid w:val="00456098"/>
    <w:rsid w:val="004563D0"/>
    <w:rsid w:val="00456CBA"/>
    <w:rsid w:val="00456DDE"/>
    <w:rsid w:val="00456E32"/>
    <w:rsid w:val="004570B0"/>
    <w:rsid w:val="00457277"/>
    <w:rsid w:val="004573F5"/>
    <w:rsid w:val="00457F79"/>
    <w:rsid w:val="00460CD1"/>
    <w:rsid w:val="00460DEF"/>
    <w:rsid w:val="00460E3D"/>
    <w:rsid w:val="00460F2E"/>
    <w:rsid w:val="00460FFE"/>
    <w:rsid w:val="004610E5"/>
    <w:rsid w:val="0046117D"/>
    <w:rsid w:val="0046123A"/>
    <w:rsid w:val="004614DD"/>
    <w:rsid w:val="00461871"/>
    <w:rsid w:val="00461EBF"/>
    <w:rsid w:val="00462532"/>
    <w:rsid w:val="00462635"/>
    <w:rsid w:val="00462B7E"/>
    <w:rsid w:val="004631BA"/>
    <w:rsid w:val="004632FD"/>
    <w:rsid w:val="0046333F"/>
    <w:rsid w:val="00463344"/>
    <w:rsid w:val="00463BD0"/>
    <w:rsid w:val="00463C3B"/>
    <w:rsid w:val="0046434D"/>
    <w:rsid w:val="004643D4"/>
    <w:rsid w:val="0046442F"/>
    <w:rsid w:val="00464572"/>
    <w:rsid w:val="0046476C"/>
    <w:rsid w:val="00464AC1"/>
    <w:rsid w:val="00464D15"/>
    <w:rsid w:val="00465330"/>
    <w:rsid w:val="00465500"/>
    <w:rsid w:val="004655AA"/>
    <w:rsid w:val="0046588E"/>
    <w:rsid w:val="00465EF3"/>
    <w:rsid w:val="004660FD"/>
    <w:rsid w:val="004662C9"/>
    <w:rsid w:val="0046631C"/>
    <w:rsid w:val="004663B6"/>
    <w:rsid w:val="0046741E"/>
    <w:rsid w:val="004676D9"/>
    <w:rsid w:val="00467A64"/>
    <w:rsid w:val="00467B45"/>
    <w:rsid w:val="00467EB9"/>
    <w:rsid w:val="00467EFF"/>
    <w:rsid w:val="00470242"/>
    <w:rsid w:val="0047033F"/>
    <w:rsid w:val="004705B4"/>
    <w:rsid w:val="00470982"/>
    <w:rsid w:val="00470F3E"/>
    <w:rsid w:val="004713E4"/>
    <w:rsid w:val="0047151E"/>
    <w:rsid w:val="004723B4"/>
    <w:rsid w:val="004727B3"/>
    <w:rsid w:val="00472C78"/>
    <w:rsid w:val="00472D88"/>
    <w:rsid w:val="00472E7C"/>
    <w:rsid w:val="0047306B"/>
    <w:rsid w:val="004731E8"/>
    <w:rsid w:val="0047369C"/>
    <w:rsid w:val="004736DF"/>
    <w:rsid w:val="004739AC"/>
    <w:rsid w:val="00474171"/>
    <w:rsid w:val="0047444E"/>
    <w:rsid w:val="00474C40"/>
    <w:rsid w:val="00475036"/>
    <w:rsid w:val="0047525E"/>
    <w:rsid w:val="00475860"/>
    <w:rsid w:val="00475996"/>
    <w:rsid w:val="00475A10"/>
    <w:rsid w:val="00475A71"/>
    <w:rsid w:val="00475AB1"/>
    <w:rsid w:val="00475CB0"/>
    <w:rsid w:val="00475CEC"/>
    <w:rsid w:val="004761D0"/>
    <w:rsid w:val="00476A5B"/>
    <w:rsid w:val="00476ABF"/>
    <w:rsid w:val="00476D41"/>
    <w:rsid w:val="00476D83"/>
    <w:rsid w:val="00476E2A"/>
    <w:rsid w:val="00476E64"/>
    <w:rsid w:val="00476FE9"/>
    <w:rsid w:val="004773A4"/>
    <w:rsid w:val="0047742D"/>
    <w:rsid w:val="004776E9"/>
    <w:rsid w:val="00477844"/>
    <w:rsid w:val="00477B24"/>
    <w:rsid w:val="00477B3F"/>
    <w:rsid w:val="004802DE"/>
    <w:rsid w:val="004804F5"/>
    <w:rsid w:val="0048091B"/>
    <w:rsid w:val="004809D2"/>
    <w:rsid w:val="00480A0E"/>
    <w:rsid w:val="00480A37"/>
    <w:rsid w:val="00480C07"/>
    <w:rsid w:val="00480CB7"/>
    <w:rsid w:val="004812CE"/>
    <w:rsid w:val="004813C9"/>
    <w:rsid w:val="0048173C"/>
    <w:rsid w:val="004818A5"/>
    <w:rsid w:val="00481B3C"/>
    <w:rsid w:val="00481D31"/>
    <w:rsid w:val="00481E3F"/>
    <w:rsid w:val="0048251D"/>
    <w:rsid w:val="004826A5"/>
    <w:rsid w:val="00482840"/>
    <w:rsid w:val="00482A3B"/>
    <w:rsid w:val="00482C48"/>
    <w:rsid w:val="0048336D"/>
    <w:rsid w:val="0048349B"/>
    <w:rsid w:val="0048357A"/>
    <w:rsid w:val="0048392D"/>
    <w:rsid w:val="00483A46"/>
    <w:rsid w:val="00483AA5"/>
    <w:rsid w:val="00484053"/>
    <w:rsid w:val="00484245"/>
    <w:rsid w:val="004843F4"/>
    <w:rsid w:val="0048452A"/>
    <w:rsid w:val="00484A81"/>
    <w:rsid w:val="00484A8C"/>
    <w:rsid w:val="00484C97"/>
    <w:rsid w:val="00484CE1"/>
    <w:rsid w:val="00484DE2"/>
    <w:rsid w:val="0048525D"/>
    <w:rsid w:val="00485E6C"/>
    <w:rsid w:val="0048636E"/>
    <w:rsid w:val="00486435"/>
    <w:rsid w:val="0048643B"/>
    <w:rsid w:val="00486446"/>
    <w:rsid w:val="00486714"/>
    <w:rsid w:val="0048696B"/>
    <w:rsid w:val="00486C21"/>
    <w:rsid w:val="00486D1E"/>
    <w:rsid w:val="00486DE8"/>
    <w:rsid w:val="00486E24"/>
    <w:rsid w:val="004871AB"/>
    <w:rsid w:val="00487D08"/>
    <w:rsid w:val="00487D2E"/>
    <w:rsid w:val="00490127"/>
    <w:rsid w:val="00490CBC"/>
    <w:rsid w:val="00491196"/>
    <w:rsid w:val="00491251"/>
    <w:rsid w:val="0049130B"/>
    <w:rsid w:val="004913B2"/>
    <w:rsid w:val="00491570"/>
    <w:rsid w:val="0049184F"/>
    <w:rsid w:val="00491A24"/>
    <w:rsid w:val="00491C90"/>
    <w:rsid w:val="00491CA2"/>
    <w:rsid w:val="00491E68"/>
    <w:rsid w:val="004921B4"/>
    <w:rsid w:val="004922C2"/>
    <w:rsid w:val="00492437"/>
    <w:rsid w:val="004925C0"/>
    <w:rsid w:val="004929E5"/>
    <w:rsid w:val="00492A81"/>
    <w:rsid w:val="00492D76"/>
    <w:rsid w:val="00492E8C"/>
    <w:rsid w:val="00492F2F"/>
    <w:rsid w:val="00493020"/>
    <w:rsid w:val="00493461"/>
    <w:rsid w:val="00493A49"/>
    <w:rsid w:val="00493ABF"/>
    <w:rsid w:val="00493B0D"/>
    <w:rsid w:val="00493B28"/>
    <w:rsid w:val="00493ECD"/>
    <w:rsid w:val="00493EE5"/>
    <w:rsid w:val="00494718"/>
    <w:rsid w:val="0049504C"/>
    <w:rsid w:val="0049523E"/>
    <w:rsid w:val="00495899"/>
    <w:rsid w:val="00495F5E"/>
    <w:rsid w:val="00495FBD"/>
    <w:rsid w:val="0049635A"/>
    <w:rsid w:val="00496955"/>
    <w:rsid w:val="00496CB8"/>
    <w:rsid w:val="00496E5D"/>
    <w:rsid w:val="0049709F"/>
    <w:rsid w:val="004970E5"/>
    <w:rsid w:val="004970F3"/>
    <w:rsid w:val="004971D6"/>
    <w:rsid w:val="00497505"/>
    <w:rsid w:val="0049787A"/>
    <w:rsid w:val="00497BA2"/>
    <w:rsid w:val="004A031B"/>
    <w:rsid w:val="004A05C2"/>
    <w:rsid w:val="004A082B"/>
    <w:rsid w:val="004A0E96"/>
    <w:rsid w:val="004A10B1"/>
    <w:rsid w:val="004A15BB"/>
    <w:rsid w:val="004A1678"/>
    <w:rsid w:val="004A1D35"/>
    <w:rsid w:val="004A1F06"/>
    <w:rsid w:val="004A1FD5"/>
    <w:rsid w:val="004A2381"/>
    <w:rsid w:val="004A2ADF"/>
    <w:rsid w:val="004A2DD0"/>
    <w:rsid w:val="004A3029"/>
    <w:rsid w:val="004A3475"/>
    <w:rsid w:val="004A3584"/>
    <w:rsid w:val="004A37FB"/>
    <w:rsid w:val="004A410B"/>
    <w:rsid w:val="004A4291"/>
    <w:rsid w:val="004A42AE"/>
    <w:rsid w:val="004A4342"/>
    <w:rsid w:val="004A44E5"/>
    <w:rsid w:val="004A4937"/>
    <w:rsid w:val="004A503F"/>
    <w:rsid w:val="004A53CC"/>
    <w:rsid w:val="004A665B"/>
    <w:rsid w:val="004A668C"/>
    <w:rsid w:val="004A672A"/>
    <w:rsid w:val="004A6CD3"/>
    <w:rsid w:val="004A6EA9"/>
    <w:rsid w:val="004A7085"/>
    <w:rsid w:val="004A74A8"/>
    <w:rsid w:val="004A75B8"/>
    <w:rsid w:val="004A76E8"/>
    <w:rsid w:val="004A771D"/>
    <w:rsid w:val="004A79F5"/>
    <w:rsid w:val="004B0298"/>
    <w:rsid w:val="004B0532"/>
    <w:rsid w:val="004B068C"/>
    <w:rsid w:val="004B08EA"/>
    <w:rsid w:val="004B0A77"/>
    <w:rsid w:val="004B0ADE"/>
    <w:rsid w:val="004B0ADF"/>
    <w:rsid w:val="004B0F22"/>
    <w:rsid w:val="004B0FBB"/>
    <w:rsid w:val="004B1037"/>
    <w:rsid w:val="004B18A2"/>
    <w:rsid w:val="004B18B0"/>
    <w:rsid w:val="004B1B92"/>
    <w:rsid w:val="004B2245"/>
    <w:rsid w:val="004B268D"/>
    <w:rsid w:val="004B2A6E"/>
    <w:rsid w:val="004B2B29"/>
    <w:rsid w:val="004B2B62"/>
    <w:rsid w:val="004B2F84"/>
    <w:rsid w:val="004B322D"/>
    <w:rsid w:val="004B374B"/>
    <w:rsid w:val="004B398D"/>
    <w:rsid w:val="004B3D76"/>
    <w:rsid w:val="004B41CE"/>
    <w:rsid w:val="004B43D0"/>
    <w:rsid w:val="004B44E8"/>
    <w:rsid w:val="004B44FE"/>
    <w:rsid w:val="004B47DF"/>
    <w:rsid w:val="004B47EB"/>
    <w:rsid w:val="004B4830"/>
    <w:rsid w:val="004B4A09"/>
    <w:rsid w:val="004B4BFD"/>
    <w:rsid w:val="004B5642"/>
    <w:rsid w:val="004B5D7A"/>
    <w:rsid w:val="004B6000"/>
    <w:rsid w:val="004B6069"/>
    <w:rsid w:val="004B6132"/>
    <w:rsid w:val="004B640A"/>
    <w:rsid w:val="004B6979"/>
    <w:rsid w:val="004B6DB1"/>
    <w:rsid w:val="004B6ED4"/>
    <w:rsid w:val="004B722A"/>
    <w:rsid w:val="004B761B"/>
    <w:rsid w:val="004B7811"/>
    <w:rsid w:val="004B79B3"/>
    <w:rsid w:val="004B7B9C"/>
    <w:rsid w:val="004B7E02"/>
    <w:rsid w:val="004C020D"/>
    <w:rsid w:val="004C02A6"/>
    <w:rsid w:val="004C04D1"/>
    <w:rsid w:val="004C09BB"/>
    <w:rsid w:val="004C09F6"/>
    <w:rsid w:val="004C0A16"/>
    <w:rsid w:val="004C0EAD"/>
    <w:rsid w:val="004C0F2C"/>
    <w:rsid w:val="004C0F85"/>
    <w:rsid w:val="004C1063"/>
    <w:rsid w:val="004C1362"/>
    <w:rsid w:val="004C13CA"/>
    <w:rsid w:val="004C196E"/>
    <w:rsid w:val="004C1B42"/>
    <w:rsid w:val="004C1C2E"/>
    <w:rsid w:val="004C2606"/>
    <w:rsid w:val="004C2922"/>
    <w:rsid w:val="004C2C4C"/>
    <w:rsid w:val="004C301D"/>
    <w:rsid w:val="004C3474"/>
    <w:rsid w:val="004C3807"/>
    <w:rsid w:val="004C3A1E"/>
    <w:rsid w:val="004C403F"/>
    <w:rsid w:val="004C491F"/>
    <w:rsid w:val="004C4AA9"/>
    <w:rsid w:val="004C514F"/>
    <w:rsid w:val="004C5233"/>
    <w:rsid w:val="004C54FF"/>
    <w:rsid w:val="004C5621"/>
    <w:rsid w:val="004C5654"/>
    <w:rsid w:val="004C5FE4"/>
    <w:rsid w:val="004C61F8"/>
    <w:rsid w:val="004C660B"/>
    <w:rsid w:val="004C6ABD"/>
    <w:rsid w:val="004C70B6"/>
    <w:rsid w:val="004C730B"/>
    <w:rsid w:val="004C7365"/>
    <w:rsid w:val="004C75DD"/>
    <w:rsid w:val="004D0AA7"/>
    <w:rsid w:val="004D158C"/>
    <w:rsid w:val="004D1AA7"/>
    <w:rsid w:val="004D1ABE"/>
    <w:rsid w:val="004D205E"/>
    <w:rsid w:val="004D22CD"/>
    <w:rsid w:val="004D27C2"/>
    <w:rsid w:val="004D2835"/>
    <w:rsid w:val="004D29FE"/>
    <w:rsid w:val="004D2B9C"/>
    <w:rsid w:val="004D2DD5"/>
    <w:rsid w:val="004D3102"/>
    <w:rsid w:val="004D324F"/>
    <w:rsid w:val="004D3272"/>
    <w:rsid w:val="004D3A53"/>
    <w:rsid w:val="004D3D8C"/>
    <w:rsid w:val="004D4045"/>
    <w:rsid w:val="004D4137"/>
    <w:rsid w:val="004D4149"/>
    <w:rsid w:val="004D4515"/>
    <w:rsid w:val="004D4523"/>
    <w:rsid w:val="004D4788"/>
    <w:rsid w:val="004D4945"/>
    <w:rsid w:val="004D5431"/>
    <w:rsid w:val="004D579F"/>
    <w:rsid w:val="004D59EE"/>
    <w:rsid w:val="004D5B36"/>
    <w:rsid w:val="004D5D54"/>
    <w:rsid w:val="004D603A"/>
    <w:rsid w:val="004D6219"/>
    <w:rsid w:val="004D6552"/>
    <w:rsid w:val="004D68E0"/>
    <w:rsid w:val="004D69DD"/>
    <w:rsid w:val="004D6BEE"/>
    <w:rsid w:val="004D7612"/>
    <w:rsid w:val="004D7A14"/>
    <w:rsid w:val="004D7AB1"/>
    <w:rsid w:val="004D7D11"/>
    <w:rsid w:val="004E010C"/>
    <w:rsid w:val="004E07C5"/>
    <w:rsid w:val="004E0A39"/>
    <w:rsid w:val="004E0C80"/>
    <w:rsid w:val="004E0F85"/>
    <w:rsid w:val="004E1442"/>
    <w:rsid w:val="004E1542"/>
    <w:rsid w:val="004E15FE"/>
    <w:rsid w:val="004E183C"/>
    <w:rsid w:val="004E1AD7"/>
    <w:rsid w:val="004E1C68"/>
    <w:rsid w:val="004E1D30"/>
    <w:rsid w:val="004E1D92"/>
    <w:rsid w:val="004E2245"/>
    <w:rsid w:val="004E25D9"/>
    <w:rsid w:val="004E287C"/>
    <w:rsid w:val="004E2DC2"/>
    <w:rsid w:val="004E30AE"/>
    <w:rsid w:val="004E3575"/>
    <w:rsid w:val="004E3C2A"/>
    <w:rsid w:val="004E3D42"/>
    <w:rsid w:val="004E406A"/>
    <w:rsid w:val="004E4636"/>
    <w:rsid w:val="004E4807"/>
    <w:rsid w:val="004E4CA0"/>
    <w:rsid w:val="004E4D9E"/>
    <w:rsid w:val="004E4DA7"/>
    <w:rsid w:val="004E4EA4"/>
    <w:rsid w:val="004E541B"/>
    <w:rsid w:val="004E5528"/>
    <w:rsid w:val="004E5546"/>
    <w:rsid w:val="004E5905"/>
    <w:rsid w:val="004E5A64"/>
    <w:rsid w:val="004E5BB1"/>
    <w:rsid w:val="004E5BCC"/>
    <w:rsid w:val="004E5D76"/>
    <w:rsid w:val="004E5F38"/>
    <w:rsid w:val="004E5FBC"/>
    <w:rsid w:val="004E6390"/>
    <w:rsid w:val="004E6558"/>
    <w:rsid w:val="004E6714"/>
    <w:rsid w:val="004E67AC"/>
    <w:rsid w:val="004E67E9"/>
    <w:rsid w:val="004E6CAD"/>
    <w:rsid w:val="004E6F87"/>
    <w:rsid w:val="004E75C9"/>
    <w:rsid w:val="004E764E"/>
    <w:rsid w:val="004E76B2"/>
    <w:rsid w:val="004E7827"/>
    <w:rsid w:val="004E7A3F"/>
    <w:rsid w:val="004E7AA6"/>
    <w:rsid w:val="004E7C7C"/>
    <w:rsid w:val="004E7F13"/>
    <w:rsid w:val="004F0100"/>
    <w:rsid w:val="004F0115"/>
    <w:rsid w:val="004F039C"/>
    <w:rsid w:val="004F054F"/>
    <w:rsid w:val="004F0857"/>
    <w:rsid w:val="004F09BB"/>
    <w:rsid w:val="004F0BEB"/>
    <w:rsid w:val="004F0CCB"/>
    <w:rsid w:val="004F0D0F"/>
    <w:rsid w:val="004F0D60"/>
    <w:rsid w:val="004F0F46"/>
    <w:rsid w:val="004F0F7D"/>
    <w:rsid w:val="004F1830"/>
    <w:rsid w:val="004F1885"/>
    <w:rsid w:val="004F1CD2"/>
    <w:rsid w:val="004F1EDE"/>
    <w:rsid w:val="004F1F5D"/>
    <w:rsid w:val="004F2C54"/>
    <w:rsid w:val="004F30D0"/>
    <w:rsid w:val="004F3383"/>
    <w:rsid w:val="004F3613"/>
    <w:rsid w:val="004F36D4"/>
    <w:rsid w:val="004F37CE"/>
    <w:rsid w:val="004F3992"/>
    <w:rsid w:val="004F3BB3"/>
    <w:rsid w:val="004F3C6F"/>
    <w:rsid w:val="004F3E32"/>
    <w:rsid w:val="004F3F7B"/>
    <w:rsid w:val="004F3FA1"/>
    <w:rsid w:val="004F3FAF"/>
    <w:rsid w:val="004F400A"/>
    <w:rsid w:val="004F44A0"/>
    <w:rsid w:val="004F459A"/>
    <w:rsid w:val="004F46E3"/>
    <w:rsid w:val="004F4C4E"/>
    <w:rsid w:val="004F4F68"/>
    <w:rsid w:val="004F5188"/>
    <w:rsid w:val="004F52B8"/>
    <w:rsid w:val="004F5BA5"/>
    <w:rsid w:val="004F5CB4"/>
    <w:rsid w:val="004F5E60"/>
    <w:rsid w:val="004F6291"/>
    <w:rsid w:val="004F6737"/>
    <w:rsid w:val="004F6CC5"/>
    <w:rsid w:val="004F7320"/>
    <w:rsid w:val="004F76AC"/>
    <w:rsid w:val="004F77DC"/>
    <w:rsid w:val="004F79C7"/>
    <w:rsid w:val="004F7BFC"/>
    <w:rsid w:val="004F7F11"/>
    <w:rsid w:val="00500556"/>
    <w:rsid w:val="00500591"/>
    <w:rsid w:val="00500679"/>
    <w:rsid w:val="00500B67"/>
    <w:rsid w:val="00500EDC"/>
    <w:rsid w:val="00500EF4"/>
    <w:rsid w:val="0050155D"/>
    <w:rsid w:val="005016B3"/>
    <w:rsid w:val="0050195D"/>
    <w:rsid w:val="00501CCF"/>
    <w:rsid w:val="0050235D"/>
    <w:rsid w:val="005024C1"/>
    <w:rsid w:val="00502651"/>
    <w:rsid w:val="005027E0"/>
    <w:rsid w:val="00502A9F"/>
    <w:rsid w:val="00502AC1"/>
    <w:rsid w:val="00502BEE"/>
    <w:rsid w:val="00502CFE"/>
    <w:rsid w:val="00502DE9"/>
    <w:rsid w:val="00502E2A"/>
    <w:rsid w:val="0050308D"/>
    <w:rsid w:val="0050323B"/>
    <w:rsid w:val="00503AD7"/>
    <w:rsid w:val="00503B3A"/>
    <w:rsid w:val="0050407A"/>
    <w:rsid w:val="005042EC"/>
    <w:rsid w:val="00504401"/>
    <w:rsid w:val="00504540"/>
    <w:rsid w:val="005046CE"/>
    <w:rsid w:val="00504A2B"/>
    <w:rsid w:val="00504AFE"/>
    <w:rsid w:val="00504EDA"/>
    <w:rsid w:val="005058C7"/>
    <w:rsid w:val="00505F55"/>
    <w:rsid w:val="00505FBD"/>
    <w:rsid w:val="00506088"/>
    <w:rsid w:val="00506226"/>
    <w:rsid w:val="00506567"/>
    <w:rsid w:val="005065F0"/>
    <w:rsid w:val="005066A0"/>
    <w:rsid w:val="00506B0A"/>
    <w:rsid w:val="00507009"/>
    <w:rsid w:val="005076A9"/>
    <w:rsid w:val="00507718"/>
    <w:rsid w:val="005079A1"/>
    <w:rsid w:val="005079D2"/>
    <w:rsid w:val="00507FE3"/>
    <w:rsid w:val="00510063"/>
    <w:rsid w:val="005100E4"/>
    <w:rsid w:val="005101C1"/>
    <w:rsid w:val="0051041F"/>
    <w:rsid w:val="00510562"/>
    <w:rsid w:val="00510819"/>
    <w:rsid w:val="00510A6F"/>
    <w:rsid w:val="00510F09"/>
    <w:rsid w:val="00510F74"/>
    <w:rsid w:val="005112EA"/>
    <w:rsid w:val="00511A6A"/>
    <w:rsid w:val="00511B44"/>
    <w:rsid w:val="00511C8A"/>
    <w:rsid w:val="00512601"/>
    <w:rsid w:val="00513139"/>
    <w:rsid w:val="005137A9"/>
    <w:rsid w:val="00513802"/>
    <w:rsid w:val="005138DC"/>
    <w:rsid w:val="0051442E"/>
    <w:rsid w:val="00514B5D"/>
    <w:rsid w:val="00514B90"/>
    <w:rsid w:val="00514C2A"/>
    <w:rsid w:val="00514DA1"/>
    <w:rsid w:val="0051540B"/>
    <w:rsid w:val="00515444"/>
    <w:rsid w:val="00515644"/>
    <w:rsid w:val="00515E6B"/>
    <w:rsid w:val="00515F13"/>
    <w:rsid w:val="00516363"/>
    <w:rsid w:val="00516416"/>
    <w:rsid w:val="005164A7"/>
    <w:rsid w:val="0051660D"/>
    <w:rsid w:val="0051697A"/>
    <w:rsid w:val="00516E0A"/>
    <w:rsid w:val="00516FD1"/>
    <w:rsid w:val="00517BF0"/>
    <w:rsid w:val="0052000D"/>
    <w:rsid w:val="0052005F"/>
    <w:rsid w:val="005203FC"/>
    <w:rsid w:val="00520C41"/>
    <w:rsid w:val="00520CD3"/>
    <w:rsid w:val="00521096"/>
    <w:rsid w:val="00521205"/>
    <w:rsid w:val="00521224"/>
    <w:rsid w:val="00521306"/>
    <w:rsid w:val="0052152A"/>
    <w:rsid w:val="00521618"/>
    <w:rsid w:val="0052198C"/>
    <w:rsid w:val="00521A97"/>
    <w:rsid w:val="00521B2D"/>
    <w:rsid w:val="00521E04"/>
    <w:rsid w:val="00521EAF"/>
    <w:rsid w:val="005220EF"/>
    <w:rsid w:val="00522147"/>
    <w:rsid w:val="00522A91"/>
    <w:rsid w:val="00522BA7"/>
    <w:rsid w:val="00522F31"/>
    <w:rsid w:val="005233C8"/>
    <w:rsid w:val="00523743"/>
    <w:rsid w:val="00523C4A"/>
    <w:rsid w:val="00524510"/>
    <w:rsid w:val="005245CA"/>
    <w:rsid w:val="005245DD"/>
    <w:rsid w:val="00524624"/>
    <w:rsid w:val="00524A35"/>
    <w:rsid w:val="00524E12"/>
    <w:rsid w:val="00524ED6"/>
    <w:rsid w:val="005252E6"/>
    <w:rsid w:val="00525468"/>
    <w:rsid w:val="005255C9"/>
    <w:rsid w:val="005255E4"/>
    <w:rsid w:val="00525706"/>
    <w:rsid w:val="005257A1"/>
    <w:rsid w:val="00525E05"/>
    <w:rsid w:val="00525E40"/>
    <w:rsid w:val="00525E50"/>
    <w:rsid w:val="0052601A"/>
    <w:rsid w:val="005260C6"/>
    <w:rsid w:val="005261CF"/>
    <w:rsid w:val="005263AE"/>
    <w:rsid w:val="005268DF"/>
    <w:rsid w:val="00526BAF"/>
    <w:rsid w:val="00526E25"/>
    <w:rsid w:val="0052713F"/>
    <w:rsid w:val="0052769C"/>
    <w:rsid w:val="00527924"/>
    <w:rsid w:val="00527EB3"/>
    <w:rsid w:val="00527FA3"/>
    <w:rsid w:val="00530D64"/>
    <w:rsid w:val="0053127D"/>
    <w:rsid w:val="005316B9"/>
    <w:rsid w:val="005318CF"/>
    <w:rsid w:val="00531FCD"/>
    <w:rsid w:val="005324CA"/>
    <w:rsid w:val="00532514"/>
    <w:rsid w:val="0053253B"/>
    <w:rsid w:val="00532707"/>
    <w:rsid w:val="00532A90"/>
    <w:rsid w:val="00532BA4"/>
    <w:rsid w:val="00532E29"/>
    <w:rsid w:val="00532E38"/>
    <w:rsid w:val="00533132"/>
    <w:rsid w:val="00533EE4"/>
    <w:rsid w:val="00534429"/>
    <w:rsid w:val="005345DF"/>
    <w:rsid w:val="00534683"/>
    <w:rsid w:val="00534A41"/>
    <w:rsid w:val="00535046"/>
    <w:rsid w:val="00535145"/>
    <w:rsid w:val="005354B8"/>
    <w:rsid w:val="0053584C"/>
    <w:rsid w:val="00535A1A"/>
    <w:rsid w:val="00536129"/>
    <w:rsid w:val="00536F1C"/>
    <w:rsid w:val="00536F45"/>
    <w:rsid w:val="0053711C"/>
    <w:rsid w:val="00537399"/>
    <w:rsid w:val="0053784E"/>
    <w:rsid w:val="00537E26"/>
    <w:rsid w:val="00537E33"/>
    <w:rsid w:val="00537E34"/>
    <w:rsid w:val="00537F1E"/>
    <w:rsid w:val="005400E4"/>
    <w:rsid w:val="0054154E"/>
    <w:rsid w:val="005415C5"/>
    <w:rsid w:val="005417E4"/>
    <w:rsid w:val="00541ED0"/>
    <w:rsid w:val="005428BA"/>
    <w:rsid w:val="005429D8"/>
    <w:rsid w:val="00542B10"/>
    <w:rsid w:val="00543072"/>
    <w:rsid w:val="00543372"/>
    <w:rsid w:val="00543CFD"/>
    <w:rsid w:val="00543E05"/>
    <w:rsid w:val="00544545"/>
    <w:rsid w:val="005445D5"/>
    <w:rsid w:val="005446D8"/>
    <w:rsid w:val="00544D6D"/>
    <w:rsid w:val="00544DC0"/>
    <w:rsid w:val="00544DC9"/>
    <w:rsid w:val="00545224"/>
    <w:rsid w:val="00545C6B"/>
    <w:rsid w:val="00545CB4"/>
    <w:rsid w:val="00545DCC"/>
    <w:rsid w:val="00545DE9"/>
    <w:rsid w:val="0054629A"/>
    <w:rsid w:val="005466D4"/>
    <w:rsid w:val="00547284"/>
    <w:rsid w:val="005473EF"/>
    <w:rsid w:val="005476B1"/>
    <w:rsid w:val="005479CC"/>
    <w:rsid w:val="00547B74"/>
    <w:rsid w:val="00547B96"/>
    <w:rsid w:val="00547C97"/>
    <w:rsid w:val="00547DA1"/>
    <w:rsid w:val="00550054"/>
    <w:rsid w:val="005505BE"/>
    <w:rsid w:val="0055082D"/>
    <w:rsid w:val="00550AA6"/>
    <w:rsid w:val="00550D54"/>
    <w:rsid w:val="00550FE7"/>
    <w:rsid w:val="00551741"/>
    <w:rsid w:val="0055176E"/>
    <w:rsid w:val="00551B3D"/>
    <w:rsid w:val="00551B88"/>
    <w:rsid w:val="00551FD8"/>
    <w:rsid w:val="0055208F"/>
    <w:rsid w:val="00552DB5"/>
    <w:rsid w:val="005533B5"/>
    <w:rsid w:val="005534BD"/>
    <w:rsid w:val="005536AC"/>
    <w:rsid w:val="00553783"/>
    <w:rsid w:val="00553954"/>
    <w:rsid w:val="00553A01"/>
    <w:rsid w:val="00553C53"/>
    <w:rsid w:val="0055444C"/>
    <w:rsid w:val="0055446B"/>
    <w:rsid w:val="00554484"/>
    <w:rsid w:val="00554B77"/>
    <w:rsid w:val="00554EF5"/>
    <w:rsid w:val="005551BF"/>
    <w:rsid w:val="00555314"/>
    <w:rsid w:val="005555FA"/>
    <w:rsid w:val="00555E7F"/>
    <w:rsid w:val="005562C4"/>
    <w:rsid w:val="00556571"/>
    <w:rsid w:val="00556595"/>
    <w:rsid w:val="00556A10"/>
    <w:rsid w:val="00556A17"/>
    <w:rsid w:val="00556C45"/>
    <w:rsid w:val="00556CE9"/>
    <w:rsid w:val="00556D16"/>
    <w:rsid w:val="00556E66"/>
    <w:rsid w:val="005571F4"/>
    <w:rsid w:val="005573EE"/>
    <w:rsid w:val="00557B2E"/>
    <w:rsid w:val="00557CD5"/>
    <w:rsid w:val="00557EEB"/>
    <w:rsid w:val="00560016"/>
    <w:rsid w:val="005600C4"/>
    <w:rsid w:val="00560222"/>
    <w:rsid w:val="0056025A"/>
    <w:rsid w:val="00560924"/>
    <w:rsid w:val="00560B2E"/>
    <w:rsid w:val="00561165"/>
    <w:rsid w:val="005616DF"/>
    <w:rsid w:val="0056190A"/>
    <w:rsid w:val="00561F8F"/>
    <w:rsid w:val="00562763"/>
    <w:rsid w:val="005627D4"/>
    <w:rsid w:val="00562AA6"/>
    <w:rsid w:val="00562C69"/>
    <w:rsid w:val="00562D6D"/>
    <w:rsid w:val="00562EC6"/>
    <w:rsid w:val="00563136"/>
    <w:rsid w:val="00563824"/>
    <w:rsid w:val="00563899"/>
    <w:rsid w:val="00563D8D"/>
    <w:rsid w:val="00563F02"/>
    <w:rsid w:val="005644C8"/>
    <w:rsid w:val="005647C6"/>
    <w:rsid w:val="0056491C"/>
    <w:rsid w:val="00564A4D"/>
    <w:rsid w:val="00564C14"/>
    <w:rsid w:val="00564F43"/>
    <w:rsid w:val="0056504C"/>
    <w:rsid w:val="005659E7"/>
    <w:rsid w:val="005659F7"/>
    <w:rsid w:val="00565A9C"/>
    <w:rsid w:val="00565BB4"/>
    <w:rsid w:val="00565C04"/>
    <w:rsid w:val="00565CBE"/>
    <w:rsid w:val="005661DD"/>
    <w:rsid w:val="00566556"/>
    <w:rsid w:val="005666B2"/>
    <w:rsid w:val="00566782"/>
    <w:rsid w:val="00566814"/>
    <w:rsid w:val="00566999"/>
    <w:rsid w:val="00566A34"/>
    <w:rsid w:val="00566E15"/>
    <w:rsid w:val="00566EBE"/>
    <w:rsid w:val="005673D5"/>
    <w:rsid w:val="005678E5"/>
    <w:rsid w:val="00567C84"/>
    <w:rsid w:val="00567F6E"/>
    <w:rsid w:val="00570027"/>
    <w:rsid w:val="00570542"/>
    <w:rsid w:val="00570637"/>
    <w:rsid w:val="0057078C"/>
    <w:rsid w:val="0057108C"/>
    <w:rsid w:val="0057112F"/>
    <w:rsid w:val="0057114B"/>
    <w:rsid w:val="005713FA"/>
    <w:rsid w:val="005718BF"/>
    <w:rsid w:val="00571B1F"/>
    <w:rsid w:val="00571DC8"/>
    <w:rsid w:val="005724DB"/>
    <w:rsid w:val="005726BD"/>
    <w:rsid w:val="00573560"/>
    <w:rsid w:val="005735C2"/>
    <w:rsid w:val="00573854"/>
    <w:rsid w:val="00573C16"/>
    <w:rsid w:val="00573D3B"/>
    <w:rsid w:val="00573DCA"/>
    <w:rsid w:val="00573DE1"/>
    <w:rsid w:val="00573E4D"/>
    <w:rsid w:val="0057410C"/>
    <w:rsid w:val="00574170"/>
    <w:rsid w:val="005745BF"/>
    <w:rsid w:val="005746A2"/>
    <w:rsid w:val="00574C9C"/>
    <w:rsid w:val="00574D10"/>
    <w:rsid w:val="00574F61"/>
    <w:rsid w:val="00574FCA"/>
    <w:rsid w:val="00575165"/>
    <w:rsid w:val="005754D6"/>
    <w:rsid w:val="005755C2"/>
    <w:rsid w:val="00575677"/>
    <w:rsid w:val="005758FE"/>
    <w:rsid w:val="0057593B"/>
    <w:rsid w:val="005759B7"/>
    <w:rsid w:val="00575D7A"/>
    <w:rsid w:val="0057600C"/>
    <w:rsid w:val="005763BB"/>
    <w:rsid w:val="00576A15"/>
    <w:rsid w:val="00576A55"/>
    <w:rsid w:val="00576AD8"/>
    <w:rsid w:val="005772DB"/>
    <w:rsid w:val="00577494"/>
    <w:rsid w:val="005777B4"/>
    <w:rsid w:val="00577896"/>
    <w:rsid w:val="005778FB"/>
    <w:rsid w:val="00577A95"/>
    <w:rsid w:val="00577E3C"/>
    <w:rsid w:val="00577E66"/>
    <w:rsid w:val="00580C81"/>
    <w:rsid w:val="00580F1D"/>
    <w:rsid w:val="00580F45"/>
    <w:rsid w:val="005810F8"/>
    <w:rsid w:val="00581379"/>
    <w:rsid w:val="005815DA"/>
    <w:rsid w:val="005819D9"/>
    <w:rsid w:val="00581B83"/>
    <w:rsid w:val="0058229E"/>
    <w:rsid w:val="0058245D"/>
    <w:rsid w:val="0058280C"/>
    <w:rsid w:val="00582DD7"/>
    <w:rsid w:val="00582F4E"/>
    <w:rsid w:val="00583779"/>
    <w:rsid w:val="00583BC4"/>
    <w:rsid w:val="00583D3E"/>
    <w:rsid w:val="00583E01"/>
    <w:rsid w:val="00583F46"/>
    <w:rsid w:val="00584087"/>
    <w:rsid w:val="005841DD"/>
    <w:rsid w:val="0058445C"/>
    <w:rsid w:val="005845C7"/>
    <w:rsid w:val="00584769"/>
    <w:rsid w:val="0058530C"/>
    <w:rsid w:val="00585F3F"/>
    <w:rsid w:val="005860AF"/>
    <w:rsid w:val="005869E2"/>
    <w:rsid w:val="00586B84"/>
    <w:rsid w:val="00586D0C"/>
    <w:rsid w:val="0058713C"/>
    <w:rsid w:val="005878A3"/>
    <w:rsid w:val="00587A40"/>
    <w:rsid w:val="00587B54"/>
    <w:rsid w:val="00590448"/>
    <w:rsid w:val="005905F8"/>
    <w:rsid w:val="0059062C"/>
    <w:rsid w:val="005908DA"/>
    <w:rsid w:val="00590926"/>
    <w:rsid w:val="005909CE"/>
    <w:rsid w:val="00590C51"/>
    <w:rsid w:val="0059102B"/>
    <w:rsid w:val="005914B6"/>
    <w:rsid w:val="00591560"/>
    <w:rsid w:val="0059181A"/>
    <w:rsid w:val="005918B5"/>
    <w:rsid w:val="00591B67"/>
    <w:rsid w:val="00591E6C"/>
    <w:rsid w:val="00591F57"/>
    <w:rsid w:val="005927EF"/>
    <w:rsid w:val="00592AAA"/>
    <w:rsid w:val="00592B24"/>
    <w:rsid w:val="00592C47"/>
    <w:rsid w:val="00592DCB"/>
    <w:rsid w:val="005933FF"/>
    <w:rsid w:val="00593618"/>
    <w:rsid w:val="0059364B"/>
    <w:rsid w:val="00593A0C"/>
    <w:rsid w:val="00593FE6"/>
    <w:rsid w:val="005945BB"/>
    <w:rsid w:val="00594812"/>
    <w:rsid w:val="00594D6F"/>
    <w:rsid w:val="00594FE5"/>
    <w:rsid w:val="00595693"/>
    <w:rsid w:val="005959E8"/>
    <w:rsid w:val="00595F4C"/>
    <w:rsid w:val="0059650B"/>
    <w:rsid w:val="005965B2"/>
    <w:rsid w:val="005965C5"/>
    <w:rsid w:val="00596DD5"/>
    <w:rsid w:val="00596E7F"/>
    <w:rsid w:val="00596F3A"/>
    <w:rsid w:val="005973AA"/>
    <w:rsid w:val="00597584"/>
    <w:rsid w:val="005976BF"/>
    <w:rsid w:val="005976F1"/>
    <w:rsid w:val="00597B3B"/>
    <w:rsid w:val="00597D65"/>
    <w:rsid w:val="00597D9C"/>
    <w:rsid w:val="00597F98"/>
    <w:rsid w:val="005A01D5"/>
    <w:rsid w:val="005A0233"/>
    <w:rsid w:val="005A06FA"/>
    <w:rsid w:val="005A0904"/>
    <w:rsid w:val="005A095F"/>
    <w:rsid w:val="005A0D55"/>
    <w:rsid w:val="005A0DEB"/>
    <w:rsid w:val="005A0EB4"/>
    <w:rsid w:val="005A0FC4"/>
    <w:rsid w:val="005A126E"/>
    <w:rsid w:val="005A1292"/>
    <w:rsid w:val="005A12AB"/>
    <w:rsid w:val="005A13CD"/>
    <w:rsid w:val="005A13E6"/>
    <w:rsid w:val="005A1463"/>
    <w:rsid w:val="005A1C1A"/>
    <w:rsid w:val="005A20E8"/>
    <w:rsid w:val="005A2CA1"/>
    <w:rsid w:val="005A2D28"/>
    <w:rsid w:val="005A306A"/>
    <w:rsid w:val="005A3691"/>
    <w:rsid w:val="005A3A5E"/>
    <w:rsid w:val="005A3A8F"/>
    <w:rsid w:val="005A48A3"/>
    <w:rsid w:val="005A57F2"/>
    <w:rsid w:val="005A58D7"/>
    <w:rsid w:val="005A5DD7"/>
    <w:rsid w:val="005A5EDA"/>
    <w:rsid w:val="005A61CA"/>
    <w:rsid w:val="005A6888"/>
    <w:rsid w:val="005A689A"/>
    <w:rsid w:val="005A69B1"/>
    <w:rsid w:val="005A6D56"/>
    <w:rsid w:val="005A7819"/>
    <w:rsid w:val="005A7AA8"/>
    <w:rsid w:val="005ACD84"/>
    <w:rsid w:val="005B0B62"/>
    <w:rsid w:val="005B0C0C"/>
    <w:rsid w:val="005B1384"/>
    <w:rsid w:val="005B170C"/>
    <w:rsid w:val="005B1820"/>
    <w:rsid w:val="005B1958"/>
    <w:rsid w:val="005B19BB"/>
    <w:rsid w:val="005B1B9F"/>
    <w:rsid w:val="005B1C59"/>
    <w:rsid w:val="005B1C93"/>
    <w:rsid w:val="005B1CCB"/>
    <w:rsid w:val="005B2051"/>
    <w:rsid w:val="005B25AF"/>
    <w:rsid w:val="005B26BD"/>
    <w:rsid w:val="005B286C"/>
    <w:rsid w:val="005B2CE5"/>
    <w:rsid w:val="005B2EA8"/>
    <w:rsid w:val="005B3282"/>
    <w:rsid w:val="005B379C"/>
    <w:rsid w:val="005B3BDD"/>
    <w:rsid w:val="005B3C1A"/>
    <w:rsid w:val="005B3CC7"/>
    <w:rsid w:val="005B4371"/>
    <w:rsid w:val="005B446F"/>
    <w:rsid w:val="005B4485"/>
    <w:rsid w:val="005B452D"/>
    <w:rsid w:val="005B49AC"/>
    <w:rsid w:val="005B4BC4"/>
    <w:rsid w:val="005B4C50"/>
    <w:rsid w:val="005B5290"/>
    <w:rsid w:val="005B579C"/>
    <w:rsid w:val="005B5B68"/>
    <w:rsid w:val="005B5E40"/>
    <w:rsid w:val="005B67A6"/>
    <w:rsid w:val="005B6822"/>
    <w:rsid w:val="005B68CA"/>
    <w:rsid w:val="005B7243"/>
    <w:rsid w:val="005B737F"/>
    <w:rsid w:val="005B7464"/>
    <w:rsid w:val="005B7959"/>
    <w:rsid w:val="005B7B72"/>
    <w:rsid w:val="005B7D05"/>
    <w:rsid w:val="005B7E08"/>
    <w:rsid w:val="005B7EFD"/>
    <w:rsid w:val="005C0451"/>
    <w:rsid w:val="005C18C6"/>
    <w:rsid w:val="005C1EBC"/>
    <w:rsid w:val="005C20A7"/>
    <w:rsid w:val="005C27AE"/>
    <w:rsid w:val="005C319F"/>
    <w:rsid w:val="005C38BB"/>
    <w:rsid w:val="005C430A"/>
    <w:rsid w:val="005C4942"/>
    <w:rsid w:val="005C49D7"/>
    <w:rsid w:val="005C49FD"/>
    <w:rsid w:val="005C4A52"/>
    <w:rsid w:val="005C4E41"/>
    <w:rsid w:val="005C53F8"/>
    <w:rsid w:val="005C54CB"/>
    <w:rsid w:val="005C562E"/>
    <w:rsid w:val="005C5C3A"/>
    <w:rsid w:val="005C5F15"/>
    <w:rsid w:val="005C6361"/>
    <w:rsid w:val="005C63DB"/>
    <w:rsid w:val="005C6725"/>
    <w:rsid w:val="005C6A34"/>
    <w:rsid w:val="005C6B8F"/>
    <w:rsid w:val="005C6C51"/>
    <w:rsid w:val="005C6C5D"/>
    <w:rsid w:val="005C6FFD"/>
    <w:rsid w:val="005C7C43"/>
    <w:rsid w:val="005C7D51"/>
    <w:rsid w:val="005D031D"/>
    <w:rsid w:val="005D0617"/>
    <w:rsid w:val="005D08D4"/>
    <w:rsid w:val="005D0E88"/>
    <w:rsid w:val="005D1085"/>
    <w:rsid w:val="005D14D1"/>
    <w:rsid w:val="005D1FE0"/>
    <w:rsid w:val="005D213D"/>
    <w:rsid w:val="005D262B"/>
    <w:rsid w:val="005D27FD"/>
    <w:rsid w:val="005D2B5F"/>
    <w:rsid w:val="005D30E6"/>
    <w:rsid w:val="005D333D"/>
    <w:rsid w:val="005D384C"/>
    <w:rsid w:val="005D393D"/>
    <w:rsid w:val="005D3B2A"/>
    <w:rsid w:val="005D3BEE"/>
    <w:rsid w:val="005D3C9D"/>
    <w:rsid w:val="005D3EB6"/>
    <w:rsid w:val="005D3F18"/>
    <w:rsid w:val="005D4B37"/>
    <w:rsid w:val="005D5180"/>
    <w:rsid w:val="005D52EA"/>
    <w:rsid w:val="005D5530"/>
    <w:rsid w:val="005D55A2"/>
    <w:rsid w:val="005D580C"/>
    <w:rsid w:val="005D5B2A"/>
    <w:rsid w:val="005D5D23"/>
    <w:rsid w:val="005D625B"/>
    <w:rsid w:val="005D696C"/>
    <w:rsid w:val="005D6CC0"/>
    <w:rsid w:val="005D7046"/>
    <w:rsid w:val="005D70EB"/>
    <w:rsid w:val="005D7230"/>
    <w:rsid w:val="005D7AD8"/>
    <w:rsid w:val="005E076F"/>
    <w:rsid w:val="005E0799"/>
    <w:rsid w:val="005E07D6"/>
    <w:rsid w:val="005E090A"/>
    <w:rsid w:val="005E0C00"/>
    <w:rsid w:val="005E0CBB"/>
    <w:rsid w:val="005E0DDC"/>
    <w:rsid w:val="005E0FD7"/>
    <w:rsid w:val="005E1069"/>
    <w:rsid w:val="005E12F6"/>
    <w:rsid w:val="005E1912"/>
    <w:rsid w:val="005E1B23"/>
    <w:rsid w:val="005E1B3E"/>
    <w:rsid w:val="005E2322"/>
    <w:rsid w:val="005E2468"/>
    <w:rsid w:val="005E2673"/>
    <w:rsid w:val="005E296C"/>
    <w:rsid w:val="005E3189"/>
    <w:rsid w:val="005E31D5"/>
    <w:rsid w:val="005E3946"/>
    <w:rsid w:val="005E39BF"/>
    <w:rsid w:val="005E3A81"/>
    <w:rsid w:val="005E3B11"/>
    <w:rsid w:val="005E408E"/>
    <w:rsid w:val="005E42E2"/>
    <w:rsid w:val="005E4736"/>
    <w:rsid w:val="005E4956"/>
    <w:rsid w:val="005E49DD"/>
    <w:rsid w:val="005E4EFC"/>
    <w:rsid w:val="005E51C7"/>
    <w:rsid w:val="005E52E1"/>
    <w:rsid w:val="005E5353"/>
    <w:rsid w:val="005E557C"/>
    <w:rsid w:val="005E5CBC"/>
    <w:rsid w:val="005E5DC4"/>
    <w:rsid w:val="005E605C"/>
    <w:rsid w:val="005E6189"/>
    <w:rsid w:val="005E65EF"/>
    <w:rsid w:val="005E6764"/>
    <w:rsid w:val="005E67BC"/>
    <w:rsid w:val="005E6CF9"/>
    <w:rsid w:val="005E6FFB"/>
    <w:rsid w:val="005E7290"/>
    <w:rsid w:val="005E72E7"/>
    <w:rsid w:val="005E77ED"/>
    <w:rsid w:val="005E79BE"/>
    <w:rsid w:val="005E79DA"/>
    <w:rsid w:val="005E7A44"/>
    <w:rsid w:val="005E7C23"/>
    <w:rsid w:val="005E7D6F"/>
    <w:rsid w:val="005F0433"/>
    <w:rsid w:val="005F0507"/>
    <w:rsid w:val="005F07DD"/>
    <w:rsid w:val="005F0909"/>
    <w:rsid w:val="005F0E3A"/>
    <w:rsid w:val="005F12D1"/>
    <w:rsid w:val="005F16C1"/>
    <w:rsid w:val="005F17AD"/>
    <w:rsid w:val="005F17AE"/>
    <w:rsid w:val="005F1BE2"/>
    <w:rsid w:val="005F1C1E"/>
    <w:rsid w:val="005F20AB"/>
    <w:rsid w:val="005F23EF"/>
    <w:rsid w:val="005F25E7"/>
    <w:rsid w:val="005F2976"/>
    <w:rsid w:val="005F2E02"/>
    <w:rsid w:val="005F34E5"/>
    <w:rsid w:val="005F35CF"/>
    <w:rsid w:val="005F3B13"/>
    <w:rsid w:val="005F409D"/>
    <w:rsid w:val="005F4534"/>
    <w:rsid w:val="005F49A9"/>
    <w:rsid w:val="005F4C61"/>
    <w:rsid w:val="005F4D9C"/>
    <w:rsid w:val="005F4DCB"/>
    <w:rsid w:val="005F51E2"/>
    <w:rsid w:val="005F53CB"/>
    <w:rsid w:val="005F5D1E"/>
    <w:rsid w:val="005F5F22"/>
    <w:rsid w:val="005F62BC"/>
    <w:rsid w:val="005F63F9"/>
    <w:rsid w:val="005F6A2F"/>
    <w:rsid w:val="005F6E11"/>
    <w:rsid w:val="005F6FDB"/>
    <w:rsid w:val="005F7C8C"/>
    <w:rsid w:val="005F7F7C"/>
    <w:rsid w:val="005F7FEA"/>
    <w:rsid w:val="006006F8"/>
    <w:rsid w:val="00600CC9"/>
    <w:rsid w:val="00601262"/>
    <w:rsid w:val="0060189F"/>
    <w:rsid w:val="00601952"/>
    <w:rsid w:val="00601987"/>
    <w:rsid w:val="00601C82"/>
    <w:rsid w:val="00601CD2"/>
    <w:rsid w:val="00601E2E"/>
    <w:rsid w:val="00603158"/>
    <w:rsid w:val="00603217"/>
    <w:rsid w:val="00603331"/>
    <w:rsid w:val="0060370F"/>
    <w:rsid w:val="006037F7"/>
    <w:rsid w:val="00603966"/>
    <w:rsid w:val="00603A92"/>
    <w:rsid w:val="00603AAD"/>
    <w:rsid w:val="00603AD1"/>
    <w:rsid w:val="00603D15"/>
    <w:rsid w:val="00603F86"/>
    <w:rsid w:val="00604442"/>
    <w:rsid w:val="00604700"/>
    <w:rsid w:val="00604836"/>
    <w:rsid w:val="0060485F"/>
    <w:rsid w:val="00604C32"/>
    <w:rsid w:val="00604C66"/>
    <w:rsid w:val="00604C95"/>
    <w:rsid w:val="00604D93"/>
    <w:rsid w:val="0060519E"/>
    <w:rsid w:val="0060539D"/>
    <w:rsid w:val="00605AD1"/>
    <w:rsid w:val="00605AF8"/>
    <w:rsid w:val="006061B1"/>
    <w:rsid w:val="00606294"/>
    <w:rsid w:val="00606A49"/>
    <w:rsid w:val="00606B10"/>
    <w:rsid w:val="00607023"/>
    <w:rsid w:val="0060703E"/>
    <w:rsid w:val="006077CF"/>
    <w:rsid w:val="006079BB"/>
    <w:rsid w:val="00607AE8"/>
    <w:rsid w:val="00607BD9"/>
    <w:rsid w:val="00607C23"/>
    <w:rsid w:val="00607C2E"/>
    <w:rsid w:val="00607D09"/>
    <w:rsid w:val="00607DEA"/>
    <w:rsid w:val="00607F43"/>
    <w:rsid w:val="00607FCF"/>
    <w:rsid w:val="0061004D"/>
    <w:rsid w:val="006101EE"/>
    <w:rsid w:val="006107BD"/>
    <w:rsid w:val="00611883"/>
    <w:rsid w:val="00611AC5"/>
    <w:rsid w:val="00611C88"/>
    <w:rsid w:val="00612054"/>
    <w:rsid w:val="006121EC"/>
    <w:rsid w:val="0061253F"/>
    <w:rsid w:val="0061285E"/>
    <w:rsid w:val="00612DF3"/>
    <w:rsid w:val="0061310A"/>
    <w:rsid w:val="00613224"/>
    <w:rsid w:val="006133BE"/>
    <w:rsid w:val="00613440"/>
    <w:rsid w:val="006134A8"/>
    <w:rsid w:val="0061386C"/>
    <w:rsid w:val="00613B00"/>
    <w:rsid w:val="006147E4"/>
    <w:rsid w:val="00614B86"/>
    <w:rsid w:val="00614D5A"/>
    <w:rsid w:val="00614ED8"/>
    <w:rsid w:val="00614EE3"/>
    <w:rsid w:val="006150B0"/>
    <w:rsid w:val="006150DA"/>
    <w:rsid w:val="0061521D"/>
    <w:rsid w:val="006153BF"/>
    <w:rsid w:val="0061561E"/>
    <w:rsid w:val="00615834"/>
    <w:rsid w:val="00615A18"/>
    <w:rsid w:val="00615DAF"/>
    <w:rsid w:val="00616017"/>
    <w:rsid w:val="00616EAD"/>
    <w:rsid w:val="00616FAD"/>
    <w:rsid w:val="00617412"/>
    <w:rsid w:val="006174B3"/>
    <w:rsid w:val="006176F5"/>
    <w:rsid w:val="006179A8"/>
    <w:rsid w:val="00617D65"/>
    <w:rsid w:val="00620106"/>
    <w:rsid w:val="00620112"/>
    <w:rsid w:val="00620180"/>
    <w:rsid w:val="00620463"/>
    <w:rsid w:val="00620959"/>
    <w:rsid w:val="00620DA5"/>
    <w:rsid w:val="00620EF3"/>
    <w:rsid w:val="006211C4"/>
    <w:rsid w:val="0062155F"/>
    <w:rsid w:val="00621AF7"/>
    <w:rsid w:val="00621B3D"/>
    <w:rsid w:val="00621B56"/>
    <w:rsid w:val="006222DC"/>
    <w:rsid w:val="00622338"/>
    <w:rsid w:val="00622479"/>
    <w:rsid w:val="00622583"/>
    <w:rsid w:val="00622584"/>
    <w:rsid w:val="00622BE6"/>
    <w:rsid w:val="00622C6E"/>
    <w:rsid w:val="00622F96"/>
    <w:rsid w:val="0062303D"/>
    <w:rsid w:val="006231D0"/>
    <w:rsid w:val="0062363A"/>
    <w:rsid w:val="00624095"/>
    <w:rsid w:val="0062413B"/>
    <w:rsid w:val="00624159"/>
    <w:rsid w:val="0062491D"/>
    <w:rsid w:val="00624A96"/>
    <w:rsid w:val="00624D09"/>
    <w:rsid w:val="00625077"/>
    <w:rsid w:val="006253EB"/>
    <w:rsid w:val="00626222"/>
    <w:rsid w:val="00626495"/>
    <w:rsid w:val="00626539"/>
    <w:rsid w:val="00626543"/>
    <w:rsid w:val="00626926"/>
    <w:rsid w:val="00626B24"/>
    <w:rsid w:val="00626D35"/>
    <w:rsid w:val="0062750C"/>
    <w:rsid w:val="00627556"/>
    <w:rsid w:val="006279AA"/>
    <w:rsid w:val="006279B9"/>
    <w:rsid w:val="00627A50"/>
    <w:rsid w:val="00630A7F"/>
    <w:rsid w:val="00630C0B"/>
    <w:rsid w:val="00630EB3"/>
    <w:rsid w:val="00630EC7"/>
    <w:rsid w:val="006310A9"/>
    <w:rsid w:val="00631149"/>
    <w:rsid w:val="0063216D"/>
    <w:rsid w:val="006321A0"/>
    <w:rsid w:val="006321D7"/>
    <w:rsid w:val="00632209"/>
    <w:rsid w:val="006324FC"/>
    <w:rsid w:val="006327F7"/>
    <w:rsid w:val="00633B0E"/>
    <w:rsid w:val="00633E1E"/>
    <w:rsid w:val="00633EE7"/>
    <w:rsid w:val="00633FAB"/>
    <w:rsid w:val="00633FE5"/>
    <w:rsid w:val="00634440"/>
    <w:rsid w:val="006349EA"/>
    <w:rsid w:val="006349F5"/>
    <w:rsid w:val="00634A07"/>
    <w:rsid w:val="00634A0B"/>
    <w:rsid w:val="00635351"/>
    <w:rsid w:val="006353C9"/>
    <w:rsid w:val="00635852"/>
    <w:rsid w:val="006358E7"/>
    <w:rsid w:val="0063591C"/>
    <w:rsid w:val="00635E43"/>
    <w:rsid w:val="006362AE"/>
    <w:rsid w:val="0063643C"/>
    <w:rsid w:val="00636E26"/>
    <w:rsid w:val="00636F89"/>
    <w:rsid w:val="006370A5"/>
    <w:rsid w:val="006375F1"/>
    <w:rsid w:val="00637E83"/>
    <w:rsid w:val="00640228"/>
    <w:rsid w:val="00640264"/>
    <w:rsid w:val="006408D6"/>
    <w:rsid w:val="00640ED7"/>
    <w:rsid w:val="0064122E"/>
    <w:rsid w:val="006413C1"/>
    <w:rsid w:val="00641580"/>
    <w:rsid w:val="00641679"/>
    <w:rsid w:val="00641905"/>
    <w:rsid w:val="0064193A"/>
    <w:rsid w:val="00641A8D"/>
    <w:rsid w:val="00641AF6"/>
    <w:rsid w:val="00641E18"/>
    <w:rsid w:val="006420B5"/>
    <w:rsid w:val="0064215D"/>
    <w:rsid w:val="00642A35"/>
    <w:rsid w:val="00642EBD"/>
    <w:rsid w:val="0064398B"/>
    <w:rsid w:val="00643C66"/>
    <w:rsid w:val="00643FBE"/>
    <w:rsid w:val="00644128"/>
    <w:rsid w:val="006443ED"/>
    <w:rsid w:val="006448C6"/>
    <w:rsid w:val="00644DB6"/>
    <w:rsid w:val="00645229"/>
    <w:rsid w:val="00645528"/>
    <w:rsid w:val="0064566E"/>
    <w:rsid w:val="00646274"/>
    <w:rsid w:val="006468ED"/>
    <w:rsid w:val="00646B70"/>
    <w:rsid w:val="00647084"/>
    <w:rsid w:val="006470EC"/>
    <w:rsid w:val="0064738C"/>
    <w:rsid w:val="00647B4F"/>
    <w:rsid w:val="00647CCD"/>
    <w:rsid w:val="00647ECF"/>
    <w:rsid w:val="00647ED1"/>
    <w:rsid w:val="00647F63"/>
    <w:rsid w:val="00647FF4"/>
    <w:rsid w:val="0065021B"/>
    <w:rsid w:val="00650DAD"/>
    <w:rsid w:val="00651232"/>
    <w:rsid w:val="006513CB"/>
    <w:rsid w:val="00651880"/>
    <w:rsid w:val="00651914"/>
    <w:rsid w:val="006519F0"/>
    <w:rsid w:val="00651E6F"/>
    <w:rsid w:val="00651FB2"/>
    <w:rsid w:val="00652599"/>
    <w:rsid w:val="0065260B"/>
    <w:rsid w:val="00652E7C"/>
    <w:rsid w:val="00653081"/>
    <w:rsid w:val="006533A5"/>
    <w:rsid w:val="006533CD"/>
    <w:rsid w:val="0065380A"/>
    <w:rsid w:val="006539BB"/>
    <w:rsid w:val="00653E42"/>
    <w:rsid w:val="00653E5E"/>
    <w:rsid w:val="00654210"/>
    <w:rsid w:val="00654DE9"/>
    <w:rsid w:val="0065549F"/>
    <w:rsid w:val="006555A9"/>
    <w:rsid w:val="00655A16"/>
    <w:rsid w:val="00655D40"/>
    <w:rsid w:val="00655F2C"/>
    <w:rsid w:val="0065610B"/>
    <w:rsid w:val="00656231"/>
    <w:rsid w:val="00656670"/>
    <w:rsid w:val="006566EE"/>
    <w:rsid w:val="00656832"/>
    <w:rsid w:val="00656C23"/>
    <w:rsid w:val="00656D9C"/>
    <w:rsid w:val="00656FD1"/>
    <w:rsid w:val="0065744F"/>
    <w:rsid w:val="00657568"/>
    <w:rsid w:val="006575DE"/>
    <w:rsid w:val="0065777F"/>
    <w:rsid w:val="00657A3A"/>
    <w:rsid w:val="00657A9C"/>
    <w:rsid w:val="00657B28"/>
    <w:rsid w:val="00657B6F"/>
    <w:rsid w:val="00657C75"/>
    <w:rsid w:val="00657D29"/>
    <w:rsid w:val="0066045E"/>
    <w:rsid w:val="00660696"/>
    <w:rsid w:val="00660879"/>
    <w:rsid w:val="00660982"/>
    <w:rsid w:val="00660B0D"/>
    <w:rsid w:val="00660C0B"/>
    <w:rsid w:val="006614E5"/>
    <w:rsid w:val="006619E6"/>
    <w:rsid w:val="00661EF9"/>
    <w:rsid w:val="00661F08"/>
    <w:rsid w:val="00662002"/>
    <w:rsid w:val="006627C4"/>
    <w:rsid w:val="00662A04"/>
    <w:rsid w:val="00662D02"/>
    <w:rsid w:val="0066326C"/>
    <w:rsid w:val="006638A6"/>
    <w:rsid w:val="00663968"/>
    <w:rsid w:val="00663ABB"/>
    <w:rsid w:val="00663AE1"/>
    <w:rsid w:val="00663CAC"/>
    <w:rsid w:val="00663D28"/>
    <w:rsid w:val="006642A0"/>
    <w:rsid w:val="00664408"/>
    <w:rsid w:val="00664429"/>
    <w:rsid w:val="0066450B"/>
    <w:rsid w:val="00665059"/>
    <w:rsid w:val="0066527D"/>
    <w:rsid w:val="006654B9"/>
    <w:rsid w:val="006654D2"/>
    <w:rsid w:val="0066578F"/>
    <w:rsid w:val="00666185"/>
    <w:rsid w:val="00666255"/>
    <w:rsid w:val="00666676"/>
    <w:rsid w:val="006666DA"/>
    <w:rsid w:val="0066675B"/>
    <w:rsid w:val="006669A1"/>
    <w:rsid w:val="00666F17"/>
    <w:rsid w:val="006671AC"/>
    <w:rsid w:val="0066720A"/>
    <w:rsid w:val="0066736D"/>
    <w:rsid w:val="00667AD8"/>
    <w:rsid w:val="00667BD7"/>
    <w:rsid w:val="00667F90"/>
    <w:rsid w:val="00667FC8"/>
    <w:rsid w:val="00670007"/>
    <w:rsid w:val="0067013D"/>
    <w:rsid w:val="00670ABF"/>
    <w:rsid w:val="00670DAB"/>
    <w:rsid w:val="00670EA6"/>
    <w:rsid w:val="00670FCC"/>
    <w:rsid w:val="006727E0"/>
    <w:rsid w:val="0067339D"/>
    <w:rsid w:val="006733CA"/>
    <w:rsid w:val="006737D8"/>
    <w:rsid w:val="00673828"/>
    <w:rsid w:val="00673892"/>
    <w:rsid w:val="00673B39"/>
    <w:rsid w:val="00673C79"/>
    <w:rsid w:val="00673D24"/>
    <w:rsid w:val="00674235"/>
    <w:rsid w:val="0067434F"/>
    <w:rsid w:val="00674378"/>
    <w:rsid w:val="00674385"/>
    <w:rsid w:val="00674497"/>
    <w:rsid w:val="00674668"/>
    <w:rsid w:val="006747E6"/>
    <w:rsid w:val="00674E3A"/>
    <w:rsid w:val="00674ECF"/>
    <w:rsid w:val="006752B0"/>
    <w:rsid w:val="0067575C"/>
    <w:rsid w:val="00675C30"/>
    <w:rsid w:val="00675DA7"/>
    <w:rsid w:val="00676659"/>
    <w:rsid w:val="00676915"/>
    <w:rsid w:val="00676AC4"/>
    <w:rsid w:val="00676BD8"/>
    <w:rsid w:val="00676FA6"/>
    <w:rsid w:val="006774A6"/>
    <w:rsid w:val="006778BA"/>
    <w:rsid w:val="006802B1"/>
    <w:rsid w:val="006810D8"/>
    <w:rsid w:val="006811B4"/>
    <w:rsid w:val="006812BE"/>
    <w:rsid w:val="006813FC"/>
    <w:rsid w:val="00681653"/>
    <w:rsid w:val="00681A6A"/>
    <w:rsid w:val="00681D3D"/>
    <w:rsid w:val="00681FC8"/>
    <w:rsid w:val="00682118"/>
    <w:rsid w:val="00682506"/>
    <w:rsid w:val="0068279F"/>
    <w:rsid w:val="0068291E"/>
    <w:rsid w:val="006829F6"/>
    <w:rsid w:val="00682C10"/>
    <w:rsid w:val="00682E1F"/>
    <w:rsid w:val="00683720"/>
    <w:rsid w:val="006837FF"/>
    <w:rsid w:val="00683A01"/>
    <w:rsid w:val="00683C9B"/>
    <w:rsid w:val="00683D42"/>
    <w:rsid w:val="00683E1D"/>
    <w:rsid w:val="00683F09"/>
    <w:rsid w:val="006840D2"/>
    <w:rsid w:val="0068429A"/>
    <w:rsid w:val="00684543"/>
    <w:rsid w:val="00684612"/>
    <w:rsid w:val="0068474F"/>
    <w:rsid w:val="00684A99"/>
    <w:rsid w:val="006853F2"/>
    <w:rsid w:val="006860DA"/>
    <w:rsid w:val="006861C3"/>
    <w:rsid w:val="006866E9"/>
    <w:rsid w:val="00686C74"/>
    <w:rsid w:val="006871E5"/>
    <w:rsid w:val="006872C7"/>
    <w:rsid w:val="00687E73"/>
    <w:rsid w:val="0069005D"/>
    <w:rsid w:val="0069039F"/>
    <w:rsid w:val="0069041A"/>
    <w:rsid w:val="00690458"/>
    <w:rsid w:val="006906E6"/>
    <w:rsid w:val="00690A64"/>
    <w:rsid w:val="00690B94"/>
    <w:rsid w:val="00690E1B"/>
    <w:rsid w:val="0069156C"/>
    <w:rsid w:val="006916CB"/>
    <w:rsid w:val="00691803"/>
    <w:rsid w:val="00691DE3"/>
    <w:rsid w:val="00691E40"/>
    <w:rsid w:val="00692552"/>
    <w:rsid w:val="00692604"/>
    <w:rsid w:val="006926D9"/>
    <w:rsid w:val="00692C3C"/>
    <w:rsid w:val="00693036"/>
    <w:rsid w:val="0069344B"/>
    <w:rsid w:val="00693572"/>
    <w:rsid w:val="0069371F"/>
    <w:rsid w:val="0069376F"/>
    <w:rsid w:val="00693C9E"/>
    <w:rsid w:val="00693E27"/>
    <w:rsid w:val="00694059"/>
    <w:rsid w:val="0069488C"/>
    <w:rsid w:val="006948B5"/>
    <w:rsid w:val="006949B0"/>
    <w:rsid w:val="006950FD"/>
    <w:rsid w:val="0069526E"/>
    <w:rsid w:val="00695596"/>
    <w:rsid w:val="0069568C"/>
    <w:rsid w:val="006956FC"/>
    <w:rsid w:val="00695758"/>
    <w:rsid w:val="00695D3D"/>
    <w:rsid w:val="00695D79"/>
    <w:rsid w:val="00695E35"/>
    <w:rsid w:val="006961F3"/>
    <w:rsid w:val="0069632C"/>
    <w:rsid w:val="006963DD"/>
    <w:rsid w:val="006965EE"/>
    <w:rsid w:val="00696ABD"/>
    <w:rsid w:val="00696AC3"/>
    <w:rsid w:val="00696C86"/>
    <w:rsid w:val="006971A1"/>
    <w:rsid w:val="0069746A"/>
    <w:rsid w:val="00697552"/>
    <w:rsid w:val="00697B61"/>
    <w:rsid w:val="006A03E6"/>
    <w:rsid w:val="006A06B9"/>
    <w:rsid w:val="006A0806"/>
    <w:rsid w:val="006A123F"/>
    <w:rsid w:val="006A1245"/>
    <w:rsid w:val="006A153B"/>
    <w:rsid w:val="006A182C"/>
    <w:rsid w:val="006A1B34"/>
    <w:rsid w:val="006A26F1"/>
    <w:rsid w:val="006A27EE"/>
    <w:rsid w:val="006A28DF"/>
    <w:rsid w:val="006A2D39"/>
    <w:rsid w:val="006A2F6D"/>
    <w:rsid w:val="006A2F76"/>
    <w:rsid w:val="006A2FB2"/>
    <w:rsid w:val="006A3194"/>
    <w:rsid w:val="006A330A"/>
    <w:rsid w:val="006A3C0D"/>
    <w:rsid w:val="006A3E77"/>
    <w:rsid w:val="006A3FB1"/>
    <w:rsid w:val="006A4B67"/>
    <w:rsid w:val="006A4CA5"/>
    <w:rsid w:val="006A4F16"/>
    <w:rsid w:val="006A4F4D"/>
    <w:rsid w:val="006A5027"/>
    <w:rsid w:val="006A5590"/>
    <w:rsid w:val="006A55B0"/>
    <w:rsid w:val="006A5E71"/>
    <w:rsid w:val="006A6198"/>
    <w:rsid w:val="006A63EA"/>
    <w:rsid w:val="006A6625"/>
    <w:rsid w:val="006A673D"/>
    <w:rsid w:val="006A697B"/>
    <w:rsid w:val="006A69DF"/>
    <w:rsid w:val="006A6FC7"/>
    <w:rsid w:val="006A70CD"/>
    <w:rsid w:val="006A70F1"/>
    <w:rsid w:val="006A77ED"/>
    <w:rsid w:val="006A7893"/>
    <w:rsid w:val="006A7DAE"/>
    <w:rsid w:val="006A7DEB"/>
    <w:rsid w:val="006B04D5"/>
    <w:rsid w:val="006B0D66"/>
    <w:rsid w:val="006B0EDD"/>
    <w:rsid w:val="006B1546"/>
    <w:rsid w:val="006B15F1"/>
    <w:rsid w:val="006B1762"/>
    <w:rsid w:val="006B1851"/>
    <w:rsid w:val="006B20E0"/>
    <w:rsid w:val="006B2199"/>
    <w:rsid w:val="006B22FE"/>
    <w:rsid w:val="006B25A8"/>
    <w:rsid w:val="006B2771"/>
    <w:rsid w:val="006B28F8"/>
    <w:rsid w:val="006B2907"/>
    <w:rsid w:val="006B2D3F"/>
    <w:rsid w:val="006B2E10"/>
    <w:rsid w:val="006B387B"/>
    <w:rsid w:val="006B3945"/>
    <w:rsid w:val="006B39E0"/>
    <w:rsid w:val="006B3B88"/>
    <w:rsid w:val="006B3C36"/>
    <w:rsid w:val="006B409B"/>
    <w:rsid w:val="006B444B"/>
    <w:rsid w:val="006B4649"/>
    <w:rsid w:val="006B482C"/>
    <w:rsid w:val="006B4874"/>
    <w:rsid w:val="006B48FC"/>
    <w:rsid w:val="006B4BC9"/>
    <w:rsid w:val="006B4C13"/>
    <w:rsid w:val="006B502C"/>
    <w:rsid w:val="006B53A3"/>
    <w:rsid w:val="006B5A28"/>
    <w:rsid w:val="006B5B3F"/>
    <w:rsid w:val="006B6257"/>
    <w:rsid w:val="006B64A4"/>
    <w:rsid w:val="006B6506"/>
    <w:rsid w:val="006B674A"/>
    <w:rsid w:val="006B678A"/>
    <w:rsid w:val="006B67C8"/>
    <w:rsid w:val="006B6CE9"/>
    <w:rsid w:val="006B7417"/>
    <w:rsid w:val="006B76F0"/>
    <w:rsid w:val="006B7F1C"/>
    <w:rsid w:val="006C00C6"/>
    <w:rsid w:val="006C0233"/>
    <w:rsid w:val="006C0421"/>
    <w:rsid w:val="006C07D7"/>
    <w:rsid w:val="006C0C3A"/>
    <w:rsid w:val="006C0C9B"/>
    <w:rsid w:val="006C0D2F"/>
    <w:rsid w:val="006C1238"/>
    <w:rsid w:val="006C1EF1"/>
    <w:rsid w:val="006C1F26"/>
    <w:rsid w:val="006C2F10"/>
    <w:rsid w:val="006C34D3"/>
    <w:rsid w:val="006C35EC"/>
    <w:rsid w:val="006C3A29"/>
    <w:rsid w:val="006C3DE7"/>
    <w:rsid w:val="006C4018"/>
    <w:rsid w:val="006C4038"/>
    <w:rsid w:val="006C41B6"/>
    <w:rsid w:val="006C4206"/>
    <w:rsid w:val="006C4459"/>
    <w:rsid w:val="006C4754"/>
    <w:rsid w:val="006C4B65"/>
    <w:rsid w:val="006C55D7"/>
    <w:rsid w:val="006C5783"/>
    <w:rsid w:val="006C5955"/>
    <w:rsid w:val="006C5C16"/>
    <w:rsid w:val="006C6841"/>
    <w:rsid w:val="006C6DB2"/>
    <w:rsid w:val="006C7248"/>
    <w:rsid w:val="006C77A0"/>
    <w:rsid w:val="006C7E07"/>
    <w:rsid w:val="006D00F7"/>
    <w:rsid w:val="006D0354"/>
    <w:rsid w:val="006D049F"/>
    <w:rsid w:val="006D0723"/>
    <w:rsid w:val="006D0789"/>
    <w:rsid w:val="006D0DA2"/>
    <w:rsid w:val="006D0E37"/>
    <w:rsid w:val="006D1320"/>
    <w:rsid w:val="006D13D9"/>
    <w:rsid w:val="006D140F"/>
    <w:rsid w:val="006D16A5"/>
    <w:rsid w:val="006D202C"/>
    <w:rsid w:val="006D285B"/>
    <w:rsid w:val="006D2BE6"/>
    <w:rsid w:val="006D2D4C"/>
    <w:rsid w:val="006D2DCA"/>
    <w:rsid w:val="006D2E1E"/>
    <w:rsid w:val="006D30D7"/>
    <w:rsid w:val="006D3691"/>
    <w:rsid w:val="006D3796"/>
    <w:rsid w:val="006D3EE2"/>
    <w:rsid w:val="006D41C9"/>
    <w:rsid w:val="006D44D3"/>
    <w:rsid w:val="006D465F"/>
    <w:rsid w:val="006D46FB"/>
    <w:rsid w:val="006D4BF0"/>
    <w:rsid w:val="006D4E96"/>
    <w:rsid w:val="006D4EC0"/>
    <w:rsid w:val="006D4F22"/>
    <w:rsid w:val="006D51EA"/>
    <w:rsid w:val="006D5890"/>
    <w:rsid w:val="006D5C66"/>
    <w:rsid w:val="006D5CF3"/>
    <w:rsid w:val="006D5FDA"/>
    <w:rsid w:val="006D6016"/>
    <w:rsid w:val="006D602A"/>
    <w:rsid w:val="006D619C"/>
    <w:rsid w:val="006D6623"/>
    <w:rsid w:val="006D691C"/>
    <w:rsid w:val="006D6A2C"/>
    <w:rsid w:val="006D6A5A"/>
    <w:rsid w:val="006D6DC0"/>
    <w:rsid w:val="006D70F4"/>
    <w:rsid w:val="006D72C3"/>
    <w:rsid w:val="006D7666"/>
    <w:rsid w:val="006D7794"/>
    <w:rsid w:val="006D7FE0"/>
    <w:rsid w:val="006E0111"/>
    <w:rsid w:val="006E0577"/>
    <w:rsid w:val="006E06D1"/>
    <w:rsid w:val="006E0939"/>
    <w:rsid w:val="006E0DAD"/>
    <w:rsid w:val="006E0FEF"/>
    <w:rsid w:val="006E1504"/>
    <w:rsid w:val="006E1577"/>
    <w:rsid w:val="006E1BA3"/>
    <w:rsid w:val="006E1E33"/>
    <w:rsid w:val="006E1E76"/>
    <w:rsid w:val="006E23F3"/>
    <w:rsid w:val="006E2668"/>
    <w:rsid w:val="006E2856"/>
    <w:rsid w:val="006E29DE"/>
    <w:rsid w:val="006E2F0F"/>
    <w:rsid w:val="006E35D8"/>
    <w:rsid w:val="006E392E"/>
    <w:rsid w:val="006E394E"/>
    <w:rsid w:val="006E3985"/>
    <w:rsid w:val="006E3D26"/>
    <w:rsid w:val="006E3D69"/>
    <w:rsid w:val="006E3FDC"/>
    <w:rsid w:val="006E4176"/>
    <w:rsid w:val="006E42F6"/>
    <w:rsid w:val="006E43C1"/>
    <w:rsid w:val="006E58F0"/>
    <w:rsid w:val="006E5A7F"/>
    <w:rsid w:val="006E5D6B"/>
    <w:rsid w:val="006E5E81"/>
    <w:rsid w:val="006E5F7D"/>
    <w:rsid w:val="006E6885"/>
    <w:rsid w:val="006E6D52"/>
    <w:rsid w:val="006E708D"/>
    <w:rsid w:val="006E72F4"/>
    <w:rsid w:val="006E7A41"/>
    <w:rsid w:val="006E7B03"/>
    <w:rsid w:val="006E7F6C"/>
    <w:rsid w:val="006F01E3"/>
    <w:rsid w:val="006F0276"/>
    <w:rsid w:val="006F058D"/>
    <w:rsid w:val="006F0AD0"/>
    <w:rsid w:val="006F0B84"/>
    <w:rsid w:val="006F0CEB"/>
    <w:rsid w:val="006F0FC7"/>
    <w:rsid w:val="006F121F"/>
    <w:rsid w:val="006F140E"/>
    <w:rsid w:val="006F1A6E"/>
    <w:rsid w:val="006F1C3C"/>
    <w:rsid w:val="006F1C63"/>
    <w:rsid w:val="006F1CEF"/>
    <w:rsid w:val="006F2012"/>
    <w:rsid w:val="006F25AB"/>
    <w:rsid w:val="006F279D"/>
    <w:rsid w:val="006F307D"/>
    <w:rsid w:val="006F361E"/>
    <w:rsid w:val="006F36AE"/>
    <w:rsid w:val="006F435E"/>
    <w:rsid w:val="006F4DE3"/>
    <w:rsid w:val="006F5022"/>
    <w:rsid w:val="006F50CD"/>
    <w:rsid w:val="006F5127"/>
    <w:rsid w:val="006F5215"/>
    <w:rsid w:val="006F571C"/>
    <w:rsid w:val="006F5770"/>
    <w:rsid w:val="006F5B3E"/>
    <w:rsid w:val="006F5C70"/>
    <w:rsid w:val="006F5CEB"/>
    <w:rsid w:val="006F6727"/>
    <w:rsid w:val="006F6950"/>
    <w:rsid w:val="006F6B1D"/>
    <w:rsid w:val="006F6DA2"/>
    <w:rsid w:val="006F6DE0"/>
    <w:rsid w:val="006F7327"/>
    <w:rsid w:val="006F7585"/>
    <w:rsid w:val="006F7853"/>
    <w:rsid w:val="006F7AF9"/>
    <w:rsid w:val="006F7B2F"/>
    <w:rsid w:val="006F7BA2"/>
    <w:rsid w:val="007002D6"/>
    <w:rsid w:val="007003C1"/>
    <w:rsid w:val="007004BF"/>
    <w:rsid w:val="00700540"/>
    <w:rsid w:val="00700757"/>
    <w:rsid w:val="0070094C"/>
    <w:rsid w:val="0070109F"/>
    <w:rsid w:val="007011B2"/>
    <w:rsid w:val="0070142C"/>
    <w:rsid w:val="0070171F"/>
    <w:rsid w:val="00701AAB"/>
    <w:rsid w:val="00701BB1"/>
    <w:rsid w:val="00701C2D"/>
    <w:rsid w:val="00701D05"/>
    <w:rsid w:val="00702482"/>
    <w:rsid w:val="00702865"/>
    <w:rsid w:val="00702AF7"/>
    <w:rsid w:val="00702C8A"/>
    <w:rsid w:val="00702C97"/>
    <w:rsid w:val="00703210"/>
    <w:rsid w:val="00703230"/>
    <w:rsid w:val="00703305"/>
    <w:rsid w:val="00703788"/>
    <w:rsid w:val="00703BB2"/>
    <w:rsid w:val="00703D9D"/>
    <w:rsid w:val="00703EB0"/>
    <w:rsid w:val="0070428A"/>
    <w:rsid w:val="007043D4"/>
    <w:rsid w:val="007048DE"/>
    <w:rsid w:val="00704914"/>
    <w:rsid w:val="00704A58"/>
    <w:rsid w:val="00704AA5"/>
    <w:rsid w:val="00704ABE"/>
    <w:rsid w:val="00704B5E"/>
    <w:rsid w:val="00705404"/>
    <w:rsid w:val="00705843"/>
    <w:rsid w:val="00705CC5"/>
    <w:rsid w:val="00705F77"/>
    <w:rsid w:val="007063F8"/>
    <w:rsid w:val="007064A7"/>
    <w:rsid w:val="00706879"/>
    <w:rsid w:val="007068C6"/>
    <w:rsid w:val="00706915"/>
    <w:rsid w:val="00706E56"/>
    <w:rsid w:val="00706F1E"/>
    <w:rsid w:val="00706F99"/>
    <w:rsid w:val="0070735B"/>
    <w:rsid w:val="007073EE"/>
    <w:rsid w:val="007074A2"/>
    <w:rsid w:val="00707929"/>
    <w:rsid w:val="007079CC"/>
    <w:rsid w:val="00710040"/>
    <w:rsid w:val="007100B4"/>
    <w:rsid w:val="007107B3"/>
    <w:rsid w:val="00710A79"/>
    <w:rsid w:val="00710CB5"/>
    <w:rsid w:val="00710D4C"/>
    <w:rsid w:val="00710D5E"/>
    <w:rsid w:val="00710E4B"/>
    <w:rsid w:val="00711246"/>
    <w:rsid w:val="00711E15"/>
    <w:rsid w:val="00711F96"/>
    <w:rsid w:val="00712161"/>
    <w:rsid w:val="00712215"/>
    <w:rsid w:val="007124F8"/>
    <w:rsid w:val="00712EB6"/>
    <w:rsid w:val="007132D0"/>
    <w:rsid w:val="007133E1"/>
    <w:rsid w:val="0071340F"/>
    <w:rsid w:val="00713513"/>
    <w:rsid w:val="00713ABE"/>
    <w:rsid w:val="0071441E"/>
    <w:rsid w:val="0071445D"/>
    <w:rsid w:val="007144C0"/>
    <w:rsid w:val="00714CC7"/>
    <w:rsid w:val="00714F79"/>
    <w:rsid w:val="00715058"/>
    <w:rsid w:val="00715060"/>
    <w:rsid w:val="00715793"/>
    <w:rsid w:val="00715B4F"/>
    <w:rsid w:val="00715F4D"/>
    <w:rsid w:val="007160DC"/>
    <w:rsid w:val="007161EC"/>
    <w:rsid w:val="0071636F"/>
    <w:rsid w:val="00716674"/>
    <w:rsid w:val="007167CA"/>
    <w:rsid w:val="00716B7E"/>
    <w:rsid w:val="00716DBE"/>
    <w:rsid w:val="00716E89"/>
    <w:rsid w:val="007172FE"/>
    <w:rsid w:val="00717394"/>
    <w:rsid w:val="00717914"/>
    <w:rsid w:val="00717F4E"/>
    <w:rsid w:val="00720343"/>
    <w:rsid w:val="0072051B"/>
    <w:rsid w:val="007206B3"/>
    <w:rsid w:val="00720A86"/>
    <w:rsid w:val="007218D5"/>
    <w:rsid w:val="00721B8F"/>
    <w:rsid w:val="0072236C"/>
    <w:rsid w:val="00722661"/>
    <w:rsid w:val="00722836"/>
    <w:rsid w:val="007228A8"/>
    <w:rsid w:val="00722B9E"/>
    <w:rsid w:val="00722CC5"/>
    <w:rsid w:val="0072301F"/>
    <w:rsid w:val="007231E0"/>
    <w:rsid w:val="00723709"/>
    <w:rsid w:val="00723882"/>
    <w:rsid w:val="007238A2"/>
    <w:rsid w:val="007239F4"/>
    <w:rsid w:val="00723E7E"/>
    <w:rsid w:val="00724365"/>
    <w:rsid w:val="00724A04"/>
    <w:rsid w:val="00724D6D"/>
    <w:rsid w:val="00725C92"/>
    <w:rsid w:val="00725DCB"/>
    <w:rsid w:val="0072606B"/>
    <w:rsid w:val="007260A8"/>
    <w:rsid w:val="00726124"/>
    <w:rsid w:val="007264E0"/>
    <w:rsid w:val="00726C83"/>
    <w:rsid w:val="00726F40"/>
    <w:rsid w:val="00727240"/>
    <w:rsid w:val="007275CB"/>
    <w:rsid w:val="0072773D"/>
    <w:rsid w:val="00727944"/>
    <w:rsid w:val="00727B64"/>
    <w:rsid w:val="00727C1C"/>
    <w:rsid w:val="007300E6"/>
    <w:rsid w:val="00730519"/>
    <w:rsid w:val="00730B7A"/>
    <w:rsid w:val="00730C28"/>
    <w:rsid w:val="00730CC4"/>
    <w:rsid w:val="00731364"/>
    <w:rsid w:val="0073138B"/>
    <w:rsid w:val="00731C0B"/>
    <w:rsid w:val="00732041"/>
    <w:rsid w:val="0073246C"/>
    <w:rsid w:val="00732D82"/>
    <w:rsid w:val="00733330"/>
    <w:rsid w:val="00733567"/>
    <w:rsid w:val="0073385B"/>
    <w:rsid w:val="00734297"/>
    <w:rsid w:val="00734334"/>
    <w:rsid w:val="00734413"/>
    <w:rsid w:val="00734C2E"/>
    <w:rsid w:val="00734E67"/>
    <w:rsid w:val="00734EFB"/>
    <w:rsid w:val="007355B2"/>
    <w:rsid w:val="00735BE2"/>
    <w:rsid w:val="00735F63"/>
    <w:rsid w:val="007367BC"/>
    <w:rsid w:val="00736EEE"/>
    <w:rsid w:val="00736F45"/>
    <w:rsid w:val="00737237"/>
    <w:rsid w:val="007372CA"/>
    <w:rsid w:val="0073730C"/>
    <w:rsid w:val="00737662"/>
    <w:rsid w:val="007378CC"/>
    <w:rsid w:val="007402B9"/>
    <w:rsid w:val="0074046A"/>
    <w:rsid w:val="007407FC"/>
    <w:rsid w:val="007408E1"/>
    <w:rsid w:val="00740A65"/>
    <w:rsid w:val="00741837"/>
    <w:rsid w:val="00742463"/>
    <w:rsid w:val="007424EB"/>
    <w:rsid w:val="00742925"/>
    <w:rsid w:val="00742C0D"/>
    <w:rsid w:val="00742E03"/>
    <w:rsid w:val="00742E8C"/>
    <w:rsid w:val="00743270"/>
    <w:rsid w:val="00743704"/>
    <w:rsid w:val="00743830"/>
    <w:rsid w:val="0074393F"/>
    <w:rsid w:val="00744776"/>
    <w:rsid w:val="00744AD2"/>
    <w:rsid w:val="00744B38"/>
    <w:rsid w:val="00744C94"/>
    <w:rsid w:val="0074524D"/>
    <w:rsid w:val="00745350"/>
    <w:rsid w:val="00745A11"/>
    <w:rsid w:val="00745C48"/>
    <w:rsid w:val="00745FCD"/>
    <w:rsid w:val="007465BE"/>
    <w:rsid w:val="00746AE9"/>
    <w:rsid w:val="00746BC3"/>
    <w:rsid w:val="007471E6"/>
    <w:rsid w:val="007472A5"/>
    <w:rsid w:val="00747A6A"/>
    <w:rsid w:val="0075008A"/>
    <w:rsid w:val="00750274"/>
    <w:rsid w:val="007503ED"/>
    <w:rsid w:val="0075061D"/>
    <w:rsid w:val="00750649"/>
    <w:rsid w:val="007507F9"/>
    <w:rsid w:val="00750904"/>
    <w:rsid w:val="00750991"/>
    <w:rsid w:val="00750AE4"/>
    <w:rsid w:val="00750C98"/>
    <w:rsid w:val="00751325"/>
    <w:rsid w:val="00751657"/>
    <w:rsid w:val="00751E90"/>
    <w:rsid w:val="00752439"/>
    <w:rsid w:val="007528AF"/>
    <w:rsid w:val="007529AF"/>
    <w:rsid w:val="0075319C"/>
    <w:rsid w:val="0075346B"/>
    <w:rsid w:val="0075373E"/>
    <w:rsid w:val="00753949"/>
    <w:rsid w:val="00753B8C"/>
    <w:rsid w:val="00753B9A"/>
    <w:rsid w:val="007544AE"/>
    <w:rsid w:val="00754568"/>
    <w:rsid w:val="007545CA"/>
    <w:rsid w:val="00754622"/>
    <w:rsid w:val="007547DC"/>
    <w:rsid w:val="00754916"/>
    <w:rsid w:val="00754AE6"/>
    <w:rsid w:val="00754C3A"/>
    <w:rsid w:val="00754DA3"/>
    <w:rsid w:val="00754FDD"/>
    <w:rsid w:val="00754FE9"/>
    <w:rsid w:val="00755289"/>
    <w:rsid w:val="00755312"/>
    <w:rsid w:val="007553DE"/>
    <w:rsid w:val="00755991"/>
    <w:rsid w:val="00755D19"/>
    <w:rsid w:val="00756062"/>
    <w:rsid w:val="007560FC"/>
    <w:rsid w:val="007564AE"/>
    <w:rsid w:val="00756948"/>
    <w:rsid w:val="00757283"/>
    <w:rsid w:val="00757956"/>
    <w:rsid w:val="007579CD"/>
    <w:rsid w:val="00760687"/>
    <w:rsid w:val="0076079A"/>
    <w:rsid w:val="00760847"/>
    <w:rsid w:val="00760B6C"/>
    <w:rsid w:val="00760D90"/>
    <w:rsid w:val="007613CC"/>
    <w:rsid w:val="007616A6"/>
    <w:rsid w:val="00761B50"/>
    <w:rsid w:val="00761CCE"/>
    <w:rsid w:val="007621C7"/>
    <w:rsid w:val="00763193"/>
    <w:rsid w:val="0076360A"/>
    <w:rsid w:val="00763905"/>
    <w:rsid w:val="00763AFC"/>
    <w:rsid w:val="00763BDE"/>
    <w:rsid w:val="00763E13"/>
    <w:rsid w:val="00764203"/>
    <w:rsid w:val="007649FA"/>
    <w:rsid w:val="00764AF0"/>
    <w:rsid w:val="00764CC9"/>
    <w:rsid w:val="00764DEC"/>
    <w:rsid w:val="00764F19"/>
    <w:rsid w:val="00765ED6"/>
    <w:rsid w:val="0076660A"/>
    <w:rsid w:val="0076678B"/>
    <w:rsid w:val="00766875"/>
    <w:rsid w:val="00766C95"/>
    <w:rsid w:val="00767B32"/>
    <w:rsid w:val="00767D2F"/>
    <w:rsid w:val="007701AD"/>
    <w:rsid w:val="0077087D"/>
    <w:rsid w:val="007711AB"/>
    <w:rsid w:val="00771767"/>
    <w:rsid w:val="0077183F"/>
    <w:rsid w:val="00771893"/>
    <w:rsid w:val="00771E87"/>
    <w:rsid w:val="007722D6"/>
    <w:rsid w:val="007722FD"/>
    <w:rsid w:val="007723C8"/>
    <w:rsid w:val="007723F2"/>
    <w:rsid w:val="00772488"/>
    <w:rsid w:val="007724E2"/>
    <w:rsid w:val="007724E9"/>
    <w:rsid w:val="007725DB"/>
    <w:rsid w:val="00772895"/>
    <w:rsid w:val="00772AD5"/>
    <w:rsid w:val="0077320F"/>
    <w:rsid w:val="0077383A"/>
    <w:rsid w:val="00773F66"/>
    <w:rsid w:val="007743C4"/>
    <w:rsid w:val="00774FBF"/>
    <w:rsid w:val="007751D9"/>
    <w:rsid w:val="00775217"/>
    <w:rsid w:val="00775706"/>
    <w:rsid w:val="00776282"/>
    <w:rsid w:val="007769BB"/>
    <w:rsid w:val="007769FD"/>
    <w:rsid w:val="00776D04"/>
    <w:rsid w:val="00776D3D"/>
    <w:rsid w:val="007773DE"/>
    <w:rsid w:val="007773E4"/>
    <w:rsid w:val="0077771E"/>
    <w:rsid w:val="00777A31"/>
    <w:rsid w:val="00777F70"/>
    <w:rsid w:val="0078026F"/>
    <w:rsid w:val="007803E2"/>
    <w:rsid w:val="007811FB"/>
    <w:rsid w:val="0078124C"/>
    <w:rsid w:val="0078156B"/>
    <w:rsid w:val="007816A2"/>
    <w:rsid w:val="00781978"/>
    <w:rsid w:val="00781D37"/>
    <w:rsid w:val="0078214E"/>
    <w:rsid w:val="007825A6"/>
    <w:rsid w:val="00782651"/>
    <w:rsid w:val="00782B0D"/>
    <w:rsid w:val="00782D9E"/>
    <w:rsid w:val="00782E76"/>
    <w:rsid w:val="00782E80"/>
    <w:rsid w:val="00782EE4"/>
    <w:rsid w:val="00782F8D"/>
    <w:rsid w:val="00783300"/>
    <w:rsid w:val="00783689"/>
    <w:rsid w:val="0078384E"/>
    <w:rsid w:val="00783C13"/>
    <w:rsid w:val="00783DD6"/>
    <w:rsid w:val="00783E1C"/>
    <w:rsid w:val="00783F7C"/>
    <w:rsid w:val="00784558"/>
    <w:rsid w:val="007845A5"/>
    <w:rsid w:val="0078489C"/>
    <w:rsid w:val="00784B0D"/>
    <w:rsid w:val="00784DD3"/>
    <w:rsid w:val="00784DE5"/>
    <w:rsid w:val="00785418"/>
    <w:rsid w:val="0078568F"/>
    <w:rsid w:val="00785C49"/>
    <w:rsid w:val="00785C4B"/>
    <w:rsid w:val="00785E7D"/>
    <w:rsid w:val="007862BE"/>
    <w:rsid w:val="007863B1"/>
    <w:rsid w:val="0078660F"/>
    <w:rsid w:val="007866F5"/>
    <w:rsid w:val="0078675A"/>
    <w:rsid w:val="00786AF2"/>
    <w:rsid w:val="00786D3E"/>
    <w:rsid w:val="00786D9C"/>
    <w:rsid w:val="00787E27"/>
    <w:rsid w:val="007901EA"/>
    <w:rsid w:val="00790283"/>
    <w:rsid w:val="007909F6"/>
    <w:rsid w:val="00790A74"/>
    <w:rsid w:val="00790C9E"/>
    <w:rsid w:val="00790D33"/>
    <w:rsid w:val="00790ECF"/>
    <w:rsid w:val="00791014"/>
    <w:rsid w:val="00791723"/>
    <w:rsid w:val="00791D1D"/>
    <w:rsid w:val="0079288D"/>
    <w:rsid w:val="007928E8"/>
    <w:rsid w:val="007929E3"/>
    <w:rsid w:val="0079383F"/>
    <w:rsid w:val="00794703"/>
    <w:rsid w:val="0079486E"/>
    <w:rsid w:val="00794D94"/>
    <w:rsid w:val="00794E35"/>
    <w:rsid w:val="00795350"/>
    <w:rsid w:val="007954B7"/>
    <w:rsid w:val="007954CD"/>
    <w:rsid w:val="0079568A"/>
    <w:rsid w:val="007957A5"/>
    <w:rsid w:val="00795ED1"/>
    <w:rsid w:val="007960F2"/>
    <w:rsid w:val="0079613F"/>
    <w:rsid w:val="0079648A"/>
    <w:rsid w:val="0079708C"/>
    <w:rsid w:val="007971A2"/>
    <w:rsid w:val="00797282"/>
    <w:rsid w:val="007972E9"/>
    <w:rsid w:val="0079730C"/>
    <w:rsid w:val="00797AFE"/>
    <w:rsid w:val="00797F2F"/>
    <w:rsid w:val="007A0B0F"/>
    <w:rsid w:val="007A0DCA"/>
    <w:rsid w:val="007A0F63"/>
    <w:rsid w:val="007A1102"/>
    <w:rsid w:val="007A1334"/>
    <w:rsid w:val="007A13B0"/>
    <w:rsid w:val="007A1438"/>
    <w:rsid w:val="007A1613"/>
    <w:rsid w:val="007A1C71"/>
    <w:rsid w:val="007A1E70"/>
    <w:rsid w:val="007A225E"/>
    <w:rsid w:val="007A23E6"/>
    <w:rsid w:val="007A2423"/>
    <w:rsid w:val="007A273E"/>
    <w:rsid w:val="007A2846"/>
    <w:rsid w:val="007A2D2C"/>
    <w:rsid w:val="007A304F"/>
    <w:rsid w:val="007A32B7"/>
    <w:rsid w:val="007A33BE"/>
    <w:rsid w:val="007A3463"/>
    <w:rsid w:val="007A351C"/>
    <w:rsid w:val="007A35C0"/>
    <w:rsid w:val="007A389E"/>
    <w:rsid w:val="007A3AAB"/>
    <w:rsid w:val="007A3EAE"/>
    <w:rsid w:val="007A402F"/>
    <w:rsid w:val="007A4128"/>
    <w:rsid w:val="007A41B7"/>
    <w:rsid w:val="007A44B9"/>
    <w:rsid w:val="007A4883"/>
    <w:rsid w:val="007A48AA"/>
    <w:rsid w:val="007A4FAF"/>
    <w:rsid w:val="007A4FEC"/>
    <w:rsid w:val="007A5482"/>
    <w:rsid w:val="007A5911"/>
    <w:rsid w:val="007A59AB"/>
    <w:rsid w:val="007A5B72"/>
    <w:rsid w:val="007A5EF0"/>
    <w:rsid w:val="007A5F7E"/>
    <w:rsid w:val="007A60E0"/>
    <w:rsid w:val="007A63F9"/>
    <w:rsid w:val="007A6588"/>
    <w:rsid w:val="007A6601"/>
    <w:rsid w:val="007A66CB"/>
    <w:rsid w:val="007A670F"/>
    <w:rsid w:val="007A6A62"/>
    <w:rsid w:val="007A6BD7"/>
    <w:rsid w:val="007A7135"/>
    <w:rsid w:val="007A7252"/>
    <w:rsid w:val="007A73D8"/>
    <w:rsid w:val="007A7508"/>
    <w:rsid w:val="007A7632"/>
    <w:rsid w:val="007A794D"/>
    <w:rsid w:val="007A7C16"/>
    <w:rsid w:val="007B00AB"/>
    <w:rsid w:val="007B041A"/>
    <w:rsid w:val="007B0859"/>
    <w:rsid w:val="007B097F"/>
    <w:rsid w:val="007B0DC2"/>
    <w:rsid w:val="007B1861"/>
    <w:rsid w:val="007B18A3"/>
    <w:rsid w:val="007B1A7B"/>
    <w:rsid w:val="007B1C99"/>
    <w:rsid w:val="007B1F44"/>
    <w:rsid w:val="007B1FFD"/>
    <w:rsid w:val="007B20DB"/>
    <w:rsid w:val="007B20DC"/>
    <w:rsid w:val="007B25A6"/>
    <w:rsid w:val="007B2AC2"/>
    <w:rsid w:val="007B2C9F"/>
    <w:rsid w:val="007B30D1"/>
    <w:rsid w:val="007B312F"/>
    <w:rsid w:val="007B38A9"/>
    <w:rsid w:val="007B3F69"/>
    <w:rsid w:val="007B409E"/>
    <w:rsid w:val="007B42DD"/>
    <w:rsid w:val="007B44B3"/>
    <w:rsid w:val="007B48CB"/>
    <w:rsid w:val="007B4B12"/>
    <w:rsid w:val="007B4C3F"/>
    <w:rsid w:val="007B4D9C"/>
    <w:rsid w:val="007B5347"/>
    <w:rsid w:val="007B53E8"/>
    <w:rsid w:val="007B54C6"/>
    <w:rsid w:val="007B5D28"/>
    <w:rsid w:val="007B5EE4"/>
    <w:rsid w:val="007B5F7D"/>
    <w:rsid w:val="007B6139"/>
    <w:rsid w:val="007B6535"/>
    <w:rsid w:val="007B662E"/>
    <w:rsid w:val="007B6810"/>
    <w:rsid w:val="007B6829"/>
    <w:rsid w:val="007B6BD0"/>
    <w:rsid w:val="007B7031"/>
    <w:rsid w:val="007B719C"/>
    <w:rsid w:val="007B7885"/>
    <w:rsid w:val="007B7902"/>
    <w:rsid w:val="007B7CE7"/>
    <w:rsid w:val="007C04EC"/>
    <w:rsid w:val="007C06DF"/>
    <w:rsid w:val="007C09A7"/>
    <w:rsid w:val="007C0EA4"/>
    <w:rsid w:val="007C1959"/>
    <w:rsid w:val="007C1C05"/>
    <w:rsid w:val="007C1C14"/>
    <w:rsid w:val="007C1E53"/>
    <w:rsid w:val="007C2025"/>
    <w:rsid w:val="007C226D"/>
    <w:rsid w:val="007C2403"/>
    <w:rsid w:val="007C259F"/>
    <w:rsid w:val="007C29E4"/>
    <w:rsid w:val="007C2D76"/>
    <w:rsid w:val="007C3028"/>
    <w:rsid w:val="007C3149"/>
    <w:rsid w:val="007C3664"/>
    <w:rsid w:val="007C36B6"/>
    <w:rsid w:val="007C385B"/>
    <w:rsid w:val="007C3998"/>
    <w:rsid w:val="007C3A5A"/>
    <w:rsid w:val="007C3D3E"/>
    <w:rsid w:val="007C4015"/>
    <w:rsid w:val="007C43DC"/>
    <w:rsid w:val="007C45CE"/>
    <w:rsid w:val="007C49D8"/>
    <w:rsid w:val="007C502F"/>
    <w:rsid w:val="007C5670"/>
    <w:rsid w:val="007C60E0"/>
    <w:rsid w:val="007C6676"/>
    <w:rsid w:val="007C68D1"/>
    <w:rsid w:val="007C6DBC"/>
    <w:rsid w:val="007C6E40"/>
    <w:rsid w:val="007C7682"/>
    <w:rsid w:val="007C77DB"/>
    <w:rsid w:val="007C7C16"/>
    <w:rsid w:val="007C7D21"/>
    <w:rsid w:val="007D02C3"/>
    <w:rsid w:val="007D0673"/>
    <w:rsid w:val="007D0AB4"/>
    <w:rsid w:val="007D0E15"/>
    <w:rsid w:val="007D137C"/>
    <w:rsid w:val="007D16F7"/>
    <w:rsid w:val="007D1DDD"/>
    <w:rsid w:val="007D1FED"/>
    <w:rsid w:val="007D2250"/>
    <w:rsid w:val="007D2413"/>
    <w:rsid w:val="007D2435"/>
    <w:rsid w:val="007D262B"/>
    <w:rsid w:val="007D2691"/>
    <w:rsid w:val="007D2795"/>
    <w:rsid w:val="007D281C"/>
    <w:rsid w:val="007D2BB5"/>
    <w:rsid w:val="007D2C78"/>
    <w:rsid w:val="007D2CAC"/>
    <w:rsid w:val="007D2E0A"/>
    <w:rsid w:val="007D2E9D"/>
    <w:rsid w:val="007D33F0"/>
    <w:rsid w:val="007D3835"/>
    <w:rsid w:val="007D38DF"/>
    <w:rsid w:val="007D3CAF"/>
    <w:rsid w:val="007D3CD6"/>
    <w:rsid w:val="007D3E8D"/>
    <w:rsid w:val="007D409C"/>
    <w:rsid w:val="007D4380"/>
    <w:rsid w:val="007D4496"/>
    <w:rsid w:val="007D44F2"/>
    <w:rsid w:val="007D4992"/>
    <w:rsid w:val="007D4B9A"/>
    <w:rsid w:val="007D4C52"/>
    <w:rsid w:val="007D565D"/>
    <w:rsid w:val="007D569F"/>
    <w:rsid w:val="007D5766"/>
    <w:rsid w:val="007D57DF"/>
    <w:rsid w:val="007D5A44"/>
    <w:rsid w:val="007D5A83"/>
    <w:rsid w:val="007D5C42"/>
    <w:rsid w:val="007D655B"/>
    <w:rsid w:val="007D656F"/>
    <w:rsid w:val="007D7086"/>
    <w:rsid w:val="007D70CD"/>
    <w:rsid w:val="007D7332"/>
    <w:rsid w:val="007D73AB"/>
    <w:rsid w:val="007D748E"/>
    <w:rsid w:val="007D7CCE"/>
    <w:rsid w:val="007E00CC"/>
    <w:rsid w:val="007E051B"/>
    <w:rsid w:val="007E0603"/>
    <w:rsid w:val="007E0725"/>
    <w:rsid w:val="007E0818"/>
    <w:rsid w:val="007E0A4F"/>
    <w:rsid w:val="007E0CA2"/>
    <w:rsid w:val="007E0DB9"/>
    <w:rsid w:val="007E12CB"/>
    <w:rsid w:val="007E150E"/>
    <w:rsid w:val="007E157B"/>
    <w:rsid w:val="007E15D6"/>
    <w:rsid w:val="007E1949"/>
    <w:rsid w:val="007E1D30"/>
    <w:rsid w:val="007E1DF7"/>
    <w:rsid w:val="007E1E9B"/>
    <w:rsid w:val="007E2428"/>
    <w:rsid w:val="007E25E4"/>
    <w:rsid w:val="007E285D"/>
    <w:rsid w:val="007E285E"/>
    <w:rsid w:val="007E2CFD"/>
    <w:rsid w:val="007E3023"/>
    <w:rsid w:val="007E327F"/>
    <w:rsid w:val="007E3321"/>
    <w:rsid w:val="007E33F6"/>
    <w:rsid w:val="007E374E"/>
    <w:rsid w:val="007E39EF"/>
    <w:rsid w:val="007E3CF9"/>
    <w:rsid w:val="007E423E"/>
    <w:rsid w:val="007E4426"/>
    <w:rsid w:val="007E460F"/>
    <w:rsid w:val="007E483A"/>
    <w:rsid w:val="007E4B96"/>
    <w:rsid w:val="007E4EDB"/>
    <w:rsid w:val="007E51E6"/>
    <w:rsid w:val="007E524A"/>
    <w:rsid w:val="007E55F2"/>
    <w:rsid w:val="007E61F9"/>
    <w:rsid w:val="007E6487"/>
    <w:rsid w:val="007E685A"/>
    <w:rsid w:val="007E6B77"/>
    <w:rsid w:val="007E6D97"/>
    <w:rsid w:val="007E6DDB"/>
    <w:rsid w:val="007E709B"/>
    <w:rsid w:val="007E746E"/>
    <w:rsid w:val="007E76DF"/>
    <w:rsid w:val="007E79E1"/>
    <w:rsid w:val="007E7C29"/>
    <w:rsid w:val="007E7DE6"/>
    <w:rsid w:val="007E7FB7"/>
    <w:rsid w:val="007E7FFC"/>
    <w:rsid w:val="007F096C"/>
    <w:rsid w:val="007F0A77"/>
    <w:rsid w:val="007F0ABC"/>
    <w:rsid w:val="007F0B21"/>
    <w:rsid w:val="007F0D43"/>
    <w:rsid w:val="007F18A4"/>
    <w:rsid w:val="007F1990"/>
    <w:rsid w:val="007F1BD5"/>
    <w:rsid w:val="007F1D26"/>
    <w:rsid w:val="007F1F07"/>
    <w:rsid w:val="007F226D"/>
    <w:rsid w:val="007F2275"/>
    <w:rsid w:val="007F229E"/>
    <w:rsid w:val="007F23A0"/>
    <w:rsid w:val="007F2976"/>
    <w:rsid w:val="007F3583"/>
    <w:rsid w:val="007F374D"/>
    <w:rsid w:val="007F3892"/>
    <w:rsid w:val="007F3B9D"/>
    <w:rsid w:val="007F3F44"/>
    <w:rsid w:val="007F3FFA"/>
    <w:rsid w:val="007F4028"/>
    <w:rsid w:val="007F40D3"/>
    <w:rsid w:val="007F4171"/>
    <w:rsid w:val="007F4446"/>
    <w:rsid w:val="007F456F"/>
    <w:rsid w:val="007F45E4"/>
    <w:rsid w:val="007F4908"/>
    <w:rsid w:val="007F4ABD"/>
    <w:rsid w:val="007F4E44"/>
    <w:rsid w:val="007F5225"/>
    <w:rsid w:val="007F55D7"/>
    <w:rsid w:val="007F59E9"/>
    <w:rsid w:val="007F5B7C"/>
    <w:rsid w:val="007F5D17"/>
    <w:rsid w:val="007F5D73"/>
    <w:rsid w:val="007F61FF"/>
    <w:rsid w:val="007F630D"/>
    <w:rsid w:val="007F6582"/>
    <w:rsid w:val="007F6597"/>
    <w:rsid w:val="007F6C05"/>
    <w:rsid w:val="007F6C07"/>
    <w:rsid w:val="007F6C7F"/>
    <w:rsid w:val="007F76F5"/>
    <w:rsid w:val="007F7C5C"/>
    <w:rsid w:val="007F7D6D"/>
    <w:rsid w:val="0080041B"/>
    <w:rsid w:val="008005EE"/>
    <w:rsid w:val="00800A40"/>
    <w:rsid w:val="00800EB8"/>
    <w:rsid w:val="008011D7"/>
    <w:rsid w:val="00801403"/>
    <w:rsid w:val="008014A5"/>
    <w:rsid w:val="0080157F"/>
    <w:rsid w:val="008018C1"/>
    <w:rsid w:val="00801A14"/>
    <w:rsid w:val="00801ADA"/>
    <w:rsid w:val="00801CE0"/>
    <w:rsid w:val="00801D2B"/>
    <w:rsid w:val="00801F8D"/>
    <w:rsid w:val="008020B5"/>
    <w:rsid w:val="0080224B"/>
    <w:rsid w:val="008022EA"/>
    <w:rsid w:val="00802A08"/>
    <w:rsid w:val="00802AAD"/>
    <w:rsid w:val="00802B85"/>
    <w:rsid w:val="00802BD6"/>
    <w:rsid w:val="00802CC4"/>
    <w:rsid w:val="00802D1B"/>
    <w:rsid w:val="00802F9A"/>
    <w:rsid w:val="0080303D"/>
    <w:rsid w:val="00803067"/>
    <w:rsid w:val="00803907"/>
    <w:rsid w:val="00803A65"/>
    <w:rsid w:val="00803BC2"/>
    <w:rsid w:val="00803DA1"/>
    <w:rsid w:val="0080449E"/>
    <w:rsid w:val="00804910"/>
    <w:rsid w:val="00804B5E"/>
    <w:rsid w:val="00804B66"/>
    <w:rsid w:val="00804D79"/>
    <w:rsid w:val="00804E38"/>
    <w:rsid w:val="00804F20"/>
    <w:rsid w:val="00804F4C"/>
    <w:rsid w:val="00805070"/>
    <w:rsid w:val="00805322"/>
    <w:rsid w:val="008058F5"/>
    <w:rsid w:val="008061A0"/>
    <w:rsid w:val="008064B5"/>
    <w:rsid w:val="00807062"/>
    <w:rsid w:val="00807250"/>
    <w:rsid w:val="0080729B"/>
    <w:rsid w:val="00807325"/>
    <w:rsid w:val="0080785E"/>
    <w:rsid w:val="00807BAA"/>
    <w:rsid w:val="00807CCF"/>
    <w:rsid w:val="00807D22"/>
    <w:rsid w:val="00807E10"/>
    <w:rsid w:val="00807F85"/>
    <w:rsid w:val="008101BA"/>
    <w:rsid w:val="00810AFE"/>
    <w:rsid w:val="00810B8A"/>
    <w:rsid w:val="00810D99"/>
    <w:rsid w:val="0081114A"/>
    <w:rsid w:val="0081114C"/>
    <w:rsid w:val="00811486"/>
    <w:rsid w:val="00811600"/>
    <w:rsid w:val="00811603"/>
    <w:rsid w:val="00811808"/>
    <w:rsid w:val="0081209C"/>
    <w:rsid w:val="008121EA"/>
    <w:rsid w:val="00812570"/>
    <w:rsid w:val="00812586"/>
    <w:rsid w:val="008126CA"/>
    <w:rsid w:val="00812755"/>
    <w:rsid w:val="00812BB8"/>
    <w:rsid w:val="00812F1C"/>
    <w:rsid w:val="0081321D"/>
    <w:rsid w:val="0081345F"/>
    <w:rsid w:val="0081350D"/>
    <w:rsid w:val="0081376E"/>
    <w:rsid w:val="008137A4"/>
    <w:rsid w:val="00813A2F"/>
    <w:rsid w:val="00813ADF"/>
    <w:rsid w:val="00813C29"/>
    <w:rsid w:val="00813E0A"/>
    <w:rsid w:val="00813EA0"/>
    <w:rsid w:val="008144E8"/>
    <w:rsid w:val="0081468F"/>
    <w:rsid w:val="00814826"/>
    <w:rsid w:val="008148ED"/>
    <w:rsid w:val="00814F7F"/>
    <w:rsid w:val="0081565D"/>
    <w:rsid w:val="00815745"/>
    <w:rsid w:val="0081598D"/>
    <w:rsid w:val="00815F0C"/>
    <w:rsid w:val="0081616F"/>
    <w:rsid w:val="00816405"/>
    <w:rsid w:val="008166B6"/>
    <w:rsid w:val="00816817"/>
    <w:rsid w:val="00816857"/>
    <w:rsid w:val="0081697C"/>
    <w:rsid w:val="008169B3"/>
    <w:rsid w:val="00816B52"/>
    <w:rsid w:val="008176E3"/>
    <w:rsid w:val="00817C14"/>
    <w:rsid w:val="008206FD"/>
    <w:rsid w:val="00820D87"/>
    <w:rsid w:val="00820E37"/>
    <w:rsid w:val="00820E56"/>
    <w:rsid w:val="00821122"/>
    <w:rsid w:val="00821867"/>
    <w:rsid w:val="008221C6"/>
    <w:rsid w:val="00822916"/>
    <w:rsid w:val="00822993"/>
    <w:rsid w:val="008234D6"/>
    <w:rsid w:val="00823546"/>
    <w:rsid w:val="00823F32"/>
    <w:rsid w:val="0082491A"/>
    <w:rsid w:val="00824FA8"/>
    <w:rsid w:val="0082525F"/>
    <w:rsid w:val="00825297"/>
    <w:rsid w:val="008253E2"/>
    <w:rsid w:val="00825585"/>
    <w:rsid w:val="008257F3"/>
    <w:rsid w:val="008259D2"/>
    <w:rsid w:val="00825EC9"/>
    <w:rsid w:val="00825FC2"/>
    <w:rsid w:val="00826426"/>
    <w:rsid w:val="008264A3"/>
    <w:rsid w:val="008266FB"/>
    <w:rsid w:val="00826B9F"/>
    <w:rsid w:val="00826D6C"/>
    <w:rsid w:val="0082741D"/>
    <w:rsid w:val="008275E8"/>
    <w:rsid w:val="00827680"/>
    <w:rsid w:val="00827960"/>
    <w:rsid w:val="00830575"/>
    <w:rsid w:val="00830891"/>
    <w:rsid w:val="0083097B"/>
    <w:rsid w:val="00830C07"/>
    <w:rsid w:val="00830CB5"/>
    <w:rsid w:val="00830E91"/>
    <w:rsid w:val="00831457"/>
    <w:rsid w:val="008317BF"/>
    <w:rsid w:val="00831A1B"/>
    <w:rsid w:val="00831E3C"/>
    <w:rsid w:val="00832489"/>
    <w:rsid w:val="008325B8"/>
    <w:rsid w:val="00832D3E"/>
    <w:rsid w:val="00832F54"/>
    <w:rsid w:val="00832FD2"/>
    <w:rsid w:val="008339FA"/>
    <w:rsid w:val="00833CF0"/>
    <w:rsid w:val="00833D74"/>
    <w:rsid w:val="00833DC1"/>
    <w:rsid w:val="00833FF9"/>
    <w:rsid w:val="0083456C"/>
    <w:rsid w:val="008345E8"/>
    <w:rsid w:val="00834919"/>
    <w:rsid w:val="008351D5"/>
    <w:rsid w:val="00835598"/>
    <w:rsid w:val="00835626"/>
    <w:rsid w:val="0083563F"/>
    <w:rsid w:val="008356DF"/>
    <w:rsid w:val="008359B1"/>
    <w:rsid w:val="00835A42"/>
    <w:rsid w:val="00835D58"/>
    <w:rsid w:val="00836DAC"/>
    <w:rsid w:val="00837311"/>
    <w:rsid w:val="0083756D"/>
    <w:rsid w:val="00837731"/>
    <w:rsid w:val="00837D19"/>
    <w:rsid w:val="00837DB3"/>
    <w:rsid w:val="008400CD"/>
    <w:rsid w:val="008402BA"/>
    <w:rsid w:val="008402C9"/>
    <w:rsid w:val="00840654"/>
    <w:rsid w:val="00840680"/>
    <w:rsid w:val="008407C9"/>
    <w:rsid w:val="00840C79"/>
    <w:rsid w:val="00840D79"/>
    <w:rsid w:val="0084157E"/>
    <w:rsid w:val="0084204F"/>
    <w:rsid w:val="008422FD"/>
    <w:rsid w:val="0084253B"/>
    <w:rsid w:val="0084253D"/>
    <w:rsid w:val="00842742"/>
    <w:rsid w:val="00842CC9"/>
    <w:rsid w:val="00842EFB"/>
    <w:rsid w:val="0084345A"/>
    <w:rsid w:val="00843672"/>
    <w:rsid w:val="00843F36"/>
    <w:rsid w:val="008446AA"/>
    <w:rsid w:val="008448DA"/>
    <w:rsid w:val="00844AA4"/>
    <w:rsid w:val="00844F3A"/>
    <w:rsid w:val="0084540E"/>
    <w:rsid w:val="00845854"/>
    <w:rsid w:val="008458AD"/>
    <w:rsid w:val="00845B2E"/>
    <w:rsid w:val="00845D9E"/>
    <w:rsid w:val="00845EB6"/>
    <w:rsid w:val="00846200"/>
    <w:rsid w:val="0084628F"/>
    <w:rsid w:val="00846B16"/>
    <w:rsid w:val="00846C9A"/>
    <w:rsid w:val="00846F5F"/>
    <w:rsid w:val="008474C2"/>
    <w:rsid w:val="00847725"/>
    <w:rsid w:val="008479ED"/>
    <w:rsid w:val="00847D17"/>
    <w:rsid w:val="008501E3"/>
    <w:rsid w:val="00850228"/>
    <w:rsid w:val="00850843"/>
    <w:rsid w:val="00850A9E"/>
    <w:rsid w:val="00850E99"/>
    <w:rsid w:val="00852002"/>
    <w:rsid w:val="00852256"/>
    <w:rsid w:val="008526A8"/>
    <w:rsid w:val="008526AA"/>
    <w:rsid w:val="008527B5"/>
    <w:rsid w:val="00852D06"/>
    <w:rsid w:val="00853108"/>
    <w:rsid w:val="0085310A"/>
    <w:rsid w:val="008533AC"/>
    <w:rsid w:val="00853843"/>
    <w:rsid w:val="008538D3"/>
    <w:rsid w:val="00853B62"/>
    <w:rsid w:val="008540B2"/>
    <w:rsid w:val="00854910"/>
    <w:rsid w:val="00854956"/>
    <w:rsid w:val="00854CE0"/>
    <w:rsid w:val="00854EBB"/>
    <w:rsid w:val="008551DF"/>
    <w:rsid w:val="00855270"/>
    <w:rsid w:val="008552B8"/>
    <w:rsid w:val="00855331"/>
    <w:rsid w:val="00855352"/>
    <w:rsid w:val="00855465"/>
    <w:rsid w:val="0085572E"/>
    <w:rsid w:val="0085574D"/>
    <w:rsid w:val="00855EF2"/>
    <w:rsid w:val="008564B1"/>
    <w:rsid w:val="00856B27"/>
    <w:rsid w:val="00856BCF"/>
    <w:rsid w:val="00856FDC"/>
    <w:rsid w:val="00856FEE"/>
    <w:rsid w:val="00857488"/>
    <w:rsid w:val="00857531"/>
    <w:rsid w:val="0085758A"/>
    <w:rsid w:val="008577E7"/>
    <w:rsid w:val="00857D6C"/>
    <w:rsid w:val="00857DD5"/>
    <w:rsid w:val="00857E91"/>
    <w:rsid w:val="00860E5B"/>
    <w:rsid w:val="00860E60"/>
    <w:rsid w:val="00861248"/>
    <w:rsid w:val="00861305"/>
    <w:rsid w:val="0086158B"/>
    <w:rsid w:val="008626AA"/>
    <w:rsid w:val="008628DD"/>
    <w:rsid w:val="00862B99"/>
    <w:rsid w:val="0086344D"/>
    <w:rsid w:val="008637E6"/>
    <w:rsid w:val="00863834"/>
    <w:rsid w:val="00863C37"/>
    <w:rsid w:val="00863FA1"/>
    <w:rsid w:val="00863FA9"/>
    <w:rsid w:val="00864097"/>
    <w:rsid w:val="008641C4"/>
    <w:rsid w:val="00864321"/>
    <w:rsid w:val="00864613"/>
    <w:rsid w:val="00864844"/>
    <w:rsid w:val="00864933"/>
    <w:rsid w:val="00864C79"/>
    <w:rsid w:val="00864E96"/>
    <w:rsid w:val="0086510B"/>
    <w:rsid w:val="0086529C"/>
    <w:rsid w:val="0086543B"/>
    <w:rsid w:val="008654EE"/>
    <w:rsid w:val="00865853"/>
    <w:rsid w:val="00865BC2"/>
    <w:rsid w:val="00865C7B"/>
    <w:rsid w:val="008662BD"/>
    <w:rsid w:val="008662F6"/>
    <w:rsid w:val="008663DE"/>
    <w:rsid w:val="00866A93"/>
    <w:rsid w:val="00867805"/>
    <w:rsid w:val="00867851"/>
    <w:rsid w:val="00867FC9"/>
    <w:rsid w:val="008700C7"/>
    <w:rsid w:val="008704F4"/>
    <w:rsid w:val="008707B1"/>
    <w:rsid w:val="0087082D"/>
    <w:rsid w:val="00870913"/>
    <w:rsid w:val="008709D7"/>
    <w:rsid w:val="00871259"/>
    <w:rsid w:val="0087154C"/>
    <w:rsid w:val="0087167F"/>
    <w:rsid w:val="00871E43"/>
    <w:rsid w:val="008720B3"/>
    <w:rsid w:val="008726D4"/>
    <w:rsid w:val="00872ADA"/>
    <w:rsid w:val="00873564"/>
    <w:rsid w:val="00873590"/>
    <w:rsid w:val="0087363E"/>
    <w:rsid w:val="008737A7"/>
    <w:rsid w:val="008737B6"/>
    <w:rsid w:val="008737B7"/>
    <w:rsid w:val="0087409B"/>
    <w:rsid w:val="008740CA"/>
    <w:rsid w:val="0087428F"/>
    <w:rsid w:val="0087451D"/>
    <w:rsid w:val="0087456C"/>
    <w:rsid w:val="008745CB"/>
    <w:rsid w:val="00874E14"/>
    <w:rsid w:val="00874FD7"/>
    <w:rsid w:val="00875912"/>
    <w:rsid w:val="00875AE6"/>
    <w:rsid w:val="008761D1"/>
    <w:rsid w:val="008762EA"/>
    <w:rsid w:val="0087630E"/>
    <w:rsid w:val="008766A1"/>
    <w:rsid w:val="0087671F"/>
    <w:rsid w:val="00876787"/>
    <w:rsid w:val="0087678A"/>
    <w:rsid w:val="00876B4E"/>
    <w:rsid w:val="00876E41"/>
    <w:rsid w:val="008770A8"/>
    <w:rsid w:val="00877529"/>
    <w:rsid w:val="00877B79"/>
    <w:rsid w:val="00877C7C"/>
    <w:rsid w:val="00880052"/>
    <w:rsid w:val="00880A80"/>
    <w:rsid w:val="00880E9F"/>
    <w:rsid w:val="00881572"/>
    <w:rsid w:val="00881715"/>
    <w:rsid w:val="00881FB2"/>
    <w:rsid w:val="008824AC"/>
    <w:rsid w:val="0088282E"/>
    <w:rsid w:val="00882C13"/>
    <w:rsid w:val="00882CC6"/>
    <w:rsid w:val="00882D05"/>
    <w:rsid w:val="0088312E"/>
    <w:rsid w:val="0088333F"/>
    <w:rsid w:val="00883632"/>
    <w:rsid w:val="008838D4"/>
    <w:rsid w:val="00883B19"/>
    <w:rsid w:val="00884241"/>
    <w:rsid w:val="00884409"/>
    <w:rsid w:val="0088453D"/>
    <w:rsid w:val="00884577"/>
    <w:rsid w:val="008846DE"/>
    <w:rsid w:val="00884799"/>
    <w:rsid w:val="00884B37"/>
    <w:rsid w:val="00884D1E"/>
    <w:rsid w:val="008853F2"/>
    <w:rsid w:val="00885571"/>
    <w:rsid w:val="00885630"/>
    <w:rsid w:val="008857A8"/>
    <w:rsid w:val="0088585B"/>
    <w:rsid w:val="008858B9"/>
    <w:rsid w:val="00885DD3"/>
    <w:rsid w:val="00885E0B"/>
    <w:rsid w:val="00886375"/>
    <w:rsid w:val="00886C9B"/>
    <w:rsid w:val="00886EE4"/>
    <w:rsid w:val="00886F0C"/>
    <w:rsid w:val="00887086"/>
    <w:rsid w:val="008871C0"/>
    <w:rsid w:val="00887269"/>
    <w:rsid w:val="0088753F"/>
    <w:rsid w:val="008875E6"/>
    <w:rsid w:val="008876E0"/>
    <w:rsid w:val="00887A22"/>
    <w:rsid w:val="00887AFA"/>
    <w:rsid w:val="00887B9E"/>
    <w:rsid w:val="00890194"/>
    <w:rsid w:val="00890536"/>
    <w:rsid w:val="00890746"/>
    <w:rsid w:val="00890A64"/>
    <w:rsid w:val="00890EDE"/>
    <w:rsid w:val="00891100"/>
    <w:rsid w:val="0089134C"/>
    <w:rsid w:val="00891419"/>
    <w:rsid w:val="00891420"/>
    <w:rsid w:val="008914C1"/>
    <w:rsid w:val="00891810"/>
    <w:rsid w:val="008919BF"/>
    <w:rsid w:val="00891A03"/>
    <w:rsid w:val="00891A5B"/>
    <w:rsid w:val="00891EBB"/>
    <w:rsid w:val="008921B3"/>
    <w:rsid w:val="00892344"/>
    <w:rsid w:val="00892759"/>
    <w:rsid w:val="008927A5"/>
    <w:rsid w:val="00892A67"/>
    <w:rsid w:val="00893087"/>
    <w:rsid w:val="0089331E"/>
    <w:rsid w:val="00893709"/>
    <w:rsid w:val="00893843"/>
    <w:rsid w:val="00893C1D"/>
    <w:rsid w:val="00893C8D"/>
    <w:rsid w:val="00893E8B"/>
    <w:rsid w:val="008941CD"/>
    <w:rsid w:val="00894D88"/>
    <w:rsid w:val="008950A3"/>
    <w:rsid w:val="00895291"/>
    <w:rsid w:val="008952CB"/>
    <w:rsid w:val="0089531B"/>
    <w:rsid w:val="0089550A"/>
    <w:rsid w:val="0089574F"/>
    <w:rsid w:val="008957AC"/>
    <w:rsid w:val="00895F2E"/>
    <w:rsid w:val="00895FE9"/>
    <w:rsid w:val="00896180"/>
    <w:rsid w:val="00896325"/>
    <w:rsid w:val="008968EF"/>
    <w:rsid w:val="00897223"/>
    <w:rsid w:val="008973D4"/>
    <w:rsid w:val="008974EA"/>
    <w:rsid w:val="0089755B"/>
    <w:rsid w:val="00897624"/>
    <w:rsid w:val="00897805"/>
    <w:rsid w:val="00897E60"/>
    <w:rsid w:val="00897EB1"/>
    <w:rsid w:val="008A0A9D"/>
    <w:rsid w:val="008A0C9E"/>
    <w:rsid w:val="008A0DEF"/>
    <w:rsid w:val="008A0FD3"/>
    <w:rsid w:val="008A1187"/>
    <w:rsid w:val="008A164D"/>
    <w:rsid w:val="008A1E07"/>
    <w:rsid w:val="008A2241"/>
    <w:rsid w:val="008A26FA"/>
    <w:rsid w:val="008A28C8"/>
    <w:rsid w:val="008A2ED3"/>
    <w:rsid w:val="008A2EEA"/>
    <w:rsid w:val="008A2FF5"/>
    <w:rsid w:val="008A30C0"/>
    <w:rsid w:val="008A3375"/>
    <w:rsid w:val="008A3C02"/>
    <w:rsid w:val="008A3E0F"/>
    <w:rsid w:val="008A3F7F"/>
    <w:rsid w:val="008A4055"/>
    <w:rsid w:val="008A4597"/>
    <w:rsid w:val="008A4701"/>
    <w:rsid w:val="008A4A45"/>
    <w:rsid w:val="008A4DFF"/>
    <w:rsid w:val="008A4E05"/>
    <w:rsid w:val="008A4E0D"/>
    <w:rsid w:val="008A4E8E"/>
    <w:rsid w:val="008A5491"/>
    <w:rsid w:val="008A5574"/>
    <w:rsid w:val="008A57A2"/>
    <w:rsid w:val="008A5D17"/>
    <w:rsid w:val="008A5E7D"/>
    <w:rsid w:val="008A6313"/>
    <w:rsid w:val="008A697B"/>
    <w:rsid w:val="008A6D0D"/>
    <w:rsid w:val="008A6E8A"/>
    <w:rsid w:val="008A6F36"/>
    <w:rsid w:val="008A6FB6"/>
    <w:rsid w:val="008A73F9"/>
    <w:rsid w:val="008A7466"/>
    <w:rsid w:val="008A7EA4"/>
    <w:rsid w:val="008B0062"/>
    <w:rsid w:val="008B0531"/>
    <w:rsid w:val="008B077E"/>
    <w:rsid w:val="008B0B7C"/>
    <w:rsid w:val="008B0BFC"/>
    <w:rsid w:val="008B120F"/>
    <w:rsid w:val="008B122C"/>
    <w:rsid w:val="008B14AD"/>
    <w:rsid w:val="008B1C65"/>
    <w:rsid w:val="008B1CC2"/>
    <w:rsid w:val="008B2024"/>
    <w:rsid w:val="008B2394"/>
    <w:rsid w:val="008B2523"/>
    <w:rsid w:val="008B27E7"/>
    <w:rsid w:val="008B2C8B"/>
    <w:rsid w:val="008B2F38"/>
    <w:rsid w:val="008B3B5E"/>
    <w:rsid w:val="008B3C36"/>
    <w:rsid w:val="008B3D8F"/>
    <w:rsid w:val="008B432A"/>
    <w:rsid w:val="008B48B8"/>
    <w:rsid w:val="008B4E7D"/>
    <w:rsid w:val="008B519A"/>
    <w:rsid w:val="008B54F2"/>
    <w:rsid w:val="008B55F3"/>
    <w:rsid w:val="008B56E2"/>
    <w:rsid w:val="008B5CB7"/>
    <w:rsid w:val="008B5F5C"/>
    <w:rsid w:val="008B60B7"/>
    <w:rsid w:val="008B64A7"/>
    <w:rsid w:val="008B69CE"/>
    <w:rsid w:val="008B7AEC"/>
    <w:rsid w:val="008B7EB8"/>
    <w:rsid w:val="008C0239"/>
    <w:rsid w:val="008C0350"/>
    <w:rsid w:val="008C0668"/>
    <w:rsid w:val="008C0A8A"/>
    <w:rsid w:val="008C0E1B"/>
    <w:rsid w:val="008C0FC4"/>
    <w:rsid w:val="008C1769"/>
    <w:rsid w:val="008C189A"/>
    <w:rsid w:val="008C18BA"/>
    <w:rsid w:val="008C1B90"/>
    <w:rsid w:val="008C1C50"/>
    <w:rsid w:val="008C1C69"/>
    <w:rsid w:val="008C2087"/>
    <w:rsid w:val="008C24EB"/>
    <w:rsid w:val="008C2812"/>
    <w:rsid w:val="008C2E58"/>
    <w:rsid w:val="008C3787"/>
    <w:rsid w:val="008C384F"/>
    <w:rsid w:val="008C3A12"/>
    <w:rsid w:val="008C3A5B"/>
    <w:rsid w:val="008C3A76"/>
    <w:rsid w:val="008C3FCC"/>
    <w:rsid w:val="008C4763"/>
    <w:rsid w:val="008C478D"/>
    <w:rsid w:val="008C4CEF"/>
    <w:rsid w:val="008C5122"/>
    <w:rsid w:val="008C54AB"/>
    <w:rsid w:val="008C57E5"/>
    <w:rsid w:val="008C584A"/>
    <w:rsid w:val="008C5BD8"/>
    <w:rsid w:val="008C60A7"/>
    <w:rsid w:val="008C63EC"/>
    <w:rsid w:val="008C6675"/>
    <w:rsid w:val="008C6D76"/>
    <w:rsid w:val="008C6E42"/>
    <w:rsid w:val="008C7254"/>
    <w:rsid w:val="008C73C3"/>
    <w:rsid w:val="008C7484"/>
    <w:rsid w:val="008C74AC"/>
    <w:rsid w:val="008C7763"/>
    <w:rsid w:val="008C78B1"/>
    <w:rsid w:val="008C7AF6"/>
    <w:rsid w:val="008C7CD9"/>
    <w:rsid w:val="008D0082"/>
    <w:rsid w:val="008D0099"/>
    <w:rsid w:val="008D0955"/>
    <w:rsid w:val="008D0AC8"/>
    <w:rsid w:val="008D0F95"/>
    <w:rsid w:val="008D0FCE"/>
    <w:rsid w:val="008D12E1"/>
    <w:rsid w:val="008D191E"/>
    <w:rsid w:val="008D1D73"/>
    <w:rsid w:val="008D2095"/>
    <w:rsid w:val="008D20CB"/>
    <w:rsid w:val="008D25F7"/>
    <w:rsid w:val="008D2A99"/>
    <w:rsid w:val="008D2C05"/>
    <w:rsid w:val="008D2D34"/>
    <w:rsid w:val="008D2EB7"/>
    <w:rsid w:val="008D2FBD"/>
    <w:rsid w:val="008D38D6"/>
    <w:rsid w:val="008D39B7"/>
    <w:rsid w:val="008D3E7E"/>
    <w:rsid w:val="008D3FBC"/>
    <w:rsid w:val="008D40DA"/>
    <w:rsid w:val="008D4720"/>
    <w:rsid w:val="008D4767"/>
    <w:rsid w:val="008D49DC"/>
    <w:rsid w:val="008D4B29"/>
    <w:rsid w:val="008D4D37"/>
    <w:rsid w:val="008D59D3"/>
    <w:rsid w:val="008D5BB1"/>
    <w:rsid w:val="008D5D10"/>
    <w:rsid w:val="008D5D5E"/>
    <w:rsid w:val="008D5E1A"/>
    <w:rsid w:val="008D60E0"/>
    <w:rsid w:val="008D60E3"/>
    <w:rsid w:val="008D60FC"/>
    <w:rsid w:val="008D677B"/>
    <w:rsid w:val="008D6E07"/>
    <w:rsid w:val="008D707E"/>
    <w:rsid w:val="008D73B0"/>
    <w:rsid w:val="008D7773"/>
    <w:rsid w:val="008D7BDD"/>
    <w:rsid w:val="008D7D04"/>
    <w:rsid w:val="008D7FC6"/>
    <w:rsid w:val="008D7FD0"/>
    <w:rsid w:val="008E01B6"/>
    <w:rsid w:val="008E02F3"/>
    <w:rsid w:val="008E0317"/>
    <w:rsid w:val="008E0480"/>
    <w:rsid w:val="008E0855"/>
    <w:rsid w:val="008E08AA"/>
    <w:rsid w:val="008E0A82"/>
    <w:rsid w:val="008E0F70"/>
    <w:rsid w:val="008E1160"/>
    <w:rsid w:val="008E1975"/>
    <w:rsid w:val="008E1A9B"/>
    <w:rsid w:val="008E1AF5"/>
    <w:rsid w:val="008E1B38"/>
    <w:rsid w:val="008E1ED6"/>
    <w:rsid w:val="008E1FB7"/>
    <w:rsid w:val="008E22BD"/>
    <w:rsid w:val="008E2C4D"/>
    <w:rsid w:val="008E3033"/>
    <w:rsid w:val="008E304B"/>
    <w:rsid w:val="008E30DC"/>
    <w:rsid w:val="008E3CF6"/>
    <w:rsid w:val="008E3F77"/>
    <w:rsid w:val="008E40B7"/>
    <w:rsid w:val="008E4552"/>
    <w:rsid w:val="008E4A3D"/>
    <w:rsid w:val="008E5468"/>
    <w:rsid w:val="008E54BA"/>
    <w:rsid w:val="008E577F"/>
    <w:rsid w:val="008E58E3"/>
    <w:rsid w:val="008E5919"/>
    <w:rsid w:val="008E5D65"/>
    <w:rsid w:val="008E6042"/>
    <w:rsid w:val="008E6265"/>
    <w:rsid w:val="008E67B0"/>
    <w:rsid w:val="008E6950"/>
    <w:rsid w:val="008E69EC"/>
    <w:rsid w:val="008E6B67"/>
    <w:rsid w:val="008E6C07"/>
    <w:rsid w:val="008E70AF"/>
    <w:rsid w:val="008E74A0"/>
    <w:rsid w:val="008E7A43"/>
    <w:rsid w:val="008E7B8F"/>
    <w:rsid w:val="008E7BCC"/>
    <w:rsid w:val="008F07E7"/>
    <w:rsid w:val="008F09F9"/>
    <w:rsid w:val="008F0ADC"/>
    <w:rsid w:val="008F101E"/>
    <w:rsid w:val="008F158B"/>
    <w:rsid w:val="008F16F8"/>
    <w:rsid w:val="008F1715"/>
    <w:rsid w:val="008F185F"/>
    <w:rsid w:val="008F18D0"/>
    <w:rsid w:val="008F1981"/>
    <w:rsid w:val="008F1C9A"/>
    <w:rsid w:val="008F235B"/>
    <w:rsid w:val="008F23A7"/>
    <w:rsid w:val="008F24BF"/>
    <w:rsid w:val="008F2D38"/>
    <w:rsid w:val="008F2E20"/>
    <w:rsid w:val="008F3038"/>
    <w:rsid w:val="008F310E"/>
    <w:rsid w:val="008F393F"/>
    <w:rsid w:val="008F41D8"/>
    <w:rsid w:val="008F41FA"/>
    <w:rsid w:val="008F427F"/>
    <w:rsid w:val="008F434A"/>
    <w:rsid w:val="008F45CF"/>
    <w:rsid w:val="008F4DCB"/>
    <w:rsid w:val="008F547B"/>
    <w:rsid w:val="008F5621"/>
    <w:rsid w:val="008F5694"/>
    <w:rsid w:val="008F5831"/>
    <w:rsid w:val="008F58B8"/>
    <w:rsid w:val="008F5AB5"/>
    <w:rsid w:val="008F68D3"/>
    <w:rsid w:val="008F7184"/>
    <w:rsid w:val="008F71D5"/>
    <w:rsid w:val="008F725B"/>
    <w:rsid w:val="008F7630"/>
    <w:rsid w:val="008F7A5A"/>
    <w:rsid w:val="008F7B90"/>
    <w:rsid w:val="008F7D0B"/>
    <w:rsid w:val="0090027F"/>
    <w:rsid w:val="009008B0"/>
    <w:rsid w:val="00900C3D"/>
    <w:rsid w:val="00900F66"/>
    <w:rsid w:val="009011E4"/>
    <w:rsid w:val="00901560"/>
    <w:rsid w:val="00901645"/>
    <w:rsid w:val="0090182D"/>
    <w:rsid w:val="00901942"/>
    <w:rsid w:val="00901A7B"/>
    <w:rsid w:val="00901AA6"/>
    <w:rsid w:val="00901E61"/>
    <w:rsid w:val="00902043"/>
    <w:rsid w:val="00902237"/>
    <w:rsid w:val="009024A7"/>
    <w:rsid w:val="0090262F"/>
    <w:rsid w:val="009029F8"/>
    <w:rsid w:val="00902B52"/>
    <w:rsid w:val="00902C3B"/>
    <w:rsid w:val="00902D36"/>
    <w:rsid w:val="00902E67"/>
    <w:rsid w:val="00902F44"/>
    <w:rsid w:val="0090306D"/>
    <w:rsid w:val="009031F9"/>
    <w:rsid w:val="00903832"/>
    <w:rsid w:val="00903855"/>
    <w:rsid w:val="00903B9E"/>
    <w:rsid w:val="00903F25"/>
    <w:rsid w:val="00904426"/>
    <w:rsid w:val="00904BFF"/>
    <w:rsid w:val="0090506C"/>
    <w:rsid w:val="00905073"/>
    <w:rsid w:val="009050E0"/>
    <w:rsid w:val="009051D7"/>
    <w:rsid w:val="009051E4"/>
    <w:rsid w:val="00905698"/>
    <w:rsid w:val="00905B08"/>
    <w:rsid w:val="00905B30"/>
    <w:rsid w:val="00905B4E"/>
    <w:rsid w:val="00905FDA"/>
    <w:rsid w:val="0090618D"/>
    <w:rsid w:val="00906380"/>
    <w:rsid w:val="00906A45"/>
    <w:rsid w:val="00906EF0"/>
    <w:rsid w:val="0090711B"/>
    <w:rsid w:val="00907463"/>
    <w:rsid w:val="00907C3E"/>
    <w:rsid w:val="00907DE4"/>
    <w:rsid w:val="00907F35"/>
    <w:rsid w:val="00910040"/>
    <w:rsid w:val="0091055A"/>
    <w:rsid w:val="009107B2"/>
    <w:rsid w:val="00910905"/>
    <w:rsid w:val="00910A12"/>
    <w:rsid w:val="00910E64"/>
    <w:rsid w:val="009110D4"/>
    <w:rsid w:val="0091119B"/>
    <w:rsid w:val="00911373"/>
    <w:rsid w:val="009118B3"/>
    <w:rsid w:val="00911EB0"/>
    <w:rsid w:val="0091234B"/>
    <w:rsid w:val="0091239A"/>
    <w:rsid w:val="009125A9"/>
    <w:rsid w:val="009125F1"/>
    <w:rsid w:val="00913037"/>
    <w:rsid w:val="0091307F"/>
    <w:rsid w:val="0091353C"/>
    <w:rsid w:val="009135C1"/>
    <w:rsid w:val="00913627"/>
    <w:rsid w:val="009139AB"/>
    <w:rsid w:val="00913A28"/>
    <w:rsid w:val="00913A62"/>
    <w:rsid w:val="00913ACE"/>
    <w:rsid w:val="00913B28"/>
    <w:rsid w:val="00913B98"/>
    <w:rsid w:val="00913D4F"/>
    <w:rsid w:val="00914243"/>
    <w:rsid w:val="009143FF"/>
    <w:rsid w:val="00914595"/>
    <w:rsid w:val="009146B3"/>
    <w:rsid w:val="00914DC7"/>
    <w:rsid w:val="00915343"/>
    <w:rsid w:val="00915479"/>
    <w:rsid w:val="0091562C"/>
    <w:rsid w:val="009156F8"/>
    <w:rsid w:val="009157CD"/>
    <w:rsid w:val="00915892"/>
    <w:rsid w:val="00915937"/>
    <w:rsid w:val="00915B08"/>
    <w:rsid w:val="00916006"/>
    <w:rsid w:val="00916225"/>
    <w:rsid w:val="0091659F"/>
    <w:rsid w:val="009165F8"/>
    <w:rsid w:val="0091677F"/>
    <w:rsid w:val="00916B74"/>
    <w:rsid w:val="00916E44"/>
    <w:rsid w:val="00916EBD"/>
    <w:rsid w:val="00917621"/>
    <w:rsid w:val="0091764D"/>
    <w:rsid w:val="00917790"/>
    <w:rsid w:val="00920455"/>
    <w:rsid w:val="00920637"/>
    <w:rsid w:val="00920B1D"/>
    <w:rsid w:val="00920D03"/>
    <w:rsid w:val="00920D8B"/>
    <w:rsid w:val="00920F75"/>
    <w:rsid w:val="00921823"/>
    <w:rsid w:val="00921913"/>
    <w:rsid w:val="00921941"/>
    <w:rsid w:val="00921B95"/>
    <w:rsid w:val="00921D98"/>
    <w:rsid w:val="009222C1"/>
    <w:rsid w:val="00922867"/>
    <w:rsid w:val="0092292D"/>
    <w:rsid w:val="00922EC9"/>
    <w:rsid w:val="00923166"/>
    <w:rsid w:val="00923496"/>
    <w:rsid w:val="00923CA8"/>
    <w:rsid w:val="00923F6A"/>
    <w:rsid w:val="00923FAB"/>
    <w:rsid w:val="0092416F"/>
    <w:rsid w:val="00924412"/>
    <w:rsid w:val="009244EA"/>
    <w:rsid w:val="00924C9E"/>
    <w:rsid w:val="009253D3"/>
    <w:rsid w:val="00925602"/>
    <w:rsid w:val="009256E2"/>
    <w:rsid w:val="00925BD3"/>
    <w:rsid w:val="00925CAE"/>
    <w:rsid w:val="009260D7"/>
    <w:rsid w:val="009261B8"/>
    <w:rsid w:val="00926DE2"/>
    <w:rsid w:val="00926E94"/>
    <w:rsid w:val="00927451"/>
    <w:rsid w:val="009274FD"/>
    <w:rsid w:val="00927789"/>
    <w:rsid w:val="009277B9"/>
    <w:rsid w:val="0092796E"/>
    <w:rsid w:val="00927E0B"/>
    <w:rsid w:val="00930115"/>
    <w:rsid w:val="00930150"/>
    <w:rsid w:val="0093023B"/>
    <w:rsid w:val="009305A9"/>
    <w:rsid w:val="009306B6"/>
    <w:rsid w:val="00931430"/>
    <w:rsid w:val="00931A7C"/>
    <w:rsid w:val="00931D74"/>
    <w:rsid w:val="009322EB"/>
    <w:rsid w:val="009325FF"/>
    <w:rsid w:val="0093298B"/>
    <w:rsid w:val="009329C2"/>
    <w:rsid w:val="00933004"/>
    <w:rsid w:val="009331D5"/>
    <w:rsid w:val="0093334E"/>
    <w:rsid w:val="00933417"/>
    <w:rsid w:val="00933F57"/>
    <w:rsid w:val="0093416D"/>
    <w:rsid w:val="00934283"/>
    <w:rsid w:val="0093446E"/>
    <w:rsid w:val="00934685"/>
    <w:rsid w:val="0093469B"/>
    <w:rsid w:val="009348B6"/>
    <w:rsid w:val="009349F5"/>
    <w:rsid w:val="00934CD4"/>
    <w:rsid w:val="00934F35"/>
    <w:rsid w:val="0093503C"/>
    <w:rsid w:val="00935062"/>
    <w:rsid w:val="00935110"/>
    <w:rsid w:val="0093525A"/>
    <w:rsid w:val="0093538B"/>
    <w:rsid w:val="00935805"/>
    <w:rsid w:val="0093590D"/>
    <w:rsid w:val="0093593B"/>
    <w:rsid w:val="00935DE6"/>
    <w:rsid w:val="009361C9"/>
    <w:rsid w:val="00936363"/>
    <w:rsid w:val="0093641A"/>
    <w:rsid w:val="00936447"/>
    <w:rsid w:val="009367D8"/>
    <w:rsid w:val="009367F7"/>
    <w:rsid w:val="0093699C"/>
    <w:rsid w:val="009369A7"/>
    <w:rsid w:val="00936E70"/>
    <w:rsid w:val="00936FCF"/>
    <w:rsid w:val="0093705F"/>
    <w:rsid w:val="0093733A"/>
    <w:rsid w:val="0093740B"/>
    <w:rsid w:val="0093785B"/>
    <w:rsid w:val="00937B80"/>
    <w:rsid w:val="00937E40"/>
    <w:rsid w:val="00937F9D"/>
    <w:rsid w:val="009402AA"/>
    <w:rsid w:val="00940344"/>
    <w:rsid w:val="009403E0"/>
    <w:rsid w:val="00940953"/>
    <w:rsid w:val="00941379"/>
    <w:rsid w:val="009413FA"/>
    <w:rsid w:val="009415B3"/>
    <w:rsid w:val="00941C1C"/>
    <w:rsid w:val="00941DC2"/>
    <w:rsid w:val="00941FF4"/>
    <w:rsid w:val="00942564"/>
    <w:rsid w:val="009425C0"/>
    <w:rsid w:val="00942921"/>
    <w:rsid w:val="00942EBC"/>
    <w:rsid w:val="009435E2"/>
    <w:rsid w:val="0094364B"/>
    <w:rsid w:val="00943C9F"/>
    <w:rsid w:val="00944016"/>
    <w:rsid w:val="00944823"/>
    <w:rsid w:val="0094492F"/>
    <w:rsid w:val="00944A10"/>
    <w:rsid w:val="00944E0B"/>
    <w:rsid w:val="00945200"/>
    <w:rsid w:val="009456D0"/>
    <w:rsid w:val="00945A14"/>
    <w:rsid w:val="00945B03"/>
    <w:rsid w:val="009462C6"/>
    <w:rsid w:val="0094654B"/>
    <w:rsid w:val="009465DB"/>
    <w:rsid w:val="00946AA3"/>
    <w:rsid w:val="00946C4A"/>
    <w:rsid w:val="00946D51"/>
    <w:rsid w:val="00946FA4"/>
    <w:rsid w:val="0094719D"/>
    <w:rsid w:val="00947231"/>
    <w:rsid w:val="00947445"/>
    <w:rsid w:val="0094786D"/>
    <w:rsid w:val="00947FC0"/>
    <w:rsid w:val="0095032C"/>
    <w:rsid w:val="0095035E"/>
    <w:rsid w:val="0095063B"/>
    <w:rsid w:val="009507D8"/>
    <w:rsid w:val="009509BA"/>
    <w:rsid w:val="00951236"/>
    <w:rsid w:val="00951B9A"/>
    <w:rsid w:val="00951DDB"/>
    <w:rsid w:val="00951E7D"/>
    <w:rsid w:val="00951F45"/>
    <w:rsid w:val="009528F2"/>
    <w:rsid w:val="0095295B"/>
    <w:rsid w:val="00952E99"/>
    <w:rsid w:val="0095308A"/>
    <w:rsid w:val="0095318E"/>
    <w:rsid w:val="0095365E"/>
    <w:rsid w:val="00953831"/>
    <w:rsid w:val="00953ADA"/>
    <w:rsid w:val="009545DC"/>
    <w:rsid w:val="00954A0A"/>
    <w:rsid w:val="00954A75"/>
    <w:rsid w:val="00954B25"/>
    <w:rsid w:val="00954D5A"/>
    <w:rsid w:val="00954DAB"/>
    <w:rsid w:val="009555A7"/>
    <w:rsid w:val="0095582E"/>
    <w:rsid w:val="00955DD3"/>
    <w:rsid w:val="00955FB4"/>
    <w:rsid w:val="009566DD"/>
    <w:rsid w:val="009568B4"/>
    <w:rsid w:val="00956AC4"/>
    <w:rsid w:val="00956F3C"/>
    <w:rsid w:val="00956FF4"/>
    <w:rsid w:val="00957199"/>
    <w:rsid w:val="0095732D"/>
    <w:rsid w:val="009578C4"/>
    <w:rsid w:val="00957A8A"/>
    <w:rsid w:val="0096023F"/>
    <w:rsid w:val="0096028A"/>
    <w:rsid w:val="00960405"/>
    <w:rsid w:val="009604D9"/>
    <w:rsid w:val="009607B4"/>
    <w:rsid w:val="009608AA"/>
    <w:rsid w:val="00960BE4"/>
    <w:rsid w:val="00960D8D"/>
    <w:rsid w:val="00960EA2"/>
    <w:rsid w:val="00961431"/>
    <w:rsid w:val="0096157F"/>
    <w:rsid w:val="0096167C"/>
    <w:rsid w:val="0096194C"/>
    <w:rsid w:val="00961B9B"/>
    <w:rsid w:val="009625DF"/>
    <w:rsid w:val="00962A15"/>
    <w:rsid w:val="00962E60"/>
    <w:rsid w:val="0096342F"/>
    <w:rsid w:val="00963804"/>
    <w:rsid w:val="00963AB1"/>
    <w:rsid w:val="00963CFA"/>
    <w:rsid w:val="00963D50"/>
    <w:rsid w:val="00963F52"/>
    <w:rsid w:val="0096482C"/>
    <w:rsid w:val="00964894"/>
    <w:rsid w:val="00964CC2"/>
    <w:rsid w:val="009652D2"/>
    <w:rsid w:val="009657EB"/>
    <w:rsid w:val="00965901"/>
    <w:rsid w:val="0096590C"/>
    <w:rsid w:val="00965C06"/>
    <w:rsid w:val="00965CE1"/>
    <w:rsid w:val="009667B6"/>
    <w:rsid w:val="00967544"/>
    <w:rsid w:val="009675EB"/>
    <w:rsid w:val="0096763D"/>
    <w:rsid w:val="00967C71"/>
    <w:rsid w:val="00967DFE"/>
    <w:rsid w:val="00967EC9"/>
    <w:rsid w:val="00967FF9"/>
    <w:rsid w:val="00971333"/>
    <w:rsid w:val="00971AC1"/>
    <w:rsid w:val="0097226A"/>
    <w:rsid w:val="00972318"/>
    <w:rsid w:val="009724C0"/>
    <w:rsid w:val="00972983"/>
    <w:rsid w:val="00972BD8"/>
    <w:rsid w:val="00972E59"/>
    <w:rsid w:val="009730A2"/>
    <w:rsid w:val="0097311E"/>
    <w:rsid w:val="00973136"/>
    <w:rsid w:val="00973165"/>
    <w:rsid w:val="009731A6"/>
    <w:rsid w:val="0097390F"/>
    <w:rsid w:val="0097394A"/>
    <w:rsid w:val="00974058"/>
    <w:rsid w:val="00974154"/>
    <w:rsid w:val="009742B8"/>
    <w:rsid w:val="009749F9"/>
    <w:rsid w:val="00974C2D"/>
    <w:rsid w:val="00974F98"/>
    <w:rsid w:val="0097500D"/>
    <w:rsid w:val="0097509A"/>
    <w:rsid w:val="009750DF"/>
    <w:rsid w:val="00975228"/>
    <w:rsid w:val="0097553B"/>
    <w:rsid w:val="009756D6"/>
    <w:rsid w:val="00975783"/>
    <w:rsid w:val="009757DF"/>
    <w:rsid w:val="0097592C"/>
    <w:rsid w:val="00975FD8"/>
    <w:rsid w:val="00976062"/>
    <w:rsid w:val="00976627"/>
    <w:rsid w:val="00976892"/>
    <w:rsid w:val="00976A5A"/>
    <w:rsid w:val="00976C7E"/>
    <w:rsid w:val="00977436"/>
    <w:rsid w:val="00977953"/>
    <w:rsid w:val="00977B40"/>
    <w:rsid w:val="00980566"/>
    <w:rsid w:val="00980725"/>
    <w:rsid w:val="0098092D"/>
    <w:rsid w:val="00980DEA"/>
    <w:rsid w:val="0098122A"/>
    <w:rsid w:val="0098133D"/>
    <w:rsid w:val="00981660"/>
    <w:rsid w:val="00981679"/>
    <w:rsid w:val="009818B9"/>
    <w:rsid w:val="00981A3C"/>
    <w:rsid w:val="00981DB0"/>
    <w:rsid w:val="00982A59"/>
    <w:rsid w:val="00982BD6"/>
    <w:rsid w:val="009831EB"/>
    <w:rsid w:val="00983337"/>
    <w:rsid w:val="00983394"/>
    <w:rsid w:val="00983793"/>
    <w:rsid w:val="009837B6"/>
    <w:rsid w:val="009837D8"/>
    <w:rsid w:val="00983924"/>
    <w:rsid w:val="00983C41"/>
    <w:rsid w:val="00983FCB"/>
    <w:rsid w:val="009840B3"/>
    <w:rsid w:val="00984337"/>
    <w:rsid w:val="0098447B"/>
    <w:rsid w:val="00984722"/>
    <w:rsid w:val="00984812"/>
    <w:rsid w:val="00984FC3"/>
    <w:rsid w:val="009851DF"/>
    <w:rsid w:val="009854DA"/>
    <w:rsid w:val="00985553"/>
    <w:rsid w:val="009855A6"/>
    <w:rsid w:val="00985F0B"/>
    <w:rsid w:val="009863BD"/>
    <w:rsid w:val="00986AEB"/>
    <w:rsid w:val="00986D94"/>
    <w:rsid w:val="00986E82"/>
    <w:rsid w:val="0098710F"/>
    <w:rsid w:val="0098732D"/>
    <w:rsid w:val="00987564"/>
    <w:rsid w:val="00987A4A"/>
    <w:rsid w:val="00987BBB"/>
    <w:rsid w:val="00987BDC"/>
    <w:rsid w:val="00987CD5"/>
    <w:rsid w:val="009906AC"/>
    <w:rsid w:val="00990C59"/>
    <w:rsid w:val="00990F6E"/>
    <w:rsid w:val="009910D6"/>
    <w:rsid w:val="009911E3"/>
    <w:rsid w:val="0099146D"/>
    <w:rsid w:val="00991501"/>
    <w:rsid w:val="00991B3E"/>
    <w:rsid w:val="00991BDF"/>
    <w:rsid w:val="00991D50"/>
    <w:rsid w:val="00992876"/>
    <w:rsid w:val="00993060"/>
    <w:rsid w:val="009930E1"/>
    <w:rsid w:val="009934D8"/>
    <w:rsid w:val="00993511"/>
    <w:rsid w:val="0099392F"/>
    <w:rsid w:val="00993E87"/>
    <w:rsid w:val="00993F64"/>
    <w:rsid w:val="00994230"/>
    <w:rsid w:val="00994452"/>
    <w:rsid w:val="009945EC"/>
    <w:rsid w:val="009945F6"/>
    <w:rsid w:val="00994830"/>
    <w:rsid w:val="00994C79"/>
    <w:rsid w:val="00994D65"/>
    <w:rsid w:val="0099516D"/>
    <w:rsid w:val="009953A6"/>
    <w:rsid w:val="009954EA"/>
    <w:rsid w:val="00995573"/>
    <w:rsid w:val="0099590D"/>
    <w:rsid w:val="00995949"/>
    <w:rsid w:val="009961D5"/>
    <w:rsid w:val="0099631C"/>
    <w:rsid w:val="009967CB"/>
    <w:rsid w:val="00996A23"/>
    <w:rsid w:val="00996B7E"/>
    <w:rsid w:val="00996E76"/>
    <w:rsid w:val="00996F5B"/>
    <w:rsid w:val="00997823"/>
    <w:rsid w:val="00997B02"/>
    <w:rsid w:val="00997B6D"/>
    <w:rsid w:val="00997FCC"/>
    <w:rsid w:val="009A004B"/>
    <w:rsid w:val="009A073F"/>
    <w:rsid w:val="009A0BC3"/>
    <w:rsid w:val="009A0DE6"/>
    <w:rsid w:val="009A1032"/>
    <w:rsid w:val="009A1209"/>
    <w:rsid w:val="009A1231"/>
    <w:rsid w:val="009A1358"/>
    <w:rsid w:val="009A19EB"/>
    <w:rsid w:val="009A1ABD"/>
    <w:rsid w:val="009A1B77"/>
    <w:rsid w:val="009A2271"/>
    <w:rsid w:val="009A2417"/>
    <w:rsid w:val="009A2CF7"/>
    <w:rsid w:val="009A3019"/>
    <w:rsid w:val="009A33E4"/>
    <w:rsid w:val="009A38C8"/>
    <w:rsid w:val="009A396A"/>
    <w:rsid w:val="009A3AED"/>
    <w:rsid w:val="009A3B2F"/>
    <w:rsid w:val="009A4156"/>
    <w:rsid w:val="009A4C20"/>
    <w:rsid w:val="009A575B"/>
    <w:rsid w:val="009A57F7"/>
    <w:rsid w:val="009A5AE5"/>
    <w:rsid w:val="009A5C06"/>
    <w:rsid w:val="009A5CB9"/>
    <w:rsid w:val="009A5E05"/>
    <w:rsid w:val="009A5E61"/>
    <w:rsid w:val="009A5EEA"/>
    <w:rsid w:val="009A6089"/>
    <w:rsid w:val="009A62C2"/>
    <w:rsid w:val="009A632D"/>
    <w:rsid w:val="009A6496"/>
    <w:rsid w:val="009A6841"/>
    <w:rsid w:val="009A689D"/>
    <w:rsid w:val="009A68D3"/>
    <w:rsid w:val="009A6A10"/>
    <w:rsid w:val="009A6C05"/>
    <w:rsid w:val="009A6E08"/>
    <w:rsid w:val="009A7604"/>
    <w:rsid w:val="009A7703"/>
    <w:rsid w:val="009A7784"/>
    <w:rsid w:val="009A78F3"/>
    <w:rsid w:val="009A79FA"/>
    <w:rsid w:val="009A7AA1"/>
    <w:rsid w:val="009A7AEB"/>
    <w:rsid w:val="009A7DC2"/>
    <w:rsid w:val="009A7E0C"/>
    <w:rsid w:val="009A7FF5"/>
    <w:rsid w:val="009B011C"/>
    <w:rsid w:val="009B0151"/>
    <w:rsid w:val="009B0370"/>
    <w:rsid w:val="009B0902"/>
    <w:rsid w:val="009B0AFE"/>
    <w:rsid w:val="009B11DD"/>
    <w:rsid w:val="009B1643"/>
    <w:rsid w:val="009B1D84"/>
    <w:rsid w:val="009B234C"/>
    <w:rsid w:val="009B2977"/>
    <w:rsid w:val="009B2D8D"/>
    <w:rsid w:val="009B309D"/>
    <w:rsid w:val="009B38D3"/>
    <w:rsid w:val="009B394C"/>
    <w:rsid w:val="009B39BF"/>
    <w:rsid w:val="009B3D8D"/>
    <w:rsid w:val="009B3EF8"/>
    <w:rsid w:val="009B4A84"/>
    <w:rsid w:val="009B4AA5"/>
    <w:rsid w:val="009B4E4A"/>
    <w:rsid w:val="009B4FEC"/>
    <w:rsid w:val="009B51F3"/>
    <w:rsid w:val="009B52A5"/>
    <w:rsid w:val="009B5672"/>
    <w:rsid w:val="009B582E"/>
    <w:rsid w:val="009B5B8D"/>
    <w:rsid w:val="009B5E85"/>
    <w:rsid w:val="009B5EA5"/>
    <w:rsid w:val="009B61DF"/>
    <w:rsid w:val="009B644E"/>
    <w:rsid w:val="009B64D0"/>
    <w:rsid w:val="009B68C8"/>
    <w:rsid w:val="009B6A72"/>
    <w:rsid w:val="009B6C77"/>
    <w:rsid w:val="009B6EA7"/>
    <w:rsid w:val="009B7079"/>
    <w:rsid w:val="009B7093"/>
    <w:rsid w:val="009B7257"/>
    <w:rsid w:val="009B73D3"/>
    <w:rsid w:val="009B747F"/>
    <w:rsid w:val="009B7606"/>
    <w:rsid w:val="009B7626"/>
    <w:rsid w:val="009B7CDC"/>
    <w:rsid w:val="009C0191"/>
    <w:rsid w:val="009C0321"/>
    <w:rsid w:val="009C0439"/>
    <w:rsid w:val="009C0A42"/>
    <w:rsid w:val="009C0E22"/>
    <w:rsid w:val="009C0E5A"/>
    <w:rsid w:val="009C0F53"/>
    <w:rsid w:val="009C0F5F"/>
    <w:rsid w:val="009C1147"/>
    <w:rsid w:val="009C1320"/>
    <w:rsid w:val="009C1797"/>
    <w:rsid w:val="009C2611"/>
    <w:rsid w:val="009C26FB"/>
    <w:rsid w:val="009C2850"/>
    <w:rsid w:val="009C28EC"/>
    <w:rsid w:val="009C2A10"/>
    <w:rsid w:val="009C2C05"/>
    <w:rsid w:val="009C2DE2"/>
    <w:rsid w:val="009C2DFB"/>
    <w:rsid w:val="009C353A"/>
    <w:rsid w:val="009C3A85"/>
    <w:rsid w:val="009C3D8C"/>
    <w:rsid w:val="009C3F1C"/>
    <w:rsid w:val="009C413D"/>
    <w:rsid w:val="009C438E"/>
    <w:rsid w:val="009C457F"/>
    <w:rsid w:val="009C53FC"/>
    <w:rsid w:val="009C62D6"/>
    <w:rsid w:val="009C63A6"/>
    <w:rsid w:val="009C6A17"/>
    <w:rsid w:val="009C6E4E"/>
    <w:rsid w:val="009C74EA"/>
    <w:rsid w:val="009C74FF"/>
    <w:rsid w:val="009C7502"/>
    <w:rsid w:val="009C7D7F"/>
    <w:rsid w:val="009D145B"/>
    <w:rsid w:val="009D1638"/>
    <w:rsid w:val="009D16EA"/>
    <w:rsid w:val="009D1CA5"/>
    <w:rsid w:val="009D2073"/>
    <w:rsid w:val="009D22E5"/>
    <w:rsid w:val="009D2309"/>
    <w:rsid w:val="009D2A99"/>
    <w:rsid w:val="009D2C53"/>
    <w:rsid w:val="009D34F0"/>
    <w:rsid w:val="009D3965"/>
    <w:rsid w:val="009D3BCA"/>
    <w:rsid w:val="009D3DD1"/>
    <w:rsid w:val="009D4010"/>
    <w:rsid w:val="009D4301"/>
    <w:rsid w:val="009D43C1"/>
    <w:rsid w:val="009D4AF7"/>
    <w:rsid w:val="009D4C59"/>
    <w:rsid w:val="009D4C7C"/>
    <w:rsid w:val="009D4D69"/>
    <w:rsid w:val="009D4EF1"/>
    <w:rsid w:val="009D6601"/>
    <w:rsid w:val="009D679C"/>
    <w:rsid w:val="009D6997"/>
    <w:rsid w:val="009D7418"/>
    <w:rsid w:val="009D767C"/>
    <w:rsid w:val="009D7A6E"/>
    <w:rsid w:val="009E0436"/>
    <w:rsid w:val="009E0449"/>
    <w:rsid w:val="009E0484"/>
    <w:rsid w:val="009E051C"/>
    <w:rsid w:val="009E0A76"/>
    <w:rsid w:val="009E0FC2"/>
    <w:rsid w:val="009E104D"/>
    <w:rsid w:val="009E10A9"/>
    <w:rsid w:val="009E16CD"/>
    <w:rsid w:val="009E175D"/>
    <w:rsid w:val="009E1797"/>
    <w:rsid w:val="009E1C2D"/>
    <w:rsid w:val="009E1F92"/>
    <w:rsid w:val="009E2020"/>
    <w:rsid w:val="009E2D58"/>
    <w:rsid w:val="009E3069"/>
    <w:rsid w:val="009E324C"/>
    <w:rsid w:val="009E3435"/>
    <w:rsid w:val="009E34E3"/>
    <w:rsid w:val="009E353D"/>
    <w:rsid w:val="009E3721"/>
    <w:rsid w:val="009E38B8"/>
    <w:rsid w:val="009E3B90"/>
    <w:rsid w:val="009E3DFA"/>
    <w:rsid w:val="009E40A7"/>
    <w:rsid w:val="009E4432"/>
    <w:rsid w:val="009E4759"/>
    <w:rsid w:val="009E4BCD"/>
    <w:rsid w:val="009E4D70"/>
    <w:rsid w:val="009E5139"/>
    <w:rsid w:val="009E5267"/>
    <w:rsid w:val="009E526E"/>
    <w:rsid w:val="009E53C3"/>
    <w:rsid w:val="009E55DA"/>
    <w:rsid w:val="009E58F9"/>
    <w:rsid w:val="009E5BAF"/>
    <w:rsid w:val="009E5C82"/>
    <w:rsid w:val="009E63D4"/>
    <w:rsid w:val="009E654B"/>
    <w:rsid w:val="009E66E5"/>
    <w:rsid w:val="009E6758"/>
    <w:rsid w:val="009E6AE7"/>
    <w:rsid w:val="009E6B40"/>
    <w:rsid w:val="009E6D2E"/>
    <w:rsid w:val="009E6E93"/>
    <w:rsid w:val="009E6ED4"/>
    <w:rsid w:val="009E71C9"/>
    <w:rsid w:val="009E7442"/>
    <w:rsid w:val="009E7B60"/>
    <w:rsid w:val="009F0003"/>
    <w:rsid w:val="009F04C2"/>
    <w:rsid w:val="009F077A"/>
    <w:rsid w:val="009F0C9F"/>
    <w:rsid w:val="009F0DB7"/>
    <w:rsid w:val="009F1003"/>
    <w:rsid w:val="009F1A43"/>
    <w:rsid w:val="009F1DCC"/>
    <w:rsid w:val="009F25DD"/>
    <w:rsid w:val="009F26B7"/>
    <w:rsid w:val="009F270C"/>
    <w:rsid w:val="009F30CF"/>
    <w:rsid w:val="009F346E"/>
    <w:rsid w:val="009F3678"/>
    <w:rsid w:val="009F39D0"/>
    <w:rsid w:val="009F3B18"/>
    <w:rsid w:val="009F41A2"/>
    <w:rsid w:val="009F45B4"/>
    <w:rsid w:val="009F46EF"/>
    <w:rsid w:val="009F4784"/>
    <w:rsid w:val="009F4C9B"/>
    <w:rsid w:val="009F4D9F"/>
    <w:rsid w:val="009F543A"/>
    <w:rsid w:val="009F54D9"/>
    <w:rsid w:val="009F582B"/>
    <w:rsid w:val="009F5D7A"/>
    <w:rsid w:val="009F6141"/>
    <w:rsid w:val="009F61C9"/>
    <w:rsid w:val="009F624F"/>
    <w:rsid w:val="009F6A82"/>
    <w:rsid w:val="009F6E36"/>
    <w:rsid w:val="009F6FCF"/>
    <w:rsid w:val="009F76EF"/>
    <w:rsid w:val="009F79DF"/>
    <w:rsid w:val="009F7ECF"/>
    <w:rsid w:val="00A00641"/>
    <w:rsid w:val="00A0133C"/>
    <w:rsid w:val="00A01860"/>
    <w:rsid w:val="00A01EFE"/>
    <w:rsid w:val="00A02490"/>
    <w:rsid w:val="00A0291E"/>
    <w:rsid w:val="00A02A07"/>
    <w:rsid w:val="00A02AC7"/>
    <w:rsid w:val="00A02CD5"/>
    <w:rsid w:val="00A02D61"/>
    <w:rsid w:val="00A02F10"/>
    <w:rsid w:val="00A0339B"/>
    <w:rsid w:val="00A033BF"/>
    <w:rsid w:val="00A0350B"/>
    <w:rsid w:val="00A03C89"/>
    <w:rsid w:val="00A04183"/>
    <w:rsid w:val="00A04AE0"/>
    <w:rsid w:val="00A04C37"/>
    <w:rsid w:val="00A050B8"/>
    <w:rsid w:val="00A054D5"/>
    <w:rsid w:val="00A054E9"/>
    <w:rsid w:val="00A058DB"/>
    <w:rsid w:val="00A05B58"/>
    <w:rsid w:val="00A05DB1"/>
    <w:rsid w:val="00A06148"/>
    <w:rsid w:val="00A067DD"/>
    <w:rsid w:val="00A06B01"/>
    <w:rsid w:val="00A0730F"/>
    <w:rsid w:val="00A07321"/>
    <w:rsid w:val="00A0747B"/>
    <w:rsid w:val="00A075ED"/>
    <w:rsid w:val="00A102F2"/>
    <w:rsid w:val="00A1060A"/>
    <w:rsid w:val="00A1062E"/>
    <w:rsid w:val="00A10854"/>
    <w:rsid w:val="00A10A2C"/>
    <w:rsid w:val="00A10D68"/>
    <w:rsid w:val="00A11282"/>
    <w:rsid w:val="00A1132C"/>
    <w:rsid w:val="00A1146A"/>
    <w:rsid w:val="00A116F0"/>
    <w:rsid w:val="00A117B7"/>
    <w:rsid w:val="00A11A71"/>
    <w:rsid w:val="00A11C8F"/>
    <w:rsid w:val="00A11F13"/>
    <w:rsid w:val="00A1235D"/>
    <w:rsid w:val="00A12371"/>
    <w:rsid w:val="00A12427"/>
    <w:rsid w:val="00A1268B"/>
    <w:rsid w:val="00A1292A"/>
    <w:rsid w:val="00A12BB4"/>
    <w:rsid w:val="00A131E8"/>
    <w:rsid w:val="00A13648"/>
    <w:rsid w:val="00A13889"/>
    <w:rsid w:val="00A139B9"/>
    <w:rsid w:val="00A13CEF"/>
    <w:rsid w:val="00A13E07"/>
    <w:rsid w:val="00A13E61"/>
    <w:rsid w:val="00A146AC"/>
    <w:rsid w:val="00A146BB"/>
    <w:rsid w:val="00A147BB"/>
    <w:rsid w:val="00A149A9"/>
    <w:rsid w:val="00A14A44"/>
    <w:rsid w:val="00A14AC3"/>
    <w:rsid w:val="00A14B26"/>
    <w:rsid w:val="00A14B9A"/>
    <w:rsid w:val="00A14BD6"/>
    <w:rsid w:val="00A14E6A"/>
    <w:rsid w:val="00A14E71"/>
    <w:rsid w:val="00A15279"/>
    <w:rsid w:val="00A152A7"/>
    <w:rsid w:val="00A161A0"/>
    <w:rsid w:val="00A167E1"/>
    <w:rsid w:val="00A16BBD"/>
    <w:rsid w:val="00A16D2D"/>
    <w:rsid w:val="00A16ECF"/>
    <w:rsid w:val="00A16F14"/>
    <w:rsid w:val="00A17541"/>
    <w:rsid w:val="00A179BA"/>
    <w:rsid w:val="00A17B77"/>
    <w:rsid w:val="00A17D61"/>
    <w:rsid w:val="00A17F4B"/>
    <w:rsid w:val="00A20041"/>
    <w:rsid w:val="00A20391"/>
    <w:rsid w:val="00A20A66"/>
    <w:rsid w:val="00A20C6B"/>
    <w:rsid w:val="00A20D0A"/>
    <w:rsid w:val="00A20D7A"/>
    <w:rsid w:val="00A21851"/>
    <w:rsid w:val="00A218D3"/>
    <w:rsid w:val="00A21C29"/>
    <w:rsid w:val="00A21D0A"/>
    <w:rsid w:val="00A221FA"/>
    <w:rsid w:val="00A22629"/>
    <w:rsid w:val="00A22944"/>
    <w:rsid w:val="00A22AB1"/>
    <w:rsid w:val="00A22E8C"/>
    <w:rsid w:val="00A2321A"/>
    <w:rsid w:val="00A23495"/>
    <w:rsid w:val="00A23801"/>
    <w:rsid w:val="00A23892"/>
    <w:rsid w:val="00A23950"/>
    <w:rsid w:val="00A23B8B"/>
    <w:rsid w:val="00A23C06"/>
    <w:rsid w:val="00A23C28"/>
    <w:rsid w:val="00A2484E"/>
    <w:rsid w:val="00A24862"/>
    <w:rsid w:val="00A24AA3"/>
    <w:rsid w:val="00A24AE0"/>
    <w:rsid w:val="00A24E29"/>
    <w:rsid w:val="00A24EEA"/>
    <w:rsid w:val="00A25247"/>
    <w:rsid w:val="00A2527D"/>
    <w:rsid w:val="00A256F2"/>
    <w:rsid w:val="00A25A45"/>
    <w:rsid w:val="00A25DCF"/>
    <w:rsid w:val="00A25FAE"/>
    <w:rsid w:val="00A26234"/>
    <w:rsid w:val="00A2677F"/>
    <w:rsid w:val="00A267E2"/>
    <w:rsid w:val="00A26B3A"/>
    <w:rsid w:val="00A26B47"/>
    <w:rsid w:val="00A26D7D"/>
    <w:rsid w:val="00A27224"/>
    <w:rsid w:val="00A272B0"/>
    <w:rsid w:val="00A273AC"/>
    <w:rsid w:val="00A275C1"/>
    <w:rsid w:val="00A27627"/>
    <w:rsid w:val="00A2771C"/>
    <w:rsid w:val="00A27BFC"/>
    <w:rsid w:val="00A27D25"/>
    <w:rsid w:val="00A27FFC"/>
    <w:rsid w:val="00A30131"/>
    <w:rsid w:val="00A30357"/>
    <w:rsid w:val="00A30A04"/>
    <w:rsid w:val="00A30A14"/>
    <w:rsid w:val="00A30A39"/>
    <w:rsid w:val="00A31005"/>
    <w:rsid w:val="00A310B1"/>
    <w:rsid w:val="00A316F2"/>
    <w:rsid w:val="00A316F5"/>
    <w:rsid w:val="00A3170D"/>
    <w:rsid w:val="00A31BCE"/>
    <w:rsid w:val="00A31CEC"/>
    <w:rsid w:val="00A31D36"/>
    <w:rsid w:val="00A31E76"/>
    <w:rsid w:val="00A324C6"/>
    <w:rsid w:val="00A32570"/>
    <w:rsid w:val="00A328F8"/>
    <w:rsid w:val="00A329DF"/>
    <w:rsid w:val="00A32ADB"/>
    <w:rsid w:val="00A32F0F"/>
    <w:rsid w:val="00A33132"/>
    <w:rsid w:val="00A333C7"/>
    <w:rsid w:val="00A338B8"/>
    <w:rsid w:val="00A33A46"/>
    <w:rsid w:val="00A34164"/>
    <w:rsid w:val="00A3458E"/>
    <w:rsid w:val="00A345E8"/>
    <w:rsid w:val="00A34902"/>
    <w:rsid w:val="00A34A80"/>
    <w:rsid w:val="00A34A84"/>
    <w:rsid w:val="00A34CD6"/>
    <w:rsid w:val="00A35207"/>
    <w:rsid w:val="00A35556"/>
    <w:rsid w:val="00A35C5D"/>
    <w:rsid w:val="00A35E48"/>
    <w:rsid w:val="00A35F35"/>
    <w:rsid w:val="00A365CE"/>
    <w:rsid w:val="00A36B80"/>
    <w:rsid w:val="00A36C61"/>
    <w:rsid w:val="00A37750"/>
    <w:rsid w:val="00A37A7A"/>
    <w:rsid w:val="00A37F7C"/>
    <w:rsid w:val="00A40069"/>
    <w:rsid w:val="00A401FB"/>
    <w:rsid w:val="00A409BF"/>
    <w:rsid w:val="00A409FE"/>
    <w:rsid w:val="00A40B74"/>
    <w:rsid w:val="00A40F33"/>
    <w:rsid w:val="00A411B8"/>
    <w:rsid w:val="00A4120B"/>
    <w:rsid w:val="00A41452"/>
    <w:rsid w:val="00A41550"/>
    <w:rsid w:val="00A41628"/>
    <w:rsid w:val="00A41A16"/>
    <w:rsid w:val="00A41CF7"/>
    <w:rsid w:val="00A41FCE"/>
    <w:rsid w:val="00A42545"/>
    <w:rsid w:val="00A4288A"/>
    <w:rsid w:val="00A42E88"/>
    <w:rsid w:val="00A43206"/>
    <w:rsid w:val="00A43232"/>
    <w:rsid w:val="00A436FE"/>
    <w:rsid w:val="00A438FD"/>
    <w:rsid w:val="00A43B76"/>
    <w:rsid w:val="00A43C95"/>
    <w:rsid w:val="00A43D8A"/>
    <w:rsid w:val="00A43F87"/>
    <w:rsid w:val="00A44272"/>
    <w:rsid w:val="00A44699"/>
    <w:rsid w:val="00A448B8"/>
    <w:rsid w:val="00A449B1"/>
    <w:rsid w:val="00A44EFF"/>
    <w:rsid w:val="00A4562C"/>
    <w:rsid w:val="00A45916"/>
    <w:rsid w:val="00A459CB"/>
    <w:rsid w:val="00A45B42"/>
    <w:rsid w:val="00A46059"/>
    <w:rsid w:val="00A46091"/>
    <w:rsid w:val="00A46478"/>
    <w:rsid w:val="00A46D35"/>
    <w:rsid w:val="00A47062"/>
    <w:rsid w:val="00A4708D"/>
    <w:rsid w:val="00A47235"/>
    <w:rsid w:val="00A476E9"/>
    <w:rsid w:val="00A47B15"/>
    <w:rsid w:val="00A47C9D"/>
    <w:rsid w:val="00A50176"/>
    <w:rsid w:val="00A501FA"/>
    <w:rsid w:val="00A510C5"/>
    <w:rsid w:val="00A51669"/>
    <w:rsid w:val="00A516B6"/>
    <w:rsid w:val="00A51865"/>
    <w:rsid w:val="00A51A87"/>
    <w:rsid w:val="00A51C15"/>
    <w:rsid w:val="00A525BE"/>
    <w:rsid w:val="00A52B43"/>
    <w:rsid w:val="00A52D07"/>
    <w:rsid w:val="00A534B4"/>
    <w:rsid w:val="00A5361F"/>
    <w:rsid w:val="00A54361"/>
    <w:rsid w:val="00A54E7F"/>
    <w:rsid w:val="00A54F35"/>
    <w:rsid w:val="00A550A0"/>
    <w:rsid w:val="00A551B5"/>
    <w:rsid w:val="00A551B8"/>
    <w:rsid w:val="00A557E7"/>
    <w:rsid w:val="00A55937"/>
    <w:rsid w:val="00A56324"/>
    <w:rsid w:val="00A56BEA"/>
    <w:rsid w:val="00A57344"/>
    <w:rsid w:val="00A57567"/>
    <w:rsid w:val="00A57599"/>
    <w:rsid w:val="00A578E0"/>
    <w:rsid w:val="00A57980"/>
    <w:rsid w:val="00A602D3"/>
    <w:rsid w:val="00A60318"/>
    <w:rsid w:val="00A60544"/>
    <w:rsid w:val="00A60C33"/>
    <w:rsid w:val="00A60F04"/>
    <w:rsid w:val="00A622C0"/>
    <w:rsid w:val="00A6242A"/>
    <w:rsid w:val="00A62F45"/>
    <w:rsid w:val="00A6315F"/>
    <w:rsid w:val="00A632EA"/>
    <w:rsid w:val="00A63CDC"/>
    <w:rsid w:val="00A63D6A"/>
    <w:rsid w:val="00A63D99"/>
    <w:rsid w:val="00A63E20"/>
    <w:rsid w:val="00A63ED0"/>
    <w:rsid w:val="00A640B3"/>
    <w:rsid w:val="00A649D9"/>
    <w:rsid w:val="00A64A60"/>
    <w:rsid w:val="00A64C9B"/>
    <w:rsid w:val="00A64D41"/>
    <w:rsid w:val="00A65344"/>
    <w:rsid w:val="00A65459"/>
    <w:rsid w:val="00A65499"/>
    <w:rsid w:val="00A65704"/>
    <w:rsid w:val="00A65B40"/>
    <w:rsid w:val="00A65B41"/>
    <w:rsid w:val="00A6643E"/>
    <w:rsid w:val="00A666D7"/>
    <w:rsid w:val="00A66B29"/>
    <w:rsid w:val="00A66E0D"/>
    <w:rsid w:val="00A6779E"/>
    <w:rsid w:val="00A6786B"/>
    <w:rsid w:val="00A67C7A"/>
    <w:rsid w:val="00A67DF0"/>
    <w:rsid w:val="00A70205"/>
    <w:rsid w:val="00A70456"/>
    <w:rsid w:val="00A70999"/>
    <w:rsid w:val="00A70B2A"/>
    <w:rsid w:val="00A70C54"/>
    <w:rsid w:val="00A70C83"/>
    <w:rsid w:val="00A7102F"/>
    <w:rsid w:val="00A7159E"/>
    <w:rsid w:val="00A71764"/>
    <w:rsid w:val="00A7177C"/>
    <w:rsid w:val="00A71900"/>
    <w:rsid w:val="00A71EF7"/>
    <w:rsid w:val="00A7215B"/>
    <w:rsid w:val="00A723DC"/>
    <w:rsid w:val="00A726B5"/>
    <w:rsid w:val="00A72ADC"/>
    <w:rsid w:val="00A72BC0"/>
    <w:rsid w:val="00A730BD"/>
    <w:rsid w:val="00A73169"/>
    <w:rsid w:val="00A73213"/>
    <w:rsid w:val="00A73531"/>
    <w:rsid w:val="00A73833"/>
    <w:rsid w:val="00A73A53"/>
    <w:rsid w:val="00A73ED1"/>
    <w:rsid w:val="00A73F66"/>
    <w:rsid w:val="00A74297"/>
    <w:rsid w:val="00A748B0"/>
    <w:rsid w:val="00A74CC8"/>
    <w:rsid w:val="00A74E14"/>
    <w:rsid w:val="00A74E29"/>
    <w:rsid w:val="00A75668"/>
    <w:rsid w:val="00A75772"/>
    <w:rsid w:val="00A75887"/>
    <w:rsid w:val="00A759E5"/>
    <w:rsid w:val="00A75B94"/>
    <w:rsid w:val="00A75E8C"/>
    <w:rsid w:val="00A76276"/>
    <w:rsid w:val="00A76578"/>
    <w:rsid w:val="00A7670D"/>
    <w:rsid w:val="00A76863"/>
    <w:rsid w:val="00A76974"/>
    <w:rsid w:val="00A76A99"/>
    <w:rsid w:val="00A76D64"/>
    <w:rsid w:val="00A76E09"/>
    <w:rsid w:val="00A773E2"/>
    <w:rsid w:val="00A77410"/>
    <w:rsid w:val="00A778DC"/>
    <w:rsid w:val="00A77A6B"/>
    <w:rsid w:val="00A77FB9"/>
    <w:rsid w:val="00A806AA"/>
    <w:rsid w:val="00A806B5"/>
    <w:rsid w:val="00A80A6D"/>
    <w:rsid w:val="00A80AC2"/>
    <w:rsid w:val="00A80FFD"/>
    <w:rsid w:val="00A81311"/>
    <w:rsid w:val="00A81947"/>
    <w:rsid w:val="00A81A18"/>
    <w:rsid w:val="00A81C92"/>
    <w:rsid w:val="00A81DEF"/>
    <w:rsid w:val="00A81E54"/>
    <w:rsid w:val="00A8207E"/>
    <w:rsid w:val="00A82A16"/>
    <w:rsid w:val="00A82C39"/>
    <w:rsid w:val="00A82D74"/>
    <w:rsid w:val="00A8306C"/>
    <w:rsid w:val="00A8312C"/>
    <w:rsid w:val="00A8320B"/>
    <w:rsid w:val="00A832AC"/>
    <w:rsid w:val="00A836E0"/>
    <w:rsid w:val="00A838FA"/>
    <w:rsid w:val="00A83A8C"/>
    <w:rsid w:val="00A845B0"/>
    <w:rsid w:val="00A845DB"/>
    <w:rsid w:val="00A8484F"/>
    <w:rsid w:val="00A84E62"/>
    <w:rsid w:val="00A853DB"/>
    <w:rsid w:val="00A85501"/>
    <w:rsid w:val="00A85640"/>
    <w:rsid w:val="00A859D7"/>
    <w:rsid w:val="00A86268"/>
    <w:rsid w:val="00A86642"/>
    <w:rsid w:val="00A86C66"/>
    <w:rsid w:val="00A86CA7"/>
    <w:rsid w:val="00A8702B"/>
    <w:rsid w:val="00A87585"/>
    <w:rsid w:val="00A87B0C"/>
    <w:rsid w:val="00A87DE3"/>
    <w:rsid w:val="00A87DF2"/>
    <w:rsid w:val="00A90153"/>
    <w:rsid w:val="00A90200"/>
    <w:rsid w:val="00A9036C"/>
    <w:rsid w:val="00A90526"/>
    <w:rsid w:val="00A906FC"/>
    <w:rsid w:val="00A909A2"/>
    <w:rsid w:val="00A90AD1"/>
    <w:rsid w:val="00A91122"/>
    <w:rsid w:val="00A91992"/>
    <w:rsid w:val="00A919F4"/>
    <w:rsid w:val="00A91C1B"/>
    <w:rsid w:val="00A91E62"/>
    <w:rsid w:val="00A91F60"/>
    <w:rsid w:val="00A923FF"/>
    <w:rsid w:val="00A92C55"/>
    <w:rsid w:val="00A930BD"/>
    <w:rsid w:val="00A93276"/>
    <w:rsid w:val="00A934BE"/>
    <w:rsid w:val="00A93576"/>
    <w:rsid w:val="00A935D8"/>
    <w:rsid w:val="00A93CEA"/>
    <w:rsid w:val="00A93DAB"/>
    <w:rsid w:val="00A93E30"/>
    <w:rsid w:val="00A93EFE"/>
    <w:rsid w:val="00A941AA"/>
    <w:rsid w:val="00A942FD"/>
    <w:rsid w:val="00A9448B"/>
    <w:rsid w:val="00A94626"/>
    <w:rsid w:val="00A946C1"/>
    <w:rsid w:val="00A94C24"/>
    <w:rsid w:val="00A95204"/>
    <w:rsid w:val="00A95B90"/>
    <w:rsid w:val="00A95BCE"/>
    <w:rsid w:val="00A95E57"/>
    <w:rsid w:val="00A95E59"/>
    <w:rsid w:val="00A9616A"/>
    <w:rsid w:val="00A961B2"/>
    <w:rsid w:val="00A96437"/>
    <w:rsid w:val="00A96766"/>
    <w:rsid w:val="00A96804"/>
    <w:rsid w:val="00A96AFD"/>
    <w:rsid w:val="00A96BDA"/>
    <w:rsid w:val="00A96C82"/>
    <w:rsid w:val="00A973A2"/>
    <w:rsid w:val="00A97B71"/>
    <w:rsid w:val="00A97C47"/>
    <w:rsid w:val="00A97CB9"/>
    <w:rsid w:val="00A97CEC"/>
    <w:rsid w:val="00AA02A8"/>
    <w:rsid w:val="00AA068E"/>
    <w:rsid w:val="00AA0835"/>
    <w:rsid w:val="00AA0863"/>
    <w:rsid w:val="00AA0F00"/>
    <w:rsid w:val="00AA10A8"/>
    <w:rsid w:val="00AA1495"/>
    <w:rsid w:val="00AA17FD"/>
    <w:rsid w:val="00AA1A92"/>
    <w:rsid w:val="00AA1C22"/>
    <w:rsid w:val="00AA1D73"/>
    <w:rsid w:val="00AA1E2C"/>
    <w:rsid w:val="00AA2044"/>
    <w:rsid w:val="00AA234A"/>
    <w:rsid w:val="00AA23E9"/>
    <w:rsid w:val="00AA2494"/>
    <w:rsid w:val="00AA3140"/>
    <w:rsid w:val="00AA32DA"/>
    <w:rsid w:val="00AA3435"/>
    <w:rsid w:val="00AA38DC"/>
    <w:rsid w:val="00AA3A84"/>
    <w:rsid w:val="00AA3BFD"/>
    <w:rsid w:val="00AA4752"/>
    <w:rsid w:val="00AA5021"/>
    <w:rsid w:val="00AA5291"/>
    <w:rsid w:val="00AA55A6"/>
    <w:rsid w:val="00AA5615"/>
    <w:rsid w:val="00AA5F57"/>
    <w:rsid w:val="00AA6170"/>
    <w:rsid w:val="00AA675C"/>
    <w:rsid w:val="00AA6A09"/>
    <w:rsid w:val="00AA6A9D"/>
    <w:rsid w:val="00AA7121"/>
    <w:rsid w:val="00AA7518"/>
    <w:rsid w:val="00AA7562"/>
    <w:rsid w:val="00AA7AFC"/>
    <w:rsid w:val="00AA7B4E"/>
    <w:rsid w:val="00AA7F52"/>
    <w:rsid w:val="00AB0008"/>
    <w:rsid w:val="00AB03BC"/>
    <w:rsid w:val="00AB08D2"/>
    <w:rsid w:val="00AB132B"/>
    <w:rsid w:val="00AB1464"/>
    <w:rsid w:val="00AB1919"/>
    <w:rsid w:val="00AB19F1"/>
    <w:rsid w:val="00AB1D11"/>
    <w:rsid w:val="00AB1E66"/>
    <w:rsid w:val="00AB210F"/>
    <w:rsid w:val="00AB2268"/>
    <w:rsid w:val="00AB2901"/>
    <w:rsid w:val="00AB34F1"/>
    <w:rsid w:val="00AB352D"/>
    <w:rsid w:val="00AB3B28"/>
    <w:rsid w:val="00AB3C4A"/>
    <w:rsid w:val="00AB3CEC"/>
    <w:rsid w:val="00AB3DEC"/>
    <w:rsid w:val="00AB41BD"/>
    <w:rsid w:val="00AB451A"/>
    <w:rsid w:val="00AB4949"/>
    <w:rsid w:val="00AB4EA4"/>
    <w:rsid w:val="00AB6071"/>
    <w:rsid w:val="00AB63C3"/>
    <w:rsid w:val="00AB63FE"/>
    <w:rsid w:val="00AB64D5"/>
    <w:rsid w:val="00AB6878"/>
    <w:rsid w:val="00AB6BD3"/>
    <w:rsid w:val="00AB6BE8"/>
    <w:rsid w:val="00AB7385"/>
    <w:rsid w:val="00AB740D"/>
    <w:rsid w:val="00AB752B"/>
    <w:rsid w:val="00AB76E0"/>
    <w:rsid w:val="00AB78CE"/>
    <w:rsid w:val="00AB7920"/>
    <w:rsid w:val="00AB79A7"/>
    <w:rsid w:val="00AB7B20"/>
    <w:rsid w:val="00AB7CF1"/>
    <w:rsid w:val="00AB7E9F"/>
    <w:rsid w:val="00AC0090"/>
    <w:rsid w:val="00AC0530"/>
    <w:rsid w:val="00AC0580"/>
    <w:rsid w:val="00AC0594"/>
    <w:rsid w:val="00AC092F"/>
    <w:rsid w:val="00AC0A48"/>
    <w:rsid w:val="00AC0B3A"/>
    <w:rsid w:val="00AC0C96"/>
    <w:rsid w:val="00AC0E1D"/>
    <w:rsid w:val="00AC0E6B"/>
    <w:rsid w:val="00AC12AF"/>
    <w:rsid w:val="00AC146B"/>
    <w:rsid w:val="00AC1B01"/>
    <w:rsid w:val="00AC1ECB"/>
    <w:rsid w:val="00AC2081"/>
    <w:rsid w:val="00AC2347"/>
    <w:rsid w:val="00AC23BA"/>
    <w:rsid w:val="00AC2436"/>
    <w:rsid w:val="00AC25BA"/>
    <w:rsid w:val="00AC28C8"/>
    <w:rsid w:val="00AC2FD2"/>
    <w:rsid w:val="00AC3388"/>
    <w:rsid w:val="00AC3C20"/>
    <w:rsid w:val="00AC3CFC"/>
    <w:rsid w:val="00AC3FC0"/>
    <w:rsid w:val="00AC40BD"/>
    <w:rsid w:val="00AC4987"/>
    <w:rsid w:val="00AC5404"/>
    <w:rsid w:val="00AC582F"/>
    <w:rsid w:val="00AC5C2B"/>
    <w:rsid w:val="00AC5E1B"/>
    <w:rsid w:val="00AC6174"/>
    <w:rsid w:val="00AC6F35"/>
    <w:rsid w:val="00AC724D"/>
    <w:rsid w:val="00AC7253"/>
    <w:rsid w:val="00AC72DA"/>
    <w:rsid w:val="00AC7462"/>
    <w:rsid w:val="00AC7483"/>
    <w:rsid w:val="00AC74E8"/>
    <w:rsid w:val="00AC7626"/>
    <w:rsid w:val="00AC782A"/>
    <w:rsid w:val="00AC7EA6"/>
    <w:rsid w:val="00AD0879"/>
    <w:rsid w:val="00AD0A32"/>
    <w:rsid w:val="00AD0B14"/>
    <w:rsid w:val="00AD0BDA"/>
    <w:rsid w:val="00AD0C67"/>
    <w:rsid w:val="00AD12AF"/>
    <w:rsid w:val="00AD1413"/>
    <w:rsid w:val="00AD1A9B"/>
    <w:rsid w:val="00AD1C79"/>
    <w:rsid w:val="00AD1EAE"/>
    <w:rsid w:val="00AD216B"/>
    <w:rsid w:val="00AD21F1"/>
    <w:rsid w:val="00AD2276"/>
    <w:rsid w:val="00AD2410"/>
    <w:rsid w:val="00AD24CC"/>
    <w:rsid w:val="00AD25F6"/>
    <w:rsid w:val="00AD26AC"/>
    <w:rsid w:val="00AD27ED"/>
    <w:rsid w:val="00AD2A03"/>
    <w:rsid w:val="00AD2BF7"/>
    <w:rsid w:val="00AD2D4A"/>
    <w:rsid w:val="00AD324B"/>
    <w:rsid w:val="00AD329B"/>
    <w:rsid w:val="00AD356A"/>
    <w:rsid w:val="00AD35B4"/>
    <w:rsid w:val="00AD35E3"/>
    <w:rsid w:val="00AD3816"/>
    <w:rsid w:val="00AD396C"/>
    <w:rsid w:val="00AD3B06"/>
    <w:rsid w:val="00AD3F59"/>
    <w:rsid w:val="00AD3F96"/>
    <w:rsid w:val="00AD4036"/>
    <w:rsid w:val="00AD4E74"/>
    <w:rsid w:val="00AD4ECE"/>
    <w:rsid w:val="00AD4F3D"/>
    <w:rsid w:val="00AD50D6"/>
    <w:rsid w:val="00AD50E0"/>
    <w:rsid w:val="00AD53EC"/>
    <w:rsid w:val="00AD5429"/>
    <w:rsid w:val="00AD58B8"/>
    <w:rsid w:val="00AD5EB6"/>
    <w:rsid w:val="00AD60EE"/>
    <w:rsid w:val="00AD6A95"/>
    <w:rsid w:val="00AD6C6A"/>
    <w:rsid w:val="00AD6ECE"/>
    <w:rsid w:val="00AD725C"/>
    <w:rsid w:val="00AD7AE9"/>
    <w:rsid w:val="00AD7BE4"/>
    <w:rsid w:val="00AD7D4D"/>
    <w:rsid w:val="00AD7EA6"/>
    <w:rsid w:val="00AE00F5"/>
    <w:rsid w:val="00AE015A"/>
    <w:rsid w:val="00AE066A"/>
    <w:rsid w:val="00AE0797"/>
    <w:rsid w:val="00AE0A52"/>
    <w:rsid w:val="00AE1217"/>
    <w:rsid w:val="00AE124F"/>
    <w:rsid w:val="00AE212D"/>
    <w:rsid w:val="00AE24B9"/>
    <w:rsid w:val="00AE25A0"/>
    <w:rsid w:val="00AE2A27"/>
    <w:rsid w:val="00AE2A98"/>
    <w:rsid w:val="00AE2E8B"/>
    <w:rsid w:val="00AE2F8F"/>
    <w:rsid w:val="00AE3C16"/>
    <w:rsid w:val="00AE3D71"/>
    <w:rsid w:val="00AE3E75"/>
    <w:rsid w:val="00AE42E5"/>
    <w:rsid w:val="00AE47A0"/>
    <w:rsid w:val="00AE482D"/>
    <w:rsid w:val="00AE4B45"/>
    <w:rsid w:val="00AE5140"/>
    <w:rsid w:val="00AE5260"/>
    <w:rsid w:val="00AE5848"/>
    <w:rsid w:val="00AE5DA1"/>
    <w:rsid w:val="00AE5FAF"/>
    <w:rsid w:val="00AE614F"/>
    <w:rsid w:val="00AE616C"/>
    <w:rsid w:val="00AE6422"/>
    <w:rsid w:val="00AE6892"/>
    <w:rsid w:val="00AE7331"/>
    <w:rsid w:val="00AE7BAF"/>
    <w:rsid w:val="00AE7C08"/>
    <w:rsid w:val="00AE7C44"/>
    <w:rsid w:val="00AF0403"/>
    <w:rsid w:val="00AF07AF"/>
    <w:rsid w:val="00AF0AA4"/>
    <w:rsid w:val="00AF0C5B"/>
    <w:rsid w:val="00AF1285"/>
    <w:rsid w:val="00AF133F"/>
    <w:rsid w:val="00AF1502"/>
    <w:rsid w:val="00AF1611"/>
    <w:rsid w:val="00AF23FA"/>
    <w:rsid w:val="00AF2417"/>
    <w:rsid w:val="00AF2968"/>
    <w:rsid w:val="00AF2E5E"/>
    <w:rsid w:val="00AF2FB6"/>
    <w:rsid w:val="00AF3261"/>
    <w:rsid w:val="00AF3304"/>
    <w:rsid w:val="00AF3617"/>
    <w:rsid w:val="00AF3C3B"/>
    <w:rsid w:val="00AF4329"/>
    <w:rsid w:val="00AF43B3"/>
    <w:rsid w:val="00AF4E14"/>
    <w:rsid w:val="00AF4EE4"/>
    <w:rsid w:val="00AF50E8"/>
    <w:rsid w:val="00AF516D"/>
    <w:rsid w:val="00AF5492"/>
    <w:rsid w:val="00AF58F4"/>
    <w:rsid w:val="00AF5CD4"/>
    <w:rsid w:val="00AF5E39"/>
    <w:rsid w:val="00AF6151"/>
    <w:rsid w:val="00AF656E"/>
    <w:rsid w:val="00AF69A2"/>
    <w:rsid w:val="00AF6D4F"/>
    <w:rsid w:val="00AF716C"/>
    <w:rsid w:val="00AF71A0"/>
    <w:rsid w:val="00AF7987"/>
    <w:rsid w:val="00AF7D22"/>
    <w:rsid w:val="00B00264"/>
    <w:rsid w:val="00B00606"/>
    <w:rsid w:val="00B00930"/>
    <w:rsid w:val="00B00C03"/>
    <w:rsid w:val="00B00D1A"/>
    <w:rsid w:val="00B00D1B"/>
    <w:rsid w:val="00B0153E"/>
    <w:rsid w:val="00B022A8"/>
    <w:rsid w:val="00B023F2"/>
    <w:rsid w:val="00B02E61"/>
    <w:rsid w:val="00B02F92"/>
    <w:rsid w:val="00B02FC9"/>
    <w:rsid w:val="00B033CE"/>
    <w:rsid w:val="00B0341E"/>
    <w:rsid w:val="00B0379F"/>
    <w:rsid w:val="00B03EC9"/>
    <w:rsid w:val="00B044A8"/>
    <w:rsid w:val="00B044B4"/>
    <w:rsid w:val="00B044BD"/>
    <w:rsid w:val="00B045B1"/>
    <w:rsid w:val="00B045C0"/>
    <w:rsid w:val="00B04A41"/>
    <w:rsid w:val="00B04CEA"/>
    <w:rsid w:val="00B051BE"/>
    <w:rsid w:val="00B051CD"/>
    <w:rsid w:val="00B05223"/>
    <w:rsid w:val="00B05285"/>
    <w:rsid w:val="00B052D7"/>
    <w:rsid w:val="00B052DB"/>
    <w:rsid w:val="00B05667"/>
    <w:rsid w:val="00B06389"/>
    <w:rsid w:val="00B06402"/>
    <w:rsid w:val="00B06C05"/>
    <w:rsid w:val="00B06C12"/>
    <w:rsid w:val="00B06F63"/>
    <w:rsid w:val="00B0726A"/>
    <w:rsid w:val="00B078D6"/>
    <w:rsid w:val="00B07E54"/>
    <w:rsid w:val="00B07E93"/>
    <w:rsid w:val="00B07F1F"/>
    <w:rsid w:val="00B07F94"/>
    <w:rsid w:val="00B100A6"/>
    <w:rsid w:val="00B10BFE"/>
    <w:rsid w:val="00B10CA1"/>
    <w:rsid w:val="00B10D9C"/>
    <w:rsid w:val="00B1150E"/>
    <w:rsid w:val="00B1167B"/>
    <w:rsid w:val="00B1209C"/>
    <w:rsid w:val="00B12302"/>
    <w:rsid w:val="00B12536"/>
    <w:rsid w:val="00B12626"/>
    <w:rsid w:val="00B127D6"/>
    <w:rsid w:val="00B12822"/>
    <w:rsid w:val="00B1285F"/>
    <w:rsid w:val="00B12928"/>
    <w:rsid w:val="00B12A6D"/>
    <w:rsid w:val="00B12B1A"/>
    <w:rsid w:val="00B13026"/>
    <w:rsid w:val="00B132B6"/>
    <w:rsid w:val="00B13A76"/>
    <w:rsid w:val="00B14056"/>
    <w:rsid w:val="00B14E36"/>
    <w:rsid w:val="00B14F22"/>
    <w:rsid w:val="00B155A2"/>
    <w:rsid w:val="00B15A5A"/>
    <w:rsid w:val="00B15AA2"/>
    <w:rsid w:val="00B15BD6"/>
    <w:rsid w:val="00B15D07"/>
    <w:rsid w:val="00B15EE7"/>
    <w:rsid w:val="00B165E4"/>
    <w:rsid w:val="00B16830"/>
    <w:rsid w:val="00B17014"/>
    <w:rsid w:val="00B171D1"/>
    <w:rsid w:val="00B17695"/>
    <w:rsid w:val="00B176F7"/>
    <w:rsid w:val="00B179EF"/>
    <w:rsid w:val="00B17AF5"/>
    <w:rsid w:val="00B20155"/>
    <w:rsid w:val="00B2059A"/>
    <w:rsid w:val="00B205AC"/>
    <w:rsid w:val="00B21691"/>
    <w:rsid w:val="00B216A2"/>
    <w:rsid w:val="00B216A6"/>
    <w:rsid w:val="00B21E41"/>
    <w:rsid w:val="00B220AE"/>
    <w:rsid w:val="00B220EA"/>
    <w:rsid w:val="00B2213E"/>
    <w:rsid w:val="00B22437"/>
    <w:rsid w:val="00B2278D"/>
    <w:rsid w:val="00B2291C"/>
    <w:rsid w:val="00B22AB4"/>
    <w:rsid w:val="00B22BF6"/>
    <w:rsid w:val="00B22FCB"/>
    <w:rsid w:val="00B2362F"/>
    <w:rsid w:val="00B237AF"/>
    <w:rsid w:val="00B238EC"/>
    <w:rsid w:val="00B23998"/>
    <w:rsid w:val="00B23A15"/>
    <w:rsid w:val="00B23A4E"/>
    <w:rsid w:val="00B23B97"/>
    <w:rsid w:val="00B241D1"/>
    <w:rsid w:val="00B242AF"/>
    <w:rsid w:val="00B24B4E"/>
    <w:rsid w:val="00B24F77"/>
    <w:rsid w:val="00B253FD"/>
    <w:rsid w:val="00B25488"/>
    <w:rsid w:val="00B255C1"/>
    <w:rsid w:val="00B256DA"/>
    <w:rsid w:val="00B25D07"/>
    <w:rsid w:val="00B25F21"/>
    <w:rsid w:val="00B263A0"/>
    <w:rsid w:val="00B26507"/>
    <w:rsid w:val="00B26561"/>
    <w:rsid w:val="00B26AF4"/>
    <w:rsid w:val="00B26CDC"/>
    <w:rsid w:val="00B26E39"/>
    <w:rsid w:val="00B27026"/>
    <w:rsid w:val="00B2709F"/>
    <w:rsid w:val="00B2771F"/>
    <w:rsid w:val="00B27728"/>
    <w:rsid w:val="00B27899"/>
    <w:rsid w:val="00B27E0A"/>
    <w:rsid w:val="00B3056D"/>
    <w:rsid w:val="00B30955"/>
    <w:rsid w:val="00B30A97"/>
    <w:rsid w:val="00B30D60"/>
    <w:rsid w:val="00B30DD1"/>
    <w:rsid w:val="00B30F56"/>
    <w:rsid w:val="00B3144A"/>
    <w:rsid w:val="00B3159A"/>
    <w:rsid w:val="00B316CA"/>
    <w:rsid w:val="00B31781"/>
    <w:rsid w:val="00B31B43"/>
    <w:rsid w:val="00B3214A"/>
    <w:rsid w:val="00B329E2"/>
    <w:rsid w:val="00B32B94"/>
    <w:rsid w:val="00B3385C"/>
    <w:rsid w:val="00B33903"/>
    <w:rsid w:val="00B34265"/>
    <w:rsid w:val="00B34899"/>
    <w:rsid w:val="00B34F3D"/>
    <w:rsid w:val="00B34FF9"/>
    <w:rsid w:val="00B35013"/>
    <w:rsid w:val="00B355F0"/>
    <w:rsid w:val="00B35746"/>
    <w:rsid w:val="00B3581D"/>
    <w:rsid w:val="00B358F2"/>
    <w:rsid w:val="00B36033"/>
    <w:rsid w:val="00B374B4"/>
    <w:rsid w:val="00B37784"/>
    <w:rsid w:val="00B377A4"/>
    <w:rsid w:val="00B377E9"/>
    <w:rsid w:val="00B377FE"/>
    <w:rsid w:val="00B3780B"/>
    <w:rsid w:val="00B40097"/>
    <w:rsid w:val="00B400FF"/>
    <w:rsid w:val="00B40157"/>
    <w:rsid w:val="00B409CC"/>
    <w:rsid w:val="00B40CF3"/>
    <w:rsid w:val="00B41BE0"/>
    <w:rsid w:val="00B41C62"/>
    <w:rsid w:val="00B4223C"/>
    <w:rsid w:val="00B42284"/>
    <w:rsid w:val="00B42448"/>
    <w:rsid w:val="00B4251D"/>
    <w:rsid w:val="00B42BE7"/>
    <w:rsid w:val="00B435DD"/>
    <w:rsid w:val="00B4376F"/>
    <w:rsid w:val="00B43836"/>
    <w:rsid w:val="00B43BDE"/>
    <w:rsid w:val="00B43CD8"/>
    <w:rsid w:val="00B43F74"/>
    <w:rsid w:val="00B44384"/>
    <w:rsid w:val="00B444A5"/>
    <w:rsid w:val="00B4466D"/>
    <w:rsid w:val="00B44945"/>
    <w:rsid w:val="00B44A88"/>
    <w:rsid w:val="00B44D37"/>
    <w:rsid w:val="00B452FF"/>
    <w:rsid w:val="00B45B11"/>
    <w:rsid w:val="00B45B3A"/>
    <w:rsid w:val="00B45E7C"/>
    <w:rsid w:val="00B4624C"/>
    <w:rsid w:val="00B4638B"/>
    <w:rsid w:val="00B46E38"/>
    <w:rsid w:val="00B4742A"/>
    <w:rsid w:val="00B47449"/>
    <w:rsid w:val="00B477E7"/>
    <w:rsid w:val="00B47BDC"/>
    <w:rsid w:val="00B50608"/>
    <w:rsid w:val="00B50823"/>
    <w:rsid w:val="00B509AA"/>
    <w:rsid w:val="00B50B1F"/>
    <w:rsid w:val="00B512E9"/>
    <w:rsid w:val="00B5147D"/>
    <w:rsid w:val="00B518A6"/>
    <w:rsid w:val="00B51B0B"/>
    <w:rsid w:val="00B51F16"/>
    <w:rsid w:val="00B51F54"/>
    <w:rsid w:val="00B51FE0"/>
    <w:rsid w:val="00B526F9"/>
    <w:rsid w:val="00B52AB2"/>
    <w:rsid w:val="00B52C7F"/>
    <w:rsid w:val="00B52FF0"/>
    <w:rsid w:val="00B53312"/>
    <w:rsid w:val="00B5342D"/>
    <w:rsid w:val="00B536DF"/>
    <w:rsid w:val="00B53C1F"/>
    <w:rsid w:val="00B53C35"/>
    <w:rsid w:val="00B540A8"/>
    <w:rsid w:val="00B54ABB"/>
    <w:rsid w:val="00B54AFF"/>
    <w:rsid w:val="00B54B84"/>
    <w:rsid w:val="00B54DC8"/>
    <w:rsid w:val="00B559AF"/>
    <w:rsid w:val="00B55CE1"/>
    <w:rsid w:val="00B5606C"/>
    <w:rsid w:val="00B56164"/>
    <w:rsid w:val="00B56382"/>
    <w:rsid w:val="00B5673A"/>
    <w:rsid w:val="00B56768"/>
    <w:rsid w:val="00B569CC"/>
    <w:rsid w:val="00B56CA2"/>
    <w:rsid w:val="00B56EFF"/>
    <w:rsid w:val="00B570BB"/>
    <w:rsid w:val="00B5711D"/>
    <w:rsid w:val="00B572FD"/>
    <w:rsid w:val="00B57511"/>
    <w:rsid w:val="00B57725"/>
    <w:rsid w:val="00B57853"/>
    <w:rsid w:val="00B5785A"/>
    <w:rsid w:val="00B5798D"/>
    <w:rsid w:val="00B579AF"/>
    <w:rsid w:val="00B57CA0"/>
    <w:rsid w:val="00B60099"/>
    <w:rsid w:val="00B6080F"/>
    <w:rsid w:val="00B60D90"/>
    <w:rsid w:val="00B60FBA"/>
    <w:rsid w:val="00B6112F"/>
    <w:rsid w:val="00B611DF"/>
    <w:rsid w:val="00B613C6"/>
    <w:rsid w:val="00B613F7"/>
    <w:rsid w:val="00B615C5"/>
    <w:rsid w:val="00B61CA1"/>
    <w:rsid w:val="00B62021"/>
    <w:rsid w:val="00B6206D"/>
    <w:rsid w:val="00B6223B"/>
    <w:rsid w:val="00B624EC"/>
    <w:rsid w:val="00B6265F"/>
    <w:rsid w:val="00B626CD"/>
    <w:rsid w:val="00B627C2"/>
    <w:rsid w:val="00B62828"/>
    <w:rsid w:val="00B62886"/>
    <w:rsid w:val="00B62B44"/>
    <w:rsid w:val="00B62C89"/>
    <w:rsid w:val="00B62D6E"/>
    <w:rsid w:val="00B62D7E"/>
    <w:rsid w:val="00B62EAD"/>
    <w:rsid w:val="00B6315D"/>
    <w:rsid w:val="00B63576"/>
    <w:rsid w:val="00B635AF"/>
    <w:rsid w:val="00B63667"/>
    <w:rsid w:val="00B637F0"/>
    <w:rsid w:val="00B63CFF"/>
    <w:rsid w:val="00B6423F"/>
    <w:rsid w:val="00B6442D"/>
    <w:rsid w:val="00B644C6"/>
    <w:rsid w:val="00B649D0"/>
    <w:rsid w:val="00B64DD3"/>
    <w:rsid w:val="00B6507F"/>
    <w:rsid w:val="00B65294"/>
    <w:rsid w:val="00B65AE2"/>
    <w:rsid w:val="00B65C0F"/>
    <w:rsid w:val="00B65C99"/>
    <w:rsid w:val="00B65D38"/>
    <w:rsid w:val="00B66088"/>
    <w:rsid w:val="00B660ED"/>
    <w:rsid w:val="00B668B2"/>
    <w:rsid w:val="00B66946"/>
    <w:rsid w:val="00B669C6"/>
    <w:rsid w:val="00B669F3"/>
    <w:rsid w:val="00B66C6D"/>
    <w:rsid w:val="00B66D37"/>
    <w:rsid w:val="00B671AA"/>
    <w:rsid w:val="00B671B3"/>
    <w:rsid w:val="00B67CA7"/>
    <w:rsid w:val="00B700B8"/>
    <w:rsid w:val="00B70108"/>
    <w:rsid w:val="00B70234"/>
    <w:rsid w:val="00B702BD"/>
    <w:rsid w:val="00B70718"/>
    <w:rsid w:val="00B7097E"/>
    <w:rsid w:val="00B70D85"/>
    <w:rsid w:val="00B714A6"/>
    <w:rsid w:val="00B7157C"/>
    <w:rsid w:val="00B715A3"/>
    <w:rsid w:val="00B7162E"/>
    <w:rsid w:val="00B71699"/>
    <w:rsid w:val="00B716CB"/>
    <w:rsid w:val="00B71E77"/>
    <w:rsid w:val="00B723B1"/>
    <w:rsid w:val="00B72643"/>
    <w:rsid w:val="00B72AC3"/>
    <w:rsid w:val="00B72C1B"/>
    <w:rsid w:val="00B73182"/>
    <w:rsid w:val="00B7318A"/>
    <w:rsid w:val="00B73268"/>
    <w:rsid w:val="00B73789"/>
    <w:rsid w:val="00B73A46"/>
    <w:rsid w:val="00B73AD8"/>
    <w:rsid w:val="00B73CB0"/>
    <w:rsid w:val="00B745C2"/>
    <w:rsid w:val="00B74959"/>
    <w:rsid w:val="00B74981"/>
    <w:rsid w:val="00B74B00"/>
    <w:rsid w:val="00B74C3F"/>
    <w:rsid w:val="00B75495"/>
    <w:rsid w:val="00B757C7"/>
    <w:rsid w:val="00B75C65"/>
    <w:rsid w:val="00B75D39"/>
    <w:rsid w:val="00B75ED7"/>
    <w:rsid w:val="00B76839"/>
    <w:rsid w:val="00B76A8B"/>
    <w:rsid w:val="00B76E36"/>
    <w:rsid w:val="00B7733A"/>
    <w:rsid w:val="00B77829"/>
    <w:rsid w:val="00B77E08"/>
    <w:rsid w:val="00B80502"/>
    <w:rsid w:val="00B8095B"/>
    <w:rsid w:val="00B80C5C"/>
    <w:rsid w:val="00B80E2E"/>
    <w:rsid w:val="00B8160B"/>
    <w:rsid w:val="00B816A4"/>
    <w:rsid w:val="00B8191E"/>
    <w:rsid w:val="00B819F5"/>
    <w:rsid w:val="00B81A37"/>
    <w:rsid w:val="00B81E68"/>
    <w:rsid w:val="00B8250C"/>
    <w:rsid w:val="00B82550"/>
    <w:rsid w:val="00B829F7"/>
    <w:rsid w:val="00B82A21"/>
    <w:rsid w:val="00B82F36"/>
    <w:rsid w:val="00B82FFE"/>
    <w:rsid w:val="00B834DF"/>
    <w:rsid w:val="00B838AA"/>
    <w:rsid w:val="00B838EC"/>
    <w:rsid w:val="00B83C8A"/>
    <w:rsid w:val="00B8429D"/>
    <w:rsid w:val="00B8458F"/>
    <w:rsid w:val="00B84EDF"/>
    <w:rsid w:val="00B852D1"/>
    <w:rsid w:val="00B85658"/>
    <w:rsid w:val="00B85851"/>
    <w:rsid w:val="00B8594D"/>
    <w:rsid w:val="00B85C48"/>
    <w:rsid w:val="00B85D0B"/>
    <w:rsid w:val="00B85D70"/>
    <w:rsid w:val="00B85D72"/>
    <w:rsid w:val="00B8632C"/>
    <w:rsid w:val="00B86FB9"/>
    <w:rsid w:val="00B870DA"/>
    <w:rsid w:val="00B873F4"/>
    <w:rsid w:val="00B8747F"/>
    <w:rsid w:val="00B874FE"/>
    <w:rsid w:val="00B87EC3"/>
    <w:rsid w:val="00B87FA5"/>
    <w:rsid w:val="00B901B6"/>
    <w:rsid w:val="00B90751"/>
    <w:rsid w:val="00B90A24"/>
    <w:rsid w:val="00B90CEF"/>
    <w:rsid w:val="00B91144"/>
    <w:rsid w:val="00B91436"/>
    <w:rsid w:val="00B91512"/>
    <w:rsid w:val="00B915D1"/>
    <w:rsid w:val="00B91A39"/>
    <w:rsid w:val="00B91A74"/>
    <w:rsid w:val="00B91FBF"/>
    <w:rsid w:val="00B91FDA"/>
    <w:rsid w:val="00B927B6"/>
    <w:rsid w:val="00B92A19"/>
    <w:rsid w:val="00B92AE2"/>
    <w:rsid w:val="00B92CA0"/>
    <w:rsid w:val="00B92E8B"/>
    <w:rsid w:val="00B937CB"/>
    <w:rsid w:val="00B93988"/>
    <w:rsid w:val="00B93C1B"/>
    <w:rsid w:val="00B93C47"/>
    <w:rsid w:val="00B9474F"/>
    <w:rsid w:val="00B94A80"/>
    <w:rsid w:val="00B94B0F"/>
    <w:rsid w:val="00B94E9B"/>
    <w:rsid w:val="00B95308"/>
    <w:rsid w:val="00B95F6A"/>
    <w:rsid w:val="00B95FA1"/>
    <w:rsid w:val="00B9603B"/>
    <w:rsid w:val="00B96339"/>
    <w:rsid w:val="00B96517"/>
    <w:rsid w:val="00B9657A"/>
    <w:rsid w:val="00B96ABC"/>
    <w:rsid w:val="00B96B73"/>
    <w:rsid w:val="00B9700A"/>
    <w:rsid w:val="00B97674"/>
    <w:rsid w:val="00B977D3"/>
    <w:rsid w:val="00B97B97"/>
    <w:rsid w:val="00B97FA9"/>
    <w:rsid w:val="00B97FEC"/>
    <w:rsid w:val="00BA049B"/>
    <w:rsid w:val="00BA0777"/>
    <w:rsid w:val="00BA09F3"/>
    <w:rsid w:val="00BA106A"/>
    <w:rsid w:val="00BA1201"/>
    <w:rsid w:val="00BA135F"/>
    <w:rsid w:val="00BA15DA"/>
    <w:rsid w:val="00BA16A2"/>
    <w:rsid w:val="00BA1897"/>
    <w:rsid w:val="00BA21C4"/>
    <w:rsid w:val="00BA2213"/>
    <w:rsid w:val="00BA2563"/>
    <w:rsid w:val="00BA26A2"/>
    <w:rsid w:val="00BA29BA"/>
    <w:rsid w:val="00BA31C2"/>
    <w:rsid w:val="00BA32A2"/>
    <w:rsid w:val="00BA40C0"/>
    <w:rsid w:val="00BA417B"/>
    <w:rsid w:val="00BA4B71"/>
    <w:rsid w:val="00BA4E86"/>
    <w:rsid w:val="00BA5175"/>
    <w:rsid w:val="00BA546D"/>
    <w:rsid w:val="00BA5917"/>
    <w:rsid w:val="00BA5BAD"/>
    <w:rsid w:val="00BA5FA9"/>
    <w:rsid w:val="00BA6121"/>
    <w:rsid w:val="00BA64DE"/>
    <w:rsid w:val="00BA6E59"/>
    <w:rsid w:val="00BA7091"/>
    <w:rsid w:val="00BA70D2"/>
    <w:rsid w:val="00BA73FE"/>
    <w:rsid w:val="00BA771A"/>
    <w:rsid w:val="00BB00D3"/>
    <w:rsid w:val="00BB03D2"/>
    <w:rsid w:val="00BB050E"/>
    <w:rsid w:val="00BB0BAC"/>
    <w:rsid w:val="00BB0BC5"/>
    <w:rsid w:val="00BB0D0C"/>
    <w:rsid w:val="00BB0F18"/>
    <w:rsid w:val="00BB0F9C"/>
    <w:rsid w:val="00BB1363"/>
    <w:rsid w:val="00BB15AE"/>
    <w:rsid w:val="00BB1E2F"/>
    <w:rsid w:val="00BB1ED9"/>
    <w:rsid w:val="00BB1F68"/>
    <w:rsid w:val="00BB2774"/>
    <w:rsid w:val="00BB27E6"/>
    <w:rsid w:val="00BB2AD2"/>
    <w:rsid w:val="00BB2E79"/>
    <w:rsid w:val="00BB3596"/>
    <w:rsid w:val="00BB3616"/>
    <w:rsid w:val="00BB3887"/>
    <w:rsid w:val="00BB3E17"/>
    <w:rsid w:val="00BB42A5"/>
    <w:rsid w:val="00BB43C2"/>
    <w:rsid w:val="00BB523B"/>
    <w:rsid w:val="00BB52AC"/>
    <w:rsid w:val="00BB5335"/>
    <w:rsid w:val="00BB57DA"/>
    <w:rsid w:val="00BB5992"/>
    <w:rsid w:val="00BB5EE3"/>
    <w:rsid w:val="00BB5EE5"/>
    <w:rsid w:val="00BB6163"/>
    <w:rsid w:val="00BB649A"/>
    <w:rsid w:val="00BB680F"/>
    <w:rsid w:val="00BB68E3"/>
    <w:rsid w:val="00BB6D2D"/>
    <w:rsid w:val="00BB6DA1"/>
    <w:rsid w:val="00BB7240"/>
    <w:rsid w:val="00BB7340"/>
    <w:rsid w:val="00BB73A4"/>
    <w:rsid w:val="00BB7B69"/>
    <w:rsid w:val="00BC00DB"/>
    <w:rsid w:val="00BC0318"/>
    <w:rsid w:val="00BC04F2"/>
    <w:rsid w:val="00BC0642"/>
    <w:rsid w:val="00BC06DF"/>
    <w:rsid w:val="00BC0840"/>
    <w:rsid w:val="00BC0991"/>
    <w:rsid w:val="00BC0C66"/>
    <w:rsid w:val="00BC0D96"/>
    <w:rsid w:val="00BC1AE9"/>
    <w:rsid w:val="00BC1E19"/>
    <w:rsid w:val="00BC247B"/>
    <w:rsid w:val="00BC2769"/>
    <w:rsid w:val="00BC3083"/>
    <w:rsid w:val="00BC30E3"/>
    <w:rsid w:val="00BC341A"/>
    <w:rsid w:val="00BC34DC"/>
    <w:rsid w:val="00BC3A69"/>
    <w:rsid w:val="00BC3C68"/>
    <w:rsid w:val="00BC3C77"/>
    <w:rsid w:val="00BC4137"/>
    <w:rsid w:val="00BC455A"/>
    <w:rsid w:val="00BC47F7"/>
    <w:rsid w:val="00BC4AA7"/>
    <w:rsid w:val="00BC5330"/>
    <w:rsid w:val="00BC545A"/>
    <w:rsid w:val="00BC54B2"/>
    <w:rsid w:val="00BC5522"/>
    <w:rsid w:val="00BC55E3"/>
    <w:rsid w:val="00BC5712"/>
    <w:rsid w:val="00BC5C48"/>
    <w:rsid w:val="00BC5F56"/>
    <w:rsid w:val="00BC6132"/>
    <w:rsid w:val="00BC6A07"/>
    <w:rsid w:val="00BC6A24"/>
    <w:rsid w:val="00BC6CA1"/>
    <w:rsid w:val="00BC6E59"/>
    <w:rsid w:val="00BC6F8C"/>
    <w:rsid w:val="00BC7287"/>
    <w:rsid w:val="00BC75AB"/>
    <w:rsid w:val="00BC7670"/>
    <w:rsid w:val="00BC7848"/>
    <w:rsid w:val="00BC7ADE"/>
    <w:rsid w:val="00BC7C7A"/>
    <w:rsid w:val="00BC7FAD"/>
    <w:rsid w:val="00BD01F9"/>
    <w:rsid w:val="00BD04ED"/>
    <w:rsid w:val="00BD1067"/>
    <w:rsid w:val="00BD13E8"/>
    <w:rsid w:val="00BD1881"/>
    <w:rsid w:val="00BD1EBB"/>
    <w:rsid w:val="00BD2064"/>
    <w:rsid w:val="00BD2941"/>
    <w:rsid w:val="00BD354C"/>
    <w:rsid w:val="00BD364A"/>
    <w:rsid w:val="00BD43E1"/>
    <w:rsid w:val="00BD4B65"/>
    <w:rsid w:val="00BD4F61"/>
    <w:rsid w:val="00BD4FE7"/>
    <w:rsid w:val="00BD54A5"/>
    <w:rsid w:val="00BD563B"/>
    <w:rsid w:val="00BD5ADE"/>
    <w:rsid w:val="00BD5D88"/>
    <w:rsid w:val="00BD62E6"/>
    <w:rsid w:val="00BD62F0"/>
    <w:rsid w:val="00BD6E25"/>
    <w:rsid w:val="00BD7731"/>
    <w:rsid w:val="00BD7791"/>
    <w:rsid w:val="00BD78CB"/>
    <w:rsid w:val="00BD7B93"/>
    <w:rsid w:val="00BD7BCB"/>
    <w:rsid w:val="00BD7FAC"/>
    <w:rsid w:val="00BE0480"/>
    <w:rsid w:val="00BE0736"/>
    <w:rsid w:val="00BE0809"/>
    <w:rsid w:val="00BE0A24"/>
    <w:rsid w:val="00BE0AE8"/>
    <w:rsid w:val="00BE0F46"/>
    <w:rsid w:val="00BE0FD7"/>
    <w:rsid w:val="00BE1263"/>
    <w:rsid w:val="00BE13DA"/>
    <w:rsid w:val="00BE1D2B"/>
    <w:rsid w:val="00BE1E39"/>
    <w:rsid w:val="00BE2287"/>
    <w:rsid w:val="00BE29CC"/>
    <w:rsid w:val="00BE3424"/>
    <w:rsid w:val="00BE34B0"/>
    <w:rsid w:val="00BE382C"/>
    <w:rsid w:val="00BE396B"/>
    <w:rsid w:val="00BE3CF2"/>
    <w:rsid w:val="00BE401F"/>
    <w:rsid w:val="00BE43B0"/>
    <w:rsid w:val="00BE47BC"/>
    <w:rsid w:val="00BE49DD"/>
    <w:rsid w:val="00BE4A1C"/>
    <w:rsid w:val="00BE501C"/>
    <w:rsid w:val="00BE56A6"/>
    <w:rsid w:val="00BE591E"/>
    <w:rsid w:val="00BE5B7E"/>
    <w:rsid w:val="00BE5D3A"/>
    <w:rsid w:val="00BE6007"/>
    <w:rsid w:val="00BE601A"/>
    <w:rsid w:val="00BE60BE"/>
    <w:rsid w:val="00BE61E6"/>
    <w:rsid w:val="00BE690D"/>
    <w:rsid w:val="00BE6A6C"/>
    <w:rsid w:val="00BE6C17"/>
    <w:rsid w:val="00BE6C5B"/>
    <w:rsid w:val="00BE710E"/>
    <w:rsid w:val="00BE71B2"/>
    <w:rsid w:val="00BE71F7"/>
    <w:rsid w:val="00BE7239"/>
    <w:rsid w:val="00BE7623"/>
    <w:rsid w:val="00BE76A2"/>
    <w:rsid w:val="00BE770B"/>
    <w:rsid w:val="00BE77A3"/>
    <w:rsid w:val="00BE7B7B"/>
    <w:rsid w:val="00BE7D9A"/>
    <w:rsid w:val="00BF00A0"/>
    <w:rsid w:val="00BF013F"/>
    <w:rsid w:val="00BF06AE"/>
    <w:rsid w:val="00BF099B"/>
    <w:rsid w:val="00BF0D7E"/>
    <w:rsid w:val="00BF0F01"/>
    <w:rsid w:val="00BF13E1"/>
    <w:rsid w:val="00BF2477"/>
    <w:rsid w:val="00BF24A5"/>
    <w:rsid w:val="00BF252D"/>
    <w:rsid w:val="00BF259F"/>
    <w:rsid w:val="00BF2A39"/>
    <w:rsid w:val="00BF2AEA"/>
    <w:rsid w:val="00BF2B3F"/>
    <w:rsid w:val="00BF31C3"/>
    <w:rsid w:val="00BF3334"/>
    <w:rsid w:val="00BF3457"/>
    <w:rsid w:val="00BF36D6"/>
    <w:rsid w:val="00BF43C2"/>
    <w:rsid w:val="00BF443F"/>
    <w:rsid w:val="00BF44D6"/>
    <w:rsid w:val="00BF4554"/>
    <w:rsid w:val="00BF45F9"/>
    <w:rsid w:val="00BF55A6"/>
    <w:rsid w:val="00BF56E9"/>
    <w:rsid w:val="00BF5729"/>
    <w:rsid w:val="00BF5A1D"/>
    <w:rsid w:val="00BF600C"/>
    <w:rsid w:val="00BF650F"/>
    <w:rsid w:val="00BF65CA"/>
    <w:rsid w:val="00BF6BED"/>
    <w:rsid w:val="00BF6E85"/>
    <w:rsid w:val="00BF7884"/>
    <w:rsid w:val="00BF7CC0"/>
    <w:rsid w:val="00C00444"/>
    <w:rsid w:val="00C00738"/>
    <w:rsid w:val="00C00894"/>
    <w:rsid w:val="00C0095A"/>
    <w:rsid w:val="00C00AFB"/>
    <w:rsid w:val="00C00D1F"/>
    <w:rsid w:val="00C010CA"/>
    <w:rsid w:val="00C013D7"/>
    <w:rsid w:val="00C01725"/>
    <w:rsid w:val="00C01746"/>
    <w:rsid w:val="00C01E52"/>
    <w:rsid w:val="00C02200"/>
    <w:rsid w:val="00C02215"/>
    <w:rsid w:val="00C026BE"/>
    <w:rsid w:val="00C027D1"/>
    <w:rsid w:val="00C027E5"/>
    <w:rsid w:val="00C02B29"/>
    <w:rsid w:val="00C02BB8"/>
    <w:rsid w:val="00C02C05"/>
    <w:rsid w:val="00C02E5F"/>
    <w:rsid w:val="00C030FB"/>
    <w:rsid w:val="00C03228"/>
    <w:rsid w:val="00C0356F"/>
    <w:rsid w:val="00C03928"/>
    <w:rsid w:val="00C03AFA"/>
    <w:rsid w:val="00C04199"/>
    <w:rsid w:val="00C0440F"/>
    <w:rsid w:val="00C04429"/>
    <w:rsid w:val="00C0443E"/>
    <w:rsid w:val="00C04518"/>
    <w:rsid w:val="00C049A1"/>
    <w:rsid w:val="00C04B5D"/>
    <w:rsid w:val="00C04D20"/>
    <w:rsid w:val="00C04EC8"/>
    <w:rsid w:val="00C04FB6"/>
    <w:rsid w:val="00C04FE1"/>
    <w:rsid w:val="00C059EF"/>
    <w:rsid w:val="00C05ABF"/>
    <w:rsid w:val="00C05CFF"/>
    <w:rsid w:val="00C05D93"/>
    <w:rsid w:val="00C05ED9"/>
    <w:rsid w:val="00C06247"/>
    <w:rsid w:val="00C0660C"/>
    <w:rsid w:val="00C06712"/>
    <w:rsid w:val="00C06815"/>
    <w:rsid w:val="00C0720E"/>
    <w:rsid w:val="00C073CC"/>
    <w:rsid w:val="00C100BE"/>
    <w:rsid w:val="00C10BBE"/>
    <w:rsid w:val="00C10D13"/>
    <w:rsid w:val="00C11201"/>
    <w:rsid w:val="00C11221"/>
    <w:rsid w:val="00C1173C"/>
    <w:rsid w:val="00C117DD"/>
    <w:rsid w:val="00C11830"/>
    <w:rsid w:val="00C11916"/>
    <w:rsid w:val="00C11FC8"/>
    <w:rsid w:val="00C121B9"/>
    <w:rsid w:val="00C1243E"/>
    <w:rsid w:val="00C12953"/>
    <w:rsid w:val="00C12A84"/>
    <w:rsid w:val="00C12BC1"/>
    <w:rsid w:val="00C1330B"/>
    <w:rsid w:val="00C13776"/>
    <w:rsid w:val="00C139B3"/>
    <w:rsid w:val="00C13D4D"/>
    <w:rsid w:val="00C13D62"/>
    <w:rsid w:val="00C13FF1"/>
    <w:rsid w:val="00C141B7"/>
    <w:rsid w:val="00C1484B"/>
    <w:rsid w:val="00C148FD"/>
    <w:rsid w:val="00C149EB"/>
    <w:rsid w:val="00C14B5C"/>
    <w:rsid w:val="00C14E82"/>
    <w:rsid w:val="00C1574B"/>
    <w:rsid w:val="00C15931"/>
    <w:rsid w:val="00C15941"/>
    <w:rsid w:val="00C15B3F"/>
    <w:rsid w:val="00C15B5A"/>
    <w:rsid w:val="00C15BAE"/>
    <w:rsid w:val="00C16062"/>
    <w:rsid w:val="00C164C2"/>
    <w:rsid w:val="00C1651E"/>
    <w:rsid w:val="00C168BA"/>
    <w:rsid w:val="00C16981"/>
    <w:rsid w:val="00C16E4A"/>
    <w:rsid w:val="00C173E6"/>
    <w:rsid w:val="00C17535"/>
    <w:rsid w:val="00C179CA"/>
    <w:rsid w:val="00C17C1D"/>
    <w:rsid w:val="00C17DC6"/>
    <w:rsid w:val="00C17E49"/>
    <w:rsid w:val="00C20082"/>
    <w:rsid w:val="00C20903"/>
    <w:rsid w:val="00C20B50"/>
    <w:rsid w:val="00C20C5E"/>
    <w:rsid w:val="00C20F13"/>
    <w:rsid w:val="00C21258"/>
    <w:rsid w:val="00C212BB"/>
    <w:rsid w:val="00C21499"/>
    <w:rsid w:val="00C214C6"/>
    <w:rsid w:val="00C215BD"/>
    <w:rsid w:val="00C21A28"/>
    <w:rsid w:val="00C21C83"/>
    <w:rsid w:val="00C21D5E"/>
    <w:rsid w:val="00C22A30"/>
    <w:rsid w:val="00C22A5E"/>
    <w:rsid w:val="00C22C6D"/>
    <w:rsid w:val="00C23633"/>
    <w:rsid w:val="00C2379F"/>
    <w:rsid w:val="00C237C5"/>
    <w:rsid w:val="00C23ADC"/>
    <w:rsid w:val="00C2407F"/>
    <w:rsid w:val="00C247B2"/>
    <w:rsid w:val="00C24932"/>
    <w:rsid w:val="00C24973"/>
    <w:rsid w:val="00C249C9"/>
    <w:rsid w:val="00C251FE"/>
    <w:rsid w:val="00C2542D"/>
    <w:rsid w:val="00C254BB"/>
    <w:rsid w:val="00C2572C"/>
    <w:rsid w:val="00C258BA"/>
    <w:rsid w:val="00C25BD7"/>
    <w:rsid w:val="00C26A4A"/>
    <w:rsid w:val="00C26D77"/>
    <w:rsid w:val="00C26E80"/>
    <w:rsid w:val="00C26F94"/>
    <w:rsid w:val="00C276DA"/>
    <w:rsid w:val="00C278C1"/>
    <w:rsid w:val="00C27A86"/>
    <w:rsid w:val="00C27C55"/>
    <w:rsid w:val="00C300A6"/>
    <w:rsid w:val="00C301E4"/>
    <w:rsid w:val="00C30512"/>
    <w:rsid w:val="00C30582"/>
    <w:rsid w:val="00C30ADA"/>
    <w:rsid w:val="00C30BE2"/>
    <w:rsid w:val="00C30D38"/>
    <w:rsid w:val="00C30FBE"/>
    <w:rsid w:val="00C3125F"/>
    <w:rsid w:val="00C31637"/>
    <w:rsid w:val="00C31649"/>
    <w:rsid w:val="00C31909"/>
    <w:rsid w:val="00C31951"/>
    <w:rsid w:val="00C31998"/>
    <w:rsid w:val="00C31CD6"/>
    <w:rsid w:val="00C31F43"/>
    <w:rsid w:val="00C323A8"/>
    <w:rsid w:val="00C32DFE"/>
    <w:rsid w:val="00C32E6A"/>
    <w:rsid w:val="00C32E80"/>
    <w:rsid w:val="00C33606"/>
    <w:rsid w:val="00C336B3"/>
    <w:rsid w:val="00C336ED"/>
    <w:rsid w:val="00C33759"/>
    <w:rsid w:val="00C33AE9"/>
    <w:rsid w:val="00C3404C"/>
    <w:rsid w:val="00C346C7"/>
    <w:rsid w:val="00C34954"/>
    <w:rsid w:val="00C34DB3"/>
    <w:rsid w:val="00C34E6E"/>
    <w:rsid w:val="00C35070"/>
    <w:rsid w:val="00C35343"/>
    <w:rsid w:val="00C35698"/>
    <w:rsid w:val="00C35726"/>
    <w:rsid w:val="00C3599E"/>
    <w:rsid w:val="00C35B06"/>
    <w:rsid w:val="00C35FB5"/>
    <w:rsid w:val="00C36472"/>
    <w:rsid w:val="00C368FB"/>
    <w:rsid w:val="00C37216"/>
    <w:rsid w:val="00C37EF4"/>
    <w:rsid w:val="00C400D9"/>
    <w:rsid w:val="00C40246"/>
    <w:rsid w:val="00C40450"/>
    <w:rsid w:val="00C407B6"/>
    <w:rsid w:val="00C40859"/>
    <w:rsid w:val="00C40FA0"/>
    <w:rsid w:val="00C4109C"/>
    <w:rsid w:val="00C41795"/>
    <w:rsid w:val="00C41DFC"/>
    <w:rsid w:val="00C41F81"/>
    <w:rsid w:val="00C42083"/>
    <w:rsid w:val="00C4214D"/>
    <w:rsid w:val="00C424B3"/>
    <w:rsid w:val="00C42806"/>
    <w:rsid w:val="00C42C41"/>
    <w:rsid w:val="00C433D5"/>
    <w:rsid w:val="00C43C2F"/>
    <w:rsid w:val="00C43C33"/>
    <w:rsid w:val="00C44300"/>
    <w:rsid w:val="00C4466E"/>
    <w:rsid w:val="00C448C6"/>
    <w:rsid w:val="00C44C6D"/>
    <w:rsid w:val="00C44F28"/>
    <w:rsid w:val="00C4572F"/>
    <w:rsid w:val="00C457F7"/>
    <w:rsid w:val="00C45BD1"/>
    <w:rsid w:val="00C463E7"/>
    <w:rsid w:val="00C46973"/>
    <w:rsid w:val="00C470D9"/>
    <w:rsid w:val="00C476AC"/>
    <w:rsid w:val="00C4778C"/>
    <w:rsid w:val="00C47C14"/>
    <w:rsid w:val="00C500DC"/>
    <w:rsid w:val="00C50416"/>
    <w:rsid w:val="00C5055D"/>
    <w:rsid w:val="00C50B5C"/>
    <w:rsid w:val="00C50C6B"/>
    <w:rsid w:val="00C50D9E"/>
    <w:rsid w:val="00C50DE5"/>
    <w:rsid w:val="00C50E11"/>
    <w:rsid w:val="00C50ED1"/>
    <w:rsid w:val="00C50F62"/>
    <w:rsid w:val="00C51712"/>
    <w:rsid w:val="00C51B7F"/>
    <w:rsid w:val="00C51D94"/>
    <w:rsid w:val="00C5210D"/>
    <w:rsid w:val="00C521B0"/>
    <w:rsid w:val="00C522BA"/>
    <w:rsid w:val="00C52495"/>
    <w:rsid w:val="00C524A4"/>
    <w:rsid w:val="00C5266E"/>
    <w:rsid w:val="00C528CC"/>
    <w:rsid w:val="00C52CFC"/>
    <w:rsid w:val="00C53297"/>
    <w:rsid w:val="00C534B1"/>
    <w:rsid w:val="00C538C4"/>
    <w:rsid w:val="00C53B48"/>
    <w:rsid w:val="00C54586"/>
    <w:rsid w:val="00C54D29"/>
    <w:rsid w:val="00C54DAD"/>
    <w:rsid w:val="00C54F39"/>
    <w:rsid w:val="00C55035"/>
    <w:rsid w:val="00C555E5"/>
    <w:rsid w:val="00C557A9"/>
    <w:rsid w:val="00C561D4"/>
    <w:rsid w:val="00C5656D"/>
    <w:rsid w:val="00C56623"/>
    <w:rsid w:val="00C56D7A"/>
    <w:rsid w:val="00C57247"/>
    <w:rsid w:val="00C57634"/>
    <w:rsid w:val="00C57676"/>
    <w:rsid w:val="00C577E7"/>
    <w:rsid w:val="00C5781A"/>
    <w:rsid w:val="00C57BAE"/>
    <w:rsid w:val="00C57D90"/>
    <w:rsid w:val="00C60018"/>
    <w:rsid w:val="00C600F0"/>
    <w:rsid w:val="00C6098D"/>
    <w:rsid w:val="00C613B7"/>
    <w:rsid w:val="00C61D84"/>
    <w:rsid w:val="00C61F10"/>
    <w:rsid w:val="00C61F7C"/>
    <w:rsid w:val="00C621BC"/>
    <w:rsid w:val="00C62842"/>
    <w:rsid w:val="00C62AF2"/>
    <w:rsid w:val="00C62AF8"/>
    <w:rsid w:val="00C62C31"/>
    <w:rsid w:val="00C62FB5"/>
    <w:rsid w:val="00C6332A"/>
    <w:rsid w:val="00C6342C"/>
    <w:rsid w:val="00C6347A"/>
    <w:rsid w:val="00C63789"/>
    <w:rsid w:val="00C63C52"/>
    <w:rsid w:val="00C63F28"/>
    <w:rsid w:val="00C63F90"/>
    <w:rsid w:val="00C641ED"/>
    <w:rsid w:val="00C642B5"/>
    <w:rsid w:val="00C643D4"/>
    <w:rsid w:val="00C645CA"/>
    <w:rsid w:val="00C64910"/>
    <w:rsid w:val="00C64A13"/>
    <w:rsid w:val="00C64D44"/>
    <w:rsid w:val="00C64FEF"/>
    <w:rsid w:val="00C658F2"/>
    <w:rsid w:val="00C65A21"/>
    <w:rsid w:val="00C65AB2"/>
    <w:rsid w:val="00C65B6A"/>
    <w:rsid w:val="00C65DE6"/>
    <w:rsid w:val="00C6618A"/>
    <w:rsid w:val="00C66208"/>
    <w:rsid w:val="00C667BF"/>
    <w:rsid w:val="00C66EC3"/>
    <w:rsid w:val="00C67537"/>
    <w:rsid w:val="00C67954"/>
    <w:rsid w:val="00C67BD4"/>
    <w:rsid w:val="00C67CB4"/>
    <w:rsid w:val="00C67CFD"/>
    <w:rsid w:val="00C70051"/>
    <w:rsid w:val="00C704C0"/>
    <w:rsid w:val="00C705E4"/>
    <w:rsid w:val="00C70885"/>
    <w:rsid w:val="00C711AB"/>
    <w:rsid w:val="00C71446"/>
    <w:rsid w:val="00C7154A"/>
    <w:rsid w:val="00C72085"/>
    <w:rsid w:val="00C72171"/>
    <w:rsid w:val="00C72AD7"/>
    <w:rsid w:val="00C7326D"/>
    <w:rsid w:val="00C7328C"/>
    <w:rsid w:val="00C733C3"/>
    <w:rsid w:val="00C733F9"/>
    <w:rsid w:val="00C736A1"/>
    <w:rsid w:val="00C73A33"/>
    <w:rsid w:val="00C73AFC"/>
    <w:rsid w:val="00C74380"/>
    <w:rsid w:val="00C74412"/>
    <w:rsid w:val="00C74430"/>
    <w:rsid w:val="00C744D5"/>
    <w:rsid w:val="00C74E0D"/>
    <w:rsid w:val="00C75163"/>
    <w:rsid w:val="00C752C3"/>
    <w:rsid w:val="00C75363"/>
    <w:rsid w:val="00C753A3"/>
    <w:rsid w:val="00C7564B"/>
    <w:rsid w:val="00C75755"/>
    <w:rsid w:val="00C7577A"/>
    <w:rsid w:val="00C758D5"/>
    <w:rsid w:val="00C75A63"/>
    <w:rsid w:val="00C75D7E"/>
    <w:rsid w:val="00C76B71"/>
    <w:rsid w:val="00C76DD2"/>
    <w:rsid w:val="00C76DDE"/>
    <w:rsid w:val="00C76FE3"/>
    <w:rsid w:val="00C771E8"/>
    <w:rsid w:val="00C77809"/>
    <w:rsid w:val="00C77B4B"/>
    <w:rsid w:val="00C77CB1"/>
    <w:rsid w:val="00C80077"/>
    <w:rsid w:val="00C80883"/>
    <w:rsid w:val="00C80991"/>
    <w:rsid w:val="00C80992"/>
    <w:rsid w:val="00C80F3F"/>
    <w:rsid w:val="00C80FD9"/>
    <w:rsid w:val="00C813DC"/>
    <w:rsid w:val="00C81ACB"/>
    <w:rsid w:val="00C81BA4"/>
    <w:rsid w:val="00C82145"/>
    <w:rsid w:val="00C82489"/>
    <w:rsid w:val="00C82D93"/>
    <w:rsid w:val="00C83AF5"/>
    <w:rsid w:val="00C83CC9"/>
    <w:rsid w:val="00C843FC"/>
    <w:rsid w:val="00C84546"/>
    <w:rsid w:val="00C84710"/>
    <w:rsid w:val="00C8491B"/>
    <w:rsid w:val="00C84E8D"/>
    <w:rsid w:val="00C85136"/>
    <w:rsid w:val="00C85193"/>
    <w:rsid w:val="00C851D1"/>
    <w:rsid w:val="00C8535D"/>
    <w:rsid w:val="00C85547"/>
    <w:rsid w:val="00C85B2E"/>
    <w:rsid w:val="00C85D88"/>
    <w:rsid w:val="00C8646A"/>
    <w:rsid w:val="00C86485"/>
    <w:rsid w:val="00C86A2D"/>
    <w:rsid w:val="00C86D2F"/>
    <w:rsid w:val="00C87225"/>
    <w:rsid w:val="00C8782D"/>
    <w:rsid w:val="00C87907"/>
    <w:rsid w:val="00C903E4"/>
    <w:rsid w:val="00C90587"/>
    <w:rsid w:val="00C90788"/>
    <w:rsid w:val="00C90AC5"/>
    <w:rsid w:val="00C90B57"/>
    <w:rsid w:val="00C90B7D"/>
    <w:rsid w:val="00C90CC6"/>
    <w:rsid w:val="00C9125B"/>
    <w:rsid w:val="00C916D2"/>
    <w:rsid w:val="00C91B0D"/>
    <w:rsid w:val="00C91D5D"/>
    <w:rsid w:val="00C92378"/>
    <w:rsid w:val="00C92452"/>
    <w:rsid w:val="00C92B77"/>
    <w:rsid w:val="00C92C8E"/>
    <w:rsid w:val="00C92CE8"/>
    <w:rsid w:val="00C9302A"/>
    <w:rsid w:val="00C93054"/>
    <w:rsid w:val="00C93B2C"/>
    <w:rsid w:val="00C93E78"/>
    <w:rsid w:val="00C943EB"/>
    <w:rsid w:val="00C9484D"/>
    <w:rsid w:val="00C94F24"/>
    <w:rsid w:val="00C9601A"/>
    <w:rsid w:val="00C9628D"/>
    <w:rsid w:val="00C962D3"/>
    <w:rsid w:val="00C96478"/>
    <w:rsid w:val="00C96487"/>
    <w:rsid w:val="00C96591"/>
    <w:rsid w:val="00C96A53"/>
    <w:rsid w:val="00C96BDA"/>
    <w:rsid w:val="00C96E31"/>
    <w:rsid w:val="00C972C6"/>
    <w:rsid w:val="00C975D9"/>
    <w:rsid w:val="00C97B09"/>
    <w:rsid w:val="00C97EBA"/>
    <w:rsid w:val="00C97FE4"/>
    <w:rsid w:val="00C97FFE"/>
    <w:rsid w:val="00CA003B"/>
    <w:rsid w:val="00CA04D9"/>
    <w:rsid w:val="00CA04DC"/>
    <w:rsid w:val="00CA0507"/>
    <w:rsid w:val="00CA05D7"/>
    <w:rsid w:val="00CA07B7"/>
    <w:rsid w:val="00CA081C"/>
    <w:rsid w:val="00CA0AD6"/>
    <w:rsid w:val="00CA0E2B"/>
    <w:rsid w:val="00CA0F9C"/>
    <w:rsid w:val="00CA0FA4"/>
    <w:rsid w:val="00CA12E9"/>
    <w:rsid w:val="00CA1C16"/>
    <w:rsid w:val="00CA1CAF"/>
    <w:rsid w:val="00CA2044"/>
    <w:rsid w:val="00CA2089"/>
    <w:rsid w:val="00CA25D1"/>
    <w:rsid w:val="00CA28B2"/>
    <w:rsid w:val="00CA2C41"/>
    <w:rsid w:val="00CA2C4A"/>
    <w:rsid w:val="00CA2CC2"/>
    <w:rsid w:val="00CA2E79"/>
    <w:rsid w:val="00CA34BB"/>
    <w:rsid w:val="00CA34F2"/>
    <w:rsid w:val="00CA3E22"/>
    <w:rsid w:val="00CA4335"/>
    <w:rsid w:val="00CA4843"/>
    <w:rsid w:val="00CA4BA2"/>
    <w:rsid w:val="00CA4E4F"/>
    <w:rsid w:val="00CA5171"/>
    <w:rsid w:val="00CA5370"/>
    <w:rsid w:val="00CA5522"/>
    <w:rsid w:val="00CA55B6"/>
    <w:rsid w:val="00CA5994"/>
    <w:rsid w:val="00CA5F23"/>
    <w:rsid w:val="00CA5FDA"/>
    <w:rsid w:val="00CA63DE"/>
    <w:rsid w:val="00CA67B3"/>
    <w:rsid w:val="00CA67E9"/>
    <w:rsid w:val="00CA6D51"/>
    <w:rsid w:val="00CA746B"/>
    <w:rsid w:val="00CA74B7"/>
    <w:rsid w:val="00CA7525"/>
    <w:rsid w:val="00CA7582"/>
    <w:rsid w:val="00CA76B6"/>
    <w:rsid w:val="00CB0680"/>
    <w:rsid w:val="00CB0B85"/>
    <w:rsid w:val="00CB0B99"/>
    <w:rsid w:val="00CB0E3F"/>
    <w:rsid w:val="00CB1525"/>
    <w:rsid w:val="00CB1C4C"/>
    <w:rsid w:val="00CB1DDA"/>
    <w:rsid w:val="00CB2164"/>
    <w:rsid w:val="00CB2533"/>
    <w:rsid w:val="00CB26CC"/>
    <w:rsid w:val="00CB27D7"/>
    <w:rsid w:val="00CB27F1"/>
    <w:rsid w:val="00CB2940"/>
    <w:rsid w:val="00CB2E25"/>
    <w:rsid w:val="00CB39E6"/>
    <w:rsid w:val="00CB3E3F"/>
    <w:rsid w:val="00CB531F"/>
    <w:rsid w:val="00CB5359"/>
    <w:rsid w:val="00CB562C"/>
    <w:rsid w:val="00CB5A3A"/>
    <w:rsid w:val="00CB5AEE"/>
    <w:rsid w:val="00CB5D39"/>
    <w:rsid w:val="00CB6027"/>
    <w:rsid w:val="00CB6399"/>
    <w:rsid w:val="00CB63E7"/>
    <w:rsid w:val="00CB6518"/>
    <w:rsid w:val="00CB667C"/>
    <w:rsid w:val="00CB6929"/>
    <w:rsid w:val="00CB6D13"/>
    <w:rsid w:val="00CB7919"/>
    <w:rsid w:val="00CB7C3C"/>
    <w:rsid w:val="00CC02DA"/>
    <w:rsid w:val="00CC02F3"/>
    <w:rsid w:val="00CC0402"/>
    <w:rsid w:val="00CC046C"/>
    <w:rsid w:val="00CC0684"/>
    <w:rsid w:val="00CC0A2A"/>
    <w:rsid w:val="00CC0A43"/>
    <w:rsid w:val="00CC0C23"/>
    <w:rsid w:val="00CC0F03"/>
    <w:rsid w:val="00CC11A2"/>
    <w:rsid w:val="00CC1242"/>
    <w:rsid w:val="00CC12B5"/>
    <w:rsid w:val="00CC1894"/>
    <w:rsid w:val="00CC191D"/>
    <w:rsid w:val="00CC193D"/>
    <w:rsid w:val="00CC1F81"/>
    <w:rsid w:val="00CC1FBD"/>
    <w:rsid w:val="00CC2092"/>
    <w:rsid w:val="00CC20AE"/>
    <w:rsid w:val="00CC2226"/>
    <w:rsid w:val="00CC25F8"/>
    <w:rsid w:val="00CC28E1"/>
    <w:rsid w:val="00CC2D25"/>
    <w:rsid w:val="00CC317C"/>
    <w:rsid w:val="00CC32D0"/>
    <w:rsid w:val="00CC3626"/>
    <w:rsid w:val="00CC39B0"/>
    <w:rsid w:val="00CC3CE8"/>
    <w:rsid w:val="00CC4640"/>
    <w:rsid w:val="00CC4E0A"/>
    <w:rsid w:val="00CC526C"/>
    <w:rsid w:val="00CC531E"/>
    <w:rsid w:val="00CC5338"/>
    <w:rsid w:val="00CC5D00"/>
    <w:rsid w:val="00CC5D61"/>
    <w:rsid w:val="00CC6076"/>
    <w:rsid w:val="00CC6259"/>
    <w:rsid w:val="00CC6624"/>
    <w:rsid w:val="00CC67B6"/>
    <w:rsid w:val="00CC6F6B"/>
    <w:rsid w:val="00CC73D7"/>
    <w:rsid w:val="00CC759D"/>
    <w:rsid w:val="00CC7692"/>
    <w:rsid w:val="00CC76C3"/>
    <w:rsid w:val="00CC77CE"/>
    <w:rsid w:val="00CC7890"/>
    <w:rsid w:val="00CC7ABA"/>
    <w:rsid w:val="00CD04E6"/>
    <w:rsid w:val="00CD0941"/>
    <w:rsid w:val="00CD0AE0"/>
    <w:rsid w:val="00CD0CCF"/>
    <w:rsid w:val="00CD0DC0"/>
    <w:rsid w:val="00CD0FF0"/>
    <w:rsid w:val="00CD1117"/>
    <w:rsid w:val="00CD124F"/>
    <w:rsid w:val="00CD15D1"/>
    <w:rsid w:val="00CD2250"/>
    <w:rsid w:val="00CD22F1"/>
    <w:rsid w:val="00CD239E"/>
    <w:rsid w:val="00CD2811"/>
    <w:rsid w:val="00CD31E4"/>
    <w:rsid w:val="00CD3953"/>
    <w:rsid w:val="00CD414E"/>
    <w:rsid w:val="00CD41B6"/>
    <w:rsid w:val="00CD41E9"/>
    <w:rsid w:val="00CD4420"/>
    <w:rsid w:val="00CD445A"/>
    <w:rsid w:val="00CD4560"/>
    <w:rsid w:val="00CD465E"/>
    <w:rsid w:val="00CD47A3"/>
    <w:rsid w:val="00CD4E66"/>
    <w:rsid w:val="00CD5100"/>
    <w:rsid w:val="00CD5280"/>
    <w:rsid w:val="00CD5629"/>
    <w:rsid w:val="00CD59BE"/>
    <w:rsid w:val="00CD5BB5"/>
    <w:rsid w:val="00CD5BFB"/>
    <w:rsid w:val="00CD5EA5"/>
    <w:rsid w:val="00CD5F7D"/>
    <w:rsid w:val="00CD6260"/>
    <w:rsid w:val="00CD62F6"/>
    <w:rsid w:val="00CD6468"/>
    <w:rsid w:val="00CD6918"/>
    <w:rsid w:val="00CD69CD"/>
    <w:rsid w:val="00CD6AFE"/>
    <w:rsid w:val="00CD70E2"/>
    <w:rsid w:val="00CD7140"/>
    <w:rsid w:val="00CD7A4E"/>
    <w:rsid w:val="00CD7D64"/>
    <w:rsid w:val="00CDD31C"/>
    <w:rsid w:val="00CE0415"/>
    <w:rsid w:val="00CE0CFA"/>
    <w:rsid w:val="00CE1033"/>
    <w:rsid w:val="00CE1148"/>
    <w:rsid w:val="00CE125E"/>
    <w:rsid w:val="00CE15FB"/>
    <w:rsid w:val="00CE18A6"/>
    <w:rsid w:val="00CE1F02"/>
    <w:rsid w:val="00CE209E"/>
    <w:rsid w:val="00CE20BB"/>
    <w:rsid w:val="00CE22BB"/>
    <w:rsid w:val="00CE2911"/>
    <w:rsid w:val="00CE2A50"/>
    <w:rsid w:val="00CE2CD9"/>
    <w:rsid w:val="00CE2E9D"/>
    <w:rsid w:val="00CE31AD"/>
    <w:rsid w:val="00CE3288"/>
    <w:rsid w:val="00CE33B1"/>
    <w:rsid w:val="00CE3498"/>
    <w:rsid w:val="00CE38A0"/>
    <w:rsid w:val="00CE3C1A"/>
    <w:rsid w:val="00CE3F98"/>
    <w:rsid w:val="00CE464A"/>
    <w:rsid w:val="00CE46DB"/>
    <w:rsid w:val="00CE4BF9"/>
    <w:rsid w:val="00CE5657"/>
    <w:rsid w:val="00CE56E2"/>
    <w:rsid w:val="00CE5770"/>
    <w:rsid w:val="00CE5C30"/>
    <w:rsid w:val="00CE5ED2"/>
    <w:rsid w:val="00CE5F8A"/>
    <w:rsid w:val="00CE6159"/>
    <w:rsid w:val="00CE64A8"/>
    <w:rsid w:val="00CE6838"/>
    <w:rsid w:val="00CE6865"/>
    <w:rsid w:val="00CE73B9"/>
    <w:rsid w:val="00CE7417"/>
    <w:rsid w:val="00CE7771"/>
    <w:rsid w:val="00CF0120"/>
    <w:rsid w:val="00CF036B"/>
    <w:rsid w:val="00CF045B"/>
    <w:rsid w:val="00CF0709"/>
    <w:rsid w:val="00CF087D"/>
    <w:rsid w:val="00CF0D76"/>
    <w:rsid w:val="00CF11F6"/>
    <w:rsid w:val="00CF1309"/>
    <w:rsid w:val="00CF1614"/>
    <w:rsid w:val="00CF1BBA"/>
    <w:rsid w:val="00CF1E5B"/>
    <w:rsid w:val="00CF2272"/>
    <w:rsid w:val="00CF30DF"/>
    <w:rsid w:val="00CF351B"/>
    <w:rsid w:val="00CF3B9B"/>
    <w:rsid w:val="00CF3D5E"/>
    <w:rsid w:val="00CF3ED3"/>
    <w:rsid w:val="00CF43FE"/>
    <w:rsid w:val="00CF45B3"/>
    <w:rsid w:val="00CF46C1"/>
    <w:rsid w:val="00CF46E3"/>
    <w:rsid w:val="00CF4942"/>
    <w:rsid w:val="00CF4AB1"/>
    <w:rsid w:val="00CF4B14"/>
    <w:rsid w:val="00CF4D6E"/>
    <w:rsid w:val="00CF5418"/>
    <w:rsid w:val="00CF5571"/>
    <w:rsid w:val="00CF5842"/>
    <w:rsid w:val="00CF5A82"/>
    <w:rsid w:val="00CF5B6F"/>
    <w:rsid w:val="00CF5B78"/>
    <w:rsid w:val="00CF5D49"/>
    <w:rsid w:val="00CF5F83"/>
    <w:rsid w:val="00CF608D"/>
    <w:rsid w:val="00CF60FE"/>
    <w:rsid w:val="00CF622A"/>
    <w:rsid w:val="00CF6275"/>
    <w:rsid w:val="00CF63DB"/>
    <w:rsid w:val="00CF6668"/>
    <w:rsid w:val="00CF6F31"/>
    <w:rsid w:val="00CF74BE"/>
    <w:rsid w:val="00CF7612"/>
    <w:rsid w:val="00CF76D2"/>
    <w:rsid w:val="00CF7732"/>
    <w:rsid w:val="00CF77AC"/>
    <w:rsid w:val="00CF77D6"/>
    <w:rsid w:val="00CF7A11"/>
    <w:rsid w:val="00CF7A60"/>
    <w:rsid w:val="00CF7E52"/>
    <w:rsid w:val="00CF7E57"/>
    <w:rsid w:val="00D00283"/>
    <w:rsid w:val="00D009BE"/>
    <w:rsid w:val="00D00BC6"/>
    <w:rsid w:val="00D00CC6"/>
    <w:rsid w:val="00D01420"/>
    <w:rsid w:val="00D0176C"/>
    <w:rsid w:val="00D01FEF"/>
    <w:rsid w:val="00D02245"/>
    <w:rsid w:val="00D025C8"/>
    <w:rsid w:val="00D026CA"/>
    <w:rsid w:val="00D027A7"/>
    <w:rsid w:val="00D02E42"/>
    <w:rsid w:val="00D02E43"/>
    <w:rsid w:val="00D031F8"/>
    <w:rsid w:val="00D03430"/>
    <w:rsid w:val="00D0366A"/>
    <w:rsid w:val="00D03689"/>
    <w:rsid w:val="00D03FE8"/>
    <w:rsid w:val="00D0434D"/>
    <w:rsid w:val="00D04373"/>
    <w:rsid w:val="00D04DF8"/>
    <w:rsid w:val="00D05042"/>
    <w:rsid w:val="00D0543B"/>
    <w:rsid w:val="00D054B1"/>
    <w:rsid w:val="00D05631"/>
    <w:rsid w:val="00D059EF"/>
    <w:rsid w:val="00D05B86"/>
    <w:rsid w:val="00D05CE2"/>
    <w:rsid w:val="00D05E3E"/>
    <w:rsid w:val="00D05FB9"/>
    <w:rsid w:val="00D06999"/>
    <w:rsid w:val="00D07461"/>
    <w:rsid w:val="00D07822"/>
    <w:rsid w:val="00D07B38"/>
    <w:rsid w:val="00D07F98"/>
    <w:rsid w:val="00D100E8"/>
    <w:rsid w:val="00D102B9"/>
    <w:rsid w:val="00D10471"/>
    <w:rsid w:val="00D1047D"/>
    <w:rsid w:val="00D108BD"/>
    <w:rsid w:val="00D10CCE"/>
    <w:rsid w:val="00D10CD0"/>
    <w:rsid w:val="00D10CDB"/>
    <w:rsid w:val="00D11225"/>
    <w:rsid w:val="00D113B5"/>
    <w:rsid w:val="00D113FC"/>
    <w:rsid w:val="00D1172B"/>
    <w:rsid w:val="00D1186B"/>
    <w:rsid w:val="00D118EC"/>
    <w:rsid w:val="00D11A26"/>
    <w:rsid w:val="00D11D71"/>
    <w:rsid w:val="00D12477"/>
    <w:rsid w:val="00D124C4"/>
    <w:rsid w:val="00D12565"/>
    <w:rsid w:val="00D12653"/>
    <w:rsid w:val="00D12A83"/>
    <w:rsid w:val="00D12C30"/>
    <w:rsid w:val="00D13054"/>
    <w:rsid w:val="00D136CB"/>
    <w:rsid w:val="00D13F0F"/>
    <w:rsid w:val="00D141B2"/>
    <w:rsid w:val="00D14209"/>
    <w:rsid w:val="00D1434D"/>
    <w:rsid w:val="00D145AB"/>
    <w:rsid w:val="00D14BED"/>
    <w:rsid w:val="00D1523C"/>
    <w:rsid w:val="00D153BB"/>
    <w:rsid w:val="00D155D5"/>
    <w:rsid w:val="00D15810"/>
    <w:rsid w:val="00D15A2A"/>
    <w:rsid w:val="00D15C4C"/>
    <w:rsid w:val="00D161BD"/>
    <w:rsid w:val="00D164A1"/>
    <w:rsid w:val="00D166DD"/>
    <w:rsid w:val="00D1672F"/>
    <w:rsid w:val="00D1678A"/>
    <w:rsid w:val="00D16C74"/>
    <w:rsid w:val="00D16D56"/>
    <w:rsid w:val="00D17DAE"/>
    <w:rsid w:val="00D17ECC"/>
    <w:rsid w:val="00D202D7"/>
    <w:rsid w:val="00D20511"/>
    <w:rsid w:val="00D2069F"/>
    <w:rsid w:val="00D2071D"/>
    <w:rsid w:val="00D20873"/>
    <w:rsid w:val="00D20C9B"/>
    <w:rsid w:val="00D20F8F"/>
    <w:rsid w:val="00D215E0"/>
    <w:rsid w:val="00D2193D"/>
    <w:rsid w:val="00D21997"/>
    <w:rsid w:val="00D21BA6"/>
    <w:rsid w:val="00D21DEF"/>
    <w:rsid w:val="00D22822"/>
    <w:rsid w:val="00D2290A"/>
    <w:rsid w:val="00D22A64"/>
    <w:rsid w:val="00D23403"/>
    <w:rsid w:val="00D23412"/>
    <w:rsid w:val="00D2377D"/>
    <w:rsid w:val="00D237A5"/>
    <w:rsid w:val="00D23A9A"/>
    <w:rsid w:val="00D23D71"/>
    <w:rsid w:val="00D23EF7"/>
    <w:rsid w:val="00D2409A"/>
    <w:rsid w:val="00D240DE"/>
    <w:rsid w:val="00D242EC"/>
    <w:rsid w:val="00D24318"/>
    <w:rsid w:val="00D24378"/>
    <w:rsid w:val="00D2452F"/>
    <w:rsid w:val="00D24C27"/>
    <w:rsid w:val="00D24F1B"/>
    <w:rsid w:val="00D25BF4"/>
    <w:rsid w:val="00D25C32"/>
    <w:rsid w:val="00D25D84"/>
    <w:rsid w:val="00D25D9F"/>
    <w:rsid w:val="00D26088"/>
    <w:rsid w:val="00D260DE"/>
    <w:rsid w:val="00D26406"/>
    <w:rsid w:val="00D26529"/>
    <w:rsid w:val="00D268B8"/>
    <w:rsid w:val="00D2690F"/>
    <w:rsid w:val="00D26A6E"/>
    <w:rsid w:val="00D26E77"/>
    <w:rsid w:val="00D26F2E"/>
    <w:rsid w:val="00D26F78"/>
    <w:rsid w:val="00D27559"/>
    <w:rsid w:val="00D279BB"/>
    <w:rsid w:val="00D27A76"/>
    <w:rsid w:val="00D27EBD"/>
    <w:rsid w:val="00D3004F"/>
    <w:rsid w:val="00D3007A"/>
    <w:rsid w:val="00D3049F"/>
    <w:rsid w:val="00D30577"/>
    <w:rsid w:val="00D307AF"/>
    <w:rsid w:val="00D31437"/>
    <w:rsid w:val="00D31579"/>
    <w:rsid w:val="00D32E27"/>
    <w:rsid w:val="00D331A2"/>
    <w:rsid w:val="00D33451"/>
    <w:rsid w:val="00D3377C"/>
    <w:rsid w:val="00D339A7"/>
    <w:rsid w:val="00D33B76"/>
    <w:rsid w:val="00D33C56"/>
    <w:rsid w:val="00D34604"/>
    <w:rsid w:val="00D34829"/>
    <w:rsid w:val="00D349EF"/>
    <w:rsid w:val="00D34AA0"/>
    <w:rsid w:val="00D34B4C"/>
    <w:rsid w:val="00D34BD9"/>
    <w:rsid w:val="00D3500A"/>
    <w:rsid w:val="00D35042"/>
    <w:rsid w:val="00D35091"/>
    <w:rsid w:val="00D353EE"/>
    <w:rsid w:val="00D35605"/>
    <w:rsid w:val="00D35779"/>
    <w:rsid w:val="00D35C0A"/>
    <w:rsid w:val="00D35E59"/>
    <w:rsid w:val="00D35EC5"/>
    <w:rsid w:val="00D36587"/>
    <w:rsid w:val="00D3673D"/>
    <w:rsid w:val="00D36CB6"/>
    <w:rsid w:val="00D36DA9"/>
    <w:rsid w:val="00D3722D"/>
    <w:rsid w:val="00D3739C"/>
    <w:rsid w:val="00D375DE"/>
    <w:rsid w:val="00D3767C"/>
    <w:rsid w:val="00D37775"/>
    <w:rsid w:val="00D3793F"/>
    <w:rsid w:val="00D379B4"/>
    <w:rsid w:val="00D379F1"/>
    <w:rsid w:val="00D37A82"/>
    <w:rsid w:val="00D37B8E"/>
    <w:rsid w:val="00D400A2"/>
    <w:rsid w:val="00D4016B"/>
    <w:rsid w:val="00D40190"/>
    <w:rsid w:val="00D402C7"/>
    <w:rsid w:val="00D40524"/>
    <w:rsid w:val="00D40960"/>
    <w:rsid w:val="00D40A8F"/>
    <w:rsid w:val="00D40A95"/>
    <w:rsid w:val="00D40BD3"/>
    <w:rsid w:val="00D4126D"/>
    <w:rsid w:val="00D413BD"/>
    <w:rsid w:val="00D414C1"/>
    <w:rsid w:val="00D41D02"/>
    <w:rsid w:val="00D41D96"/>
    <w:rsid w:val="00D41DFF"/>
    <w:rsid w:val="00D42841"/>
    <w:rsid w:val="00D42BE9"/>
    <w:rsid w:val="00D43070"/>
    <w:rsid w:val="00D43E74"/>
    <w:rsid w:val="00D43EC5"/>
    <w:rsid w:val="00D44028"/>
    <w:rsid w:val="00D44460"/>
    <w:rsid w:val="00D4466B"/>
    <w:rsid w:val="00D44A42"/>
    <w:rsid w:val="00D44A4F"/>
    <w:rsid w:val="00D44CDE"/>
    <w:rsid w:val="00D44E0C"/>
    <w:rsid w:val="00D44E42"/>
    <w:rsid w:val="00D45442"/>
    <w:rsid w:val="00D45636"/>
    <w:rsid w:val="00D45857"/>
    <w:rsid w:val="00D45B44"/>
    <w:rsid w:val="00D45F14"/>
    <w:rsid w:val="00D45FC5"/>
    <w:rsid w:val="00D46321"/>
    <w:rsid w:val="00D46359"/>
    <w:rsid w:val="00D463F5"/>
    <w:rsid w:val="00D4659C"/>
    <w:rsid w:val="00D466B0"/>
    <w:rsid w:val="00D467DF"/>
    <w:rsid w:val="00D46A7D"/>
    <w:rsid w:val="00D47069"/>
    <w:rsid w:val="00D476C4"/>
    <w:rsid w:val="00D4776C"/>
    <w:rsid w:val="00D47796"/>
    <w:rsid w:val="00D477FC"/>
    <w:rsid w:val="00D50034"/>
    <w:rsid w:val="00D500C7"/>
    <w:rsid w:val="00D503C7"/>
    <w:rsid w:val="00D5060C"/>
    <w:rsid w:val="00D50740"/>
    <w:rsid w:val="00D50872"/>
    <w:rsid w:val="00D50D07"/>
    <w:rsid w:val="00D50F47"/>
    <w:rsid w:val="00D510A0"/>
    <w:rsid w:val="00D5132E"/>
    <w:rsid w:val="00D51523"/>
    <w:rsid w:val="00D5162B"/>
    <w:rsid w:val="00D51749"/>
    <w:rsid w:val="00D51846"/>
    <w:rsid w:val="00D52012"/>
    <w:rsid w:val="00D520B4"/>
    <w:rsid w:val="00D52372"/>
    <w:rsid w:val="00D536BD"/>
    <w:rsid w:val="00D53BDE"/>
    <w:rsid w:val="00D54221"/>
    <w:rsid w:val="00D54F52"/>
    <w:rsid w:val="00D55478"/>
    <w:rsid w:val="00D554D8"/>
    <w:rsid w:val="00D55588"/>
    <w:rsid w:val="00D5582B"/>
    <w:rsid w:val="00D55C70"/>
    <w:rsid w:val="00D55CBD"/>
    <w:rsid w:val="00D55FCE"/>
    <w:rsid w:val="00D56010"/>
    <w:rsid w:val="00D5733C"/>
    <w:rsid w:val="00D573EA"/>
    <w:rsid w:val="00D57548"/>
    <w:rsid w:val="00D575F6"/>
    <w:rsid w:val="00D60099"/>
    <w:rsid w:val="00D60384"/>
    <w:rsid w:val="00D605A5"/>
    <w:rsid w:val="00D607CF"/>
    <w:rsid w:val="00D60826"/>
    <w:rsid w:val="00D60F2A"/>
    <w:rsid w:val="00D61A79"/>
    <w:rsid w:val="00D62254"/>
    <w:rsid w:val="00D62532"/>
    <w:rsid w:val="00D62543"/>
    <w:rsid w:val="00D626DC"/>
    <w:rsid w:val="00D62C36"/>
    <w:rsid w:val="00D63095"/>
    <w:rsid w:val="00D6332F"/>
    <w:rsid w:val="00D64058"/>
    <w:rsid w:val="00D64079"/>
    <w:rsid w:val="00D642A7"/>
    <w:rsid w:val="00D643E8"/>
    <w:rsid w:val="00D64542"/>
    <w:rsid w:val="00D64DC6"/>
    <w:rsid w:val="00D65028"/>
    <w:rsid w:val="00D6564A"/>
    <w:rsid w:val="00D6574D"/>
    <w:rsid w:val="00D657E0"/>
    <w:rsid w:val="00D65930"/>
    <w:rsid w:val="00D65C99"/>
    <w:rsid w:val="00D65CD7"/>
    <w:rsid w:val="00D662A0"/>
    <w:rsid w:val="00D6655F"/>
    <w:rsid w:val="00D66948"/>
    <w:rsid w:val="00D6695C"/>
    <w:rsid w:val="00D66ADE"/>
    <w:rsid w:val="00D66C48"/>
    <w:rsid w:val="00D67041"/>
    <w:rsid w:val="00D671BC"/>
    <w:rsid w:val="00D67B2A"/>
    <w:rsid w:val="00D67DE1"/>
    <w:rsid w:val="00D67F05"/>
    <w:rsid w:val="00D67FA5"/>
    <w:rsid w:val="00D70365"/>
    <w:rsid w:val="00D7065A"/>
    <w:rsid w:val="00D70A3C"/>
    <w:rsid w:val="00D70CC3"/>
    <w:rsid w:val="00D70DA7"/>
    <w:rsid w:val="00D70F0D"/>
    <w:rsid w:val="00D70F38"/>
    <w:rsid w:val="00D70F8A"/>
    <w:rsid w:val="00D713BB"/>
    <w:rsid w:val="00D71ADC"/>
    <w:rsid w:val="00D7206E"/>
    <w:rsid w:val="00D720D9"/>
    <w:rsid w:val="00D72B4C"/>
    <w:rsid w:val="00D73A30"/>
    <w:rsid w:val="00D73C41"/>
    <w:rsid w:val="00D73C49"/>
    <w:rsid w:val="00D73D92"/>
    <w:rsid w:val="00D73DC2"/>
    <w:rsid w:val="00D73DE8"/>
    <w:rsid w:val="00D7418B"/>
    <w:rsid w:val="00D741BA"/>
    <w:rsid w:val="00D7429C"/>
    <w:rsid w:val="00D7450A"/>
    <w:rsid w:val="00D7490A"/>
    <w:rsid w:val="00D74B5D"/>
    <w:rsid w:val="00D74CB4"/>
    <w:rsid w:val="00D74CCA"/>
    <w:rsid w:val="00D74E4B"/>
    <w:rsid w:val="00D7512B"/>
    <w:rsid w:val="00D755FB"/>
    <w:rsid w:val="00D7576B"/>
    <w:rsid w:val="00D75A72"/>
    <w:rsid w:val="00D75E1B"/>
    <w:rsid w:val="00D766D8"/>
    <w:rsid w:val="00D76710"/>
    <w:rsid w:val="00D767E5"/>
    <w:rsid w:val="00D76A88"/>
    <w:rsid w:val="00D76B0A"/>
    <w:rsid w:val="00D76B8D"/>
    <w:rsid w:val="00D772AD"/>
    <w:rsid w:val="00D7796B"/>
    <w:rsid w:val="00D77D17"/>
    <w:rsid w:val="00D80B45"/>
    <w:rsid w:val="00D80B68"/>
    <w:rsid w:val="00D813D3"/>
    <w:rsid w:val="00D81458"/>
    <w:rsid w:val="00D81A48"/>
    <w:rsid w:val="00D820F7"/>
    <w:rsid w:val="00D8258E"/>
    <w:rsid w:val="00D82674"/>
    <w:rsid w:val="00D828CF"/>
    <w:rsid w:val="00D82C63"/>
    <w:rsid w:val="00D83024"/>
    <w:rsid w:val="00D8364D"/>
    <w:rsid w:val="00D838EF"/>
    <w:rsid w:val="00D83CB3"/>
    <w:rsid w:val="00D83FC7"/>
    <w:rsid w:val="00D840C1"/>
    <w:rsid w:val="00D84124"/>
    <w:rsid w:val="00D84610"/>
    <w:rsid w:val="00D84715"/>
    <w:rsid w:val="00D84BEF"/>
    <w:rsid w:val="00D84CF8"/>
    <w:rsid w:val="00D84FEF"/>
    <w:rsid w:val="00D8502D"/>
    <w:rsid w:val="00D85439"/>
    <w:rsid w:val="00D85797"/>
    <w:rsid w:val="00D85CAF"/>
    <w:rsid w:val="00D86140"/>
    <w:rsid w:val="00D86613"/>
    <w:rsid w:val="00D86679"/>
    <w:rsid w:val="00D8672B"/>
    <w:rsid w:val="00D86C83"/>
    <w:rsid w:val="00D86D4B"/>
    <w:rsid w:val="00D879AA"/>
    <w:rsid w:val="00D87E8B"/>
    <w:rsid w:val="00D87FCA"/>
    <w:rsid w:val="00D90108"/>
    <w:rsid w:val="00D907DE"/>
    <w:rsid w:val="00D90B8D"/>
    <w:rsid w:val="00D9119D"/>
    <w:rsid w:val="00D91275"/>
    <w:rsid w:val="00D912E3"/>
    <w:rsid w:val="00D91511"/>
    <w:rsid w:val="00D916CC"/>
    <w:rsid w:val="00D9186A"/>
    <w:rsid w:val="00D918C2"/>
    <w:rsid w:val="00D91927"/>
    <w:rsid w:val="00D9227B"/>
    <w:rsid w:val="00D9242D"/>
    <w:rsid w:val="00D925B2"/>
    <w:rsid w:val="00D92711"/>
    <w:rsid w:val="00D92942"/>
    <w:rsid w:val="00D9295A"/>
    <w:rsid w:val="00D92B06"/>
    <w:rsid w:val="00D92B86"/>
    <w:rsid w:val="00D92C2F"/>
    <w:rsid w:val="00D92FE8"/>
    <w:rsid w:val="00D93167"/>
    <w:rsid w:val="00D931C2"/>
    <w:rsid w:val="00D93DE4"/>
    <w:rsid w:val="00D93E1E"/>
    <w:rsid w:val="00D9409C"/>
    <w:rsid w:val="00D940A1"/>
    <w:rsid w:val="00D9435E"/>
    <w:rsid w:val="00D943B2"/>
    <w:rsid w:val="00D94839"/>
    <w:rsid w:val="00D94903"/>
    <w:rsid w:val="00D94CA0"/>
    <w:rsid w:val="00D94D00"/>
    <w:rsid w:val="00D94EC0"/>
    <w:rsid w:val="00D94FE4"/>
    <w:rsid w:val="00D95069"/>
    <w:rsid w:val="00D95955"/>
    <w:rsid w:val="00D95AC2"/>
    <w:rsid w:val="00D95CA0"/>
    <w:rsid w:val="00D95D3C"/>
    <w:rsid w:val="00D95ED6"/>
    <w:rsid w:val="00D95F32"/>
    <w:rsid w:val="00D9627C"/>
    <w:rsid w:val="00D962B1"/>
    <w:rsid w:val="00D964D2"/>
    <w:rsid w:val="00D96A6B"/>
    <w:rsid w:val="00D96FEF"/>
    <w:rsid w:val="00D971ED"/>
    <w:rsid w:val="00D976F5"/>
    <w:rsid w:val="00D977BC"/>
    <w:rsid w:val="00D97B79"/>
    <w:rsid w:val="00D97C67"/>
    <w:rsid w:val="00DA00BD"/>
    <w:rsid w:val="00DA0563"/>
    <w:rsid w:val="00DA0A53"/>
    <w:rsid w:val="00DA0AF9"/>
    <w:rsid w:val="00DA0C19"/>
    <w:rsid w:val="00DA0E62"/>
    <w:rsid w:val="00DA1246"/>
    <w:rsid w:val="00DA166A"/>
    <w:rsid w:val="00DA1C2E"/>
    <w:rsid w:val="00DA2145"/>
    <w:rsid w:val="00DA22CB"/>
    <w:rsid w:val="00DA266E"/>
    <w:rsid w:val="00DA2E66"/>
    <w:rsid w:val="00DA2EE8"/>
    <w:rsid w:val="00DA30E8"/>
    <w:rsid w:val="00DA389F"/>
    <w:rsid w:val="00DA3D70"/>
    <w:rsid w:val="00DA4417"/>
    <w:rsid w:val="00DA4451"/>
    <w:rsid w:val="00DA4586"/>
    <w:rsid w:val="00DA45CE"/>
    <w:rsid w:val="00DA482A"/>
    <w:rsid w:val="00DA487A"/>
    <w:rsid w:val="00DA4B4C"/>
    <w:rsid w:val="00DA4BC3"/>
    <w:rsid w:val="00DA4CAD"/>
    <w:rsid w:val="00DA572F"/>
    <w:rsid w:val="00DA58D0"/>
    <w:rsid w:val="00DA6037"/>
    <w:rsid w:val="00DA65FE"/>
    <w:rsid w:val="00DA66A0"/>
    <w:rsid w:val="00DA6E67"/>
    <w:rsid w:val="00DA734A"/>
    <w:rsid w:val="00DA7394"/>
    <w:rsid w:val="00DA7454"/>
    <w:rsid w:val="00DA74F1"/>
    <w:rsid w:val="00DA75A7"/>
    <w:rsid w:val="00DA7B5F"/>
    <w:rsid w:val="00DB0066"/>
    <w:rsid w:val="00DB0613"/>
    <w:rsid w:val="00DB083E"/>
    <w:rsid w:val="00DB08EC"/>
    <w:rsid w:val="00DB0A98"/>
    <w:rsid w:val="00DB1182"/>
    <w:rsid w:val="00DB17AA"/>
    <w:rsid w:val="00DB17B7"/>
    <w:rsid w:val="00DB1930"/>
    <w:rsid w:val="00DB1EC9"/>
    <w:rsid w:val="00DB25D1"/>
    <w:rsid w:val="00DB326A"/>
    <w:rsid w:val="00DB3C8E"/>
    <w:rsid w:val="00DB4795"/>
    <w:rsid w:val="00DB47B8"/>
    <w:rsid w:val="00DB4B7B"/>
    <w:rsid w:val="00DB51C8"/>
    <w:rsid w:val="00DB5241"/>
    <w:rsid w:val="00DB52F3"/>
    <w:rsid w:val="00DB5768"/>
    <w:rsid w:val="00DB585B"/>
    <w:rsid w:val="00DB5913"/>
    <w:rsid w:val="00DB59B2"/>
    <w:rsid w:val="00DB5DF1"/>
    <w:rsid w:val="00DB5ECE"/>
    <w:rsid w:val="00DB61C5"/>
    <w:rsid w:val="00DB6415"/>
    <w:rsid w:val="00DB6611"/>
    <w:rsid w:val="00DB67FB"/>
    <w:rsid w:val="00DB69F8"/>
    <w:rsid w:val="00DB6BAF"/>
    <w:rsid w:val="00DB6BFB"/>
    <w:rsid w:val="00DB6C9F"/>
    <w:rsid w:val="00DB725E"/>
    <w:rsid w:val="00DB74A7"/>
    <w:rsid w:val="00DB7668"/>
    <w:rsid w:val="00DB79AE"/>
    <w:rsid w:val="00DB7A1F"/>
    <w:rsid w:val="00DB7CA5"/>
    <w:rsid w:val="00DC01D5"/>
    <w:rsid w:val="00DC0738"/>
    <w:rsid w:val="00DC08E5"/>
    <w:rsid w:val="00DC128B"/>
    <w:rsid w:val="00DC140A"/>
    <w:rsid w:val="00DC1478"/>
    <w:rsid w:val="00DC150D"/>
    <w:rsid w:val="00DC174E"/>
    <w:rsid w:val="00DC1ED3"/>
    <w:rsid w:val="00DC1F0E"/>
    <w:rsid w:val="00DC20D5"/>
    <w:rsid w:val="00DC2D4A"/>
    <w:rsid w:val="00DC371F"/>
    <w:rsid w:val="00DC37F4"/>
    <w:rsid w:val="00DC3A45"/>
    <w:rsid w:val="00DC3B9A"/>
    <w:rsid w:val="00DC480F"/>
    <w:rsid w:val="00DC4843"/>
    <w:rsid w:val="00DC4D4E"/>
    <w:rsid w:val="00DC4F78"/>
    <w:rsid w:val="00DC5950"/>
    <w:rsid w:val="00DC595D"/>
    <w:rsid w:val="00DC604B"/>
    <w:rsid w:val="00DC6466"/>
    <w:rsid w:val="00DC6C9E"/>
    <w:rsid w:val="00DC6CBD"/>
    <w:rsid w:val="00DC7203"/>
    <w:rsid w:val="00DC72A4"/>
    <w:rsid w:val="00DC73A5"/>
    <w:rsid w:val="00DC7A04"/>
    <w:rsid w:val="00DD0752"/>
    <w:rsid w:val="00DD0776"/>
    <w:rsid w:val="00DD0A71"/>
    <w:rsid w:val="00DD0D0B"/>
    <w:rsid w:val="00DD0FDE"/>
    <w:rsid w:val="00DD1655"/>
    <w:rsid w:val="00DD182F"/>
    <w:rsid w:val="00DD1AA8"/>
    <w:rsid w:val="00DD1EAF"/>
    <w:rsid w:val="00DD24D8"/>
    <w:rsid w:val="00DD2612"/>
    <w:rsid w:val="00DD2767"/>
    <w:rsid w:val="00DD2D75"/>
    <w:rsid w:val="00DD2DEA"/>
    <w:rsid w:val="00DD2ED0"/>
    <w:rsid w:val="00DD30B7"/>
    <w:rsid w:val="00DD33CB"/>
    <w:rsid w:val="00DD4319"/>
    <w:rsid w:val="00DD4AC1"/>
    <w:rsid w:val="00DD4E5F"/>
    <w:rsid w:val="00DD51D3"/>
    <w:rsid w:val="00DD547A"/>
    <w:rsid w:val="00DD5C88"/>
    <w:rsid w:val="00DD606B"/>
    <w:rsid w:val="00DD643A"/>
    <w:rsid w:val="00DD6A13"/>
    <w:rsid w:val="00DD7047"/>
    <w:rsid w:val="00DD73FF"/>
    <w:rsid w:val="00DD779B"/>
    <w:rsid w:val="00DD78DE"/>
    <w:rsid w:val="00DD7A2B"/>
    <w:rsid w:val="00DD7A2D"/>
    <w:rsid w:val="00DD7C4C"/>
    <w:rsid w:val="00DE0111"/>
    <w:rsid w:val="00DE0591"/>
    <w:rsid w:val="00DE101E"/>
    <w:rsid w:val="00DE1064"/>
    <w:rsid w:val="00DE16EF"/>
    <w:rsid w:val="00DE170B"/>
    <w:rsid w:val="00DE192F"/>
    <w:rsid w:val="00DE1C2B"/>
    <w:rsid w:val="00DE1D84"/>
    <w:rsid w:val="00DE22E5"/>
    <w:rsid w:val="00DE342D"/>
    <w:rsid w:val="00DE37E2"/>
    <w:rsid w:val="00DE3AB0"/>
    <w:rsid w:val="00DE4267"/>
    <w:rsid w:val="00DE459F"/>
    <w:rsid w:val="00DE4A12"/>
    <w:rsid w:val="00DE4AB8"/>
    <w:rsid w:val="00DE4C81"/>
    <w:rsid w:val="00DE4FD6"/>
    <w:rsid w:val="00DE5073"/>
    <w:rsid w:val="00DE5341"/>
    <w:rsid w:val="00DE5458"/>
    <w:rsid w:val="00DE5511"/>
    <w:rsid w:val="00DE5788"/>
    <w:rsid w:val="00DE5817"/>
    <w:rsid w:val="00DE5AA0"/>
    <w:rsid w:val="00DE6299"/>
    <w:rsid w:val="00DE711E"/>
    <w:rsid w:val="00DE72FE"/>
    <w:rsid w:val="00DE783F"/>
    <w:rsid w:val="00DE7A86"/>
    <w:rsid w:val="00DE7D6B"/>
    <w:rsid w:val="00DE7E99"/>
    <w:rsid w:val="00DF031F"/>
    <w:rsid w:val="00DF07D8"/>
    <w:rsid w:val="00DF0DEF"/>
    <w:rsid w:val="00DF0EB2"/>
    <w:rsid w:val="00DF0F07"/>
    <w:rsid w:val="00DF11FF"/>
    <w:rsid w:val="00DF12BF"/>
    <w:rsid w:val="00DF1327"/>
    <w:rsid w:val="00DF136C"/>
    <w:rsid w:val="00DF1715"/>
    <w:rsid w:val="00DF27DA"/>
    <w:rsid w:val="00DF2EE4"/>
    <w:rsid w:val="00DF2F26"/>
    <w:rsid w:val="00DF3531"/>
    <w:rsid w:val="00DF3781"/>
    <w:rsid w:val="00DF38E0"/>
    <w:rsid w:val="00DF3B20"/>
    <w:rsid w:val="00DF456B"/>
    <w:rsid w:val="00DF46B2"/>
    <w:rsid w:val="00DF4F46"/>
    <w:rsid w:val="00DF530B"/>
    <w:rsid w:val="00DF5923"/>
    <w:rsid w:val="00DF5959"/>
    <w:rsid w:val="00DF5E61"/>
    <w:rsid w:val="00DF5EC4"/>
    <w:rsid w:val="00DF6012"/>
    <w:rsid w:val="00DF60DD"/>
    <w:rsid w:val="00DF68FF"/>
    <w:rsid w:val="00DF751A"/>
    <w:rsid w:val="00DF7632"/>
    <w:rsid w:val="00DF763B"/>
    <w:rsid w:val="00DF771A"/>
    <w:rsid w:val="00DF77C6"/>
    <w:rsid w:val="00DF7FBB"/>
    <w:rsid w:val="00E00266"/>
    <w:rsid w:val="00E00272"/>
    <w:rsid w:val="00E0066B"/>
    <w:rsid w:val="00E00B22"/>
    <w:rsid w:val="00E00C58"/>
    <w:rsid w:val="00E00C93"/>
    <w:rsid w:val="00E00D01"/>
    <w:rsid w:val="00E00D15"/>
    <w:rsid w:val="00E00E4D"/>
    <w:rsid w:val="00E00FBB"/>
    <w:rsid w:val="00E00FDA"/>
    <w:rsid w:val="00E01236"/>
    <w:rsid w:val="00E01270"/>
    <w:rsid w:val="00E0159C"/>
    <w:rsid w:val="00E01AD6"/>
    <w:rsid w:val="00E0248A"/>
    <w:rsid w:val="00E0258D"/>
    <w:rsid w:val="00E02751"/>
    <w:rsid w:val="00E02A7A"/>
    <w:rsid w:val="00E02A91"/>
    <w:rsid w:val="00E02F2F"/>
    <w:rsid w:val="00E0307B"/>
    <w:rsid w:val="00E0312E"/>
    <w:rsid w:val="00E03159"/>
    <w:rsid w:val="00E032F9"/>
    <w:rsid w:val="00E0352E"/>
    <w:rsid w:val="00E03EFA"/>
    <w:rsid w:val="00E04A0E"/>
    <w:rsid w:val="00E04B6C"/>
    <w:rsid w:val="00E04B6E"/>
    <w:rsid w:val="00E04F7E"/>
    <w:rsid w:val="00E054A1"/>
    <w:rsid w:val="00E05538"/>
    <w:rsid w:val="00E05B0C"/>
    <w:rsid w:val="00E05B51"/>
    <w:rsid w:val="00E06223"/>
    <w:rsid w:val="00E06530"/>
    <w:rsid w:val="00E0661A"/>
    <w:rsid w:val="00E06692"/>
    <w:rsid w:val="00E066EB"/>
    <w:rsid w:val="00E0678E"/>
    <w:rsid w:val="00E0686F"/>
    <w:rsid w:val="00E075DB"/>
    <w:rsid w:val="00E07740"/>
    <w:rsid w:val="00E0782F"/>
    <w:rsid w:val="00E07B5E"/>
    <w:rsid w:val="00E07D51"/>
    <w:rsid w:val="00E07E10"/>
    <w:rsid w:val="00E10128"/>
    <w:rsid w:val="00E10886"/>
    <w:rsid w:val="00E108D6"/>
    <w:rsid w:val="00E10D15"/>
    <w:rsid w:val="00E10D42"/>
    <w:rsid w:val="00E11133"/>
    <w:rsid w:val="00E1186F"/>
    <w:rsid w:val="00E11A20"/>
    <w:rsid w:val="00E12166"/>
    <w:rsid w:val="00E124D9"/>
    <w:rsid w:val="00E12A13"/>
    <w:rsid w:val="00E12C7F"/>
    <w:rsid w:val="00E12E5C"/>
    <w:rsid w:val="00E131B7"/>
    <w:rsid w:val="00E134DA"/>
    <w:rsid w:val="00E13729"/>
    <w:rsid w:val="00E13AD3"/>
    <w:rsid w:val="00E13BAF"/>
    <w:rsid w:val="00E14327"/>
    <w:rsid w:val="00E154BD"/>
    <w:rsid w:val="00E15593"/>
    <w:rsid w:val="00E15AC5"/>
    <w:rsid w:val="00E15EA6"/>
    <w:rsid w:val="00E1608B"/>
    <w:rsid w:val="00E16266"/>
    <w:rsid w:val="00E162D7"/>
    <w:rsid w:val="00E16E13"/>
    <w:rsid w:val="00E16E50"/>
    <w:rsid w:val="00E175ED"/>
    <w:rsid w:val="00E17958"/>
    <w:rsid w:val="00E2038F"/>
    <w:rsid w:val="00E20413"/>
    <w:rsid w:val="00E20750"/>
    <w:rsid w:val="00E208D4"/>
    <w:rsid w:val="00E208E3"/>
    <w:rsid w:val="00E20B28"/>
    <w:rsid w:val="00E20BED"/>
    <w:rsid w:val="00E20E40"/>
    <w:rsid w:val="00E20F68"/>
    <w:rsid w:val="00E21121"/>
    <w:rsid w:val="00E21239"/>
    <w:rsid w:val="00E213BA"/>
    <w:rsid w:val="00E2147C"/>
    <w:rsid w:val="00E217A1"/>
    <w:rsid w:val="00E21D5B"/>
    <w:rsid w:val="00E21D97"/>
    <w:rsid w:val="00E22200"/>
    <w:rsid w:val="00E226BF"/>
    <w:rsid w:val="00E227F2"/>
    <w:rsid w:val="00E228E7"/>
    <w:rsid w:val="00E22AE6"/>
    <w:rsid w:val="00E22CA8"/>
    <w:rsid w:val="00E232EB"/>
    <w:rsid w:val="00E233EB"/>
    <w:rsid w:val="00E23449"/>
    <w:rsid w:val="00E236DD"/>
    <w:rsid w:val="00E23888"/>
    <w:rsid w:val="00E23982"/>
    <w:rsid w:val="00E23FAC"/>
    <w:rsid w:val="00E2450B"/>
    <w:rsid w:val="00E2477E"/>
    <w:rsid w:val="00E24C3C"/>
    <w:rsid w:val="00E24DFC"/>
    <w:rsid w:val="00E24EC5"/>
    <w:rsid w:val="00E24F19"/>
    <w:rsid w:val="00E25393"/>
    <w:rsid w:val="00E25402"/>
    <w:rsid w:val="00E2542C"/>
    <w:rsid w:val="00E25728"/>
    <w:rsid w:val="00E25743"/>
    <w:rsid w:val="00E2587E"/>
    <w:rsid w:val="00E258C7"/>
    <w:rsid w:val="00E25956"/>
    <w:rsid w:val="00E25A62"/>
    <w:rsid w:val="00E25AA6"/>
    <w:rsid w:val="00E25F9C"/>
    <w:rsid w:val="00E261BC"/>
    <w:rsid w:val="00E262BA"/>
    <w:rsid w:val="00E2647D"/>
    <w:rsid w:val="00E26732"/>
    <w:rsid w:val="00E26EED"/>
    <w:rsid w:val="00E270A7"/>
    <w:rsid w:val="00E27127"/>
    <w:rsid w:val="00E27288"/>
    <w:rsid w:val="00E27480"/>
    <w:rsid w:val="00E27B5C"/>
    <w:rsid w:val="00E30374"/>
    <w:rsid w:val="00E30A4C"/>
    <w:rsid w:val="00E30DC2"/>
    <w:rsid w:val="00E31623"/>
    <w:rsid w:val="00E31656"/>
    <w:rsid w:val="00E3174D"/>
    <w:rsid w:val="00E319A9"/>
    <w:rsid w:val="00E32019"/>
    <w:rsid w:val="00E32161"/>
    <w:rsid w:val="00E322B3"/>
    <w:rsid w:val="00E3280C"/>
    <w:rsid w:val="00E32991"/>
    <w:rsid w:val="00E32B18"/>
    <w:rsid w:val="00E32E66"/>
    <w:rsid w:val="00E33177"/>
    <w:rsid w:val="00E3333F"/>
    <w:rsid w:val="00E33624"/>
    <w:rsid w:val="00E3389C"/>
    <w:rsid w:val="00E33EF8"/>
    <w:rsid w:val="00E34280"/>
    <w:rsid w:val="00E343C6"/>
    <w:rsid w:val="00E34E0E"/>
    <w:rsid w:val="00E34ED6"/>
    <w:rsid w:val="00E35622"/>
    <w:rsid w:val="00E356E5"/>
    <w:rsid w:val="00E36012"/>
    <w:rsid w:val="00E365BA"/>
    <w:rsid w:val="00E3697A"/>
    <w:rsid w:val="00E36A1A"/>
    <w:rsid w:val="00E36AD0"/>
    <w:rsid w:val="00E36D82"/>
    <w:rsid w:val="00E3728B"/>
    <w:rsid w:val="00E375CE"/>
    <w:rsid w:val="00E376F7"/>
    <w:rsid w:val="00E37C34"/>
    <w:rsid w:val="00E37F28"/>
    <w:rsid w:val="00E4009D"/>
    <w:rsid w:val="00E402C7"/>
    <w:rsid w:val="00E4069A"/>
    <w:rsid w:val="00E4097A"/>
    <w:rsid w:val="00E40C9A"/>
    <w:rsid w:val="00E40ECF"/>
    <w:rsid w:val="00E40FEC"/>
    <w:rsid w:val="00E4113A"/>
    <w:rsid w:val="00E413E2"/>
    <w:rsid w:val="00E4144F"/>
    <w:rsid w:val="00E41636"/>
    <w:rsid w:val="00E41982"/>
    <w:rsid w:val="00E41B9B"/>
    <w:rsid w:val="00E41BAA"/>
    <w:rsid w:val="00E41C71"/>
    <w:rsid w:val="00E42996"/>
    <w:rsid w:val="00E42A30"/>
    <w:rsid w:val="00E42A89"/>
    <w:rsid w:val="00E42BEF"/>
    <w:rsid w:val="00E42FCA"/>
    <w:rsid w:val="00E42FEB"/>
    <w:rsid w:val="00E4309D"/>
    <w:rsid w:val="00E43262"/>
    <w:rsid w:val="00E43362"/>
    <w:rsid w:val="00E4338A"/>
    <w:rsid w:val="00E433D6"/>
    <w:rsid w:val="00E435EC"/>
    <w:rsid w:val="00E43F93"/>
    <w:rsid w:val="00E443B9"/>
    <w:rsid w:val="00E4444D"/>
    <w:rsid w:val="00E44B19"/>
    <w:rsid w:val="00E44B3F"/>
    <w:rsid w:val="00E44BD8"/>
    <w:rsid w:val="00E45072"/>
    <w:rsid w:val="00E450DE"/>
    <w:rsid w:val="00E4537B"/>
    <w:rsid w:val="00E4540A"/>
    <w:rsid w:val="00E455FE"/>
    <w:rsid w:val="00E45F98"/>
    <w:rsid w:val="00E460B6"/>
    <w:rsid w:val="00E461D7"/>
    <w:rsid w:val="00E467E4"/>
    <w:rsid w:val="00E469FD"/>
    <w:rsid w:val="00E46A97"/>
    <w:rsid w:val="00E46B51"/>
    <w:rsid w:val="00E46B65"/>
    <w:rsid w:val="00E46CC8"/>
    <w:rsid w:val="00E46ED1"/>
    <w:rsid w:val="00E475A0"/>
    <w:rsid w:val="00E47741"/>
    <w:rsid w:val="00E47809"/>
    <w:rsid w:val="00E478B2"/>
    <w:rsid w:val="00E47DF0"/>
    <w:rsid w:val="00E47E7E"/>
    <w:rsid w:val="00E500D2"/>
    <w:rsid w:val="00E50358"/>
    <w:rsid w:val="00E50549"/>
    <w:rsid w:val="00E50773"/>
    <w:rsid w:val="00E50CFF"/>
    <w:rsid w:val="00E51042"/>
    <w:rsid w:val="00E510A2"/>
    <w:rsid w:val="00E51862"/>
    <w:rsid w:val="00E519D6"/>
    <w:rsid w:val="00E51E96"/>
    <w:rsid w:val="00E51EC7"/>
    <w:rsid w:val="00E520D2"/>
    <w:rsid w:val="00E52268"/>
    <w:rsid w:val="00E5233A"/>
    <w:rsid w:val="00E52733"/>
    <w:rsid w:val="00E52A9D"/>
    <w:rsid w:val="00E52AE8"/>
    <w:rsid w:val="00E52D5C"/>
    <w:rsid w:val="00E52D97"/>
    <w:rsid w:val="00E53860"/>
    <w:rsid w:val="00E53919"/>
    <w:rsid w:val="00E53952"/>
    <w:rsid w:val="00E53A54"/>
    <w:rsid w:val="00E53AE2"/>
    <w:rsid w:val="00E53E44"/>
    <w:rsid w:val="00E543AF"/>
    <w:rsid w:val="00E543ED"/>
    <w:rsid w:val="00E545F0"/>
    <w:rsid w:val="00E5461C"/>
    <w:rsid w:val="00E54E67"/>
    <w:rsid w:val="00E55216"/>
    <w:rsid w:val="00E552B6"/>
    <w:rsid w:val="00E55587"/>
    <w:rsid w:val="00E555C3"/>
    <w:rsid w:val="00E55743"/>
    <w:rsid w:val="00E55B88"/>
    <w:rsid w:val="00E55F3E"/>
    <w:rsid w:val="00E55FDA"/>
    <w:rsid w:val="00E56421"/>
    <w:rsid w:val="00E5662C"/>
    <w:rsid w:val="00E5675E"/>
    <w:rsid w:val="00E567F4"/>
    <w:rsid w:val="00E56BE7"/>
    <w:rsid w:val="00E56D37"/>
    <w:rsid w:val="00E56E22"/>
    <w:rsid w:val="00E57273"/>
    <w:rsid w:val="00E5751A"/>
    <w:rsid w:val="00E575DF"/>
    <w:rsid w:val="00E5760F"/>
    <w:rsid w:val="00E577B9"/>
    <w:rsid w:val="00E57F3C"/>
    <w:rsid w:val="00E602C1"/>
    <w:rsid w:val="00E603AC"/>
    <w:rsid w:val="00E6081B"/>
    <w:rsid w:val="00E60D6D"/>
    <w:rsid w:val="00E60DCB"/>
    <w:rsid w:val="00E61041"/>
    <w:rsid w:val="00E612ED"/>
    <w:rsid w:val="00E619DB"/>
    <w:rsid w:val="00E61CAA"/>
    <w:rsid w:val="00E62427"/>
    <w:rsid w:val="00E62C69"/>
    <w:rsid w:val="00E62EA9"/>
    <w:rsid w:val="00E63027"/>
    <w:rsid w:val="00E638D6"/>
    <w:rsid w:val="00E63B98"/>
    <w:rsid w:val="00E63C2D"/>
    <w:rsid w:val="00E644E3"/>
    <w:rsid w:val="00E6457B"/>
    <w:rsid w:val="00E64597"/>
    <w:rsid w:val="00E64860"/>
    <w:rsid w:val="00E6490C"/>
    <w:rsid w:val="00E649A8"/>
    <w:rsid w:val="00E64A2F"/>
    <w:rsid w:val="00E64D5A"/>
    <w:rsid w:val="00E64E87"/>
    <w:rsid w:val="00E65269"/>
    <w:rsid w:val="00E65510"/>
    <w:rsid w:val="00E656CE"/>
    <w:rsid w:val="00E6582C"/>
    <w:rsid w:val="00E65894"/>
    <w:rsid w:val="00E658E2"/>
    <w:rsid w:val="00E65A55"/>
    <w:rsid w:val="00E65B34"/>
    <w:rsid w:val="00E65B96"/>
    <w:rsid w:val="00E65CDD"/>
    <w:rsid w:val="00E66011"/>
    <w:rsid w:val="00E6630E"/>
    <w:rsid w:val="00E663FA"/>
    <w:rsid w:val="00E6669C"/>
    <w:rsid w:val="00E66967"/>
    <w:rsid w:val="00E66E0D"/>
    <w:rsid w:val="00E70AA2"/>
    <w:rsid w:val="00E70C0B"/>
    <w:rsid w:val="00E710FB"/>
    <w:rsid w:val="00E71205"/>
    <w:rsid w:val="00E712C3"/>
    <w:rsid w:val="00E713A0"/>
    <w:rsid w:val="00E71425"/>
    <w:rsid w:val="00E71677"/>
    <w:rsid w:val="00E7179A"/>
    <w:rsid w:val="00E71C57"/>
    <w:rsid w:val="00E7205E"/>
    <w:rsid w:val="00E721B0"/>
    <w:rsid w:val="00E7238D"/>
    <w:rsid w:val="00E723D9"/>
    <w:rsid w:val="00E7268B"/>
    <w:rsid w:val="00E726E6"/>
    <w:rsid w:val="00E728B9"/>
    <w:rsid w:val="00E7314F"/>
    <w:rsid w:val="00E7354C"/>
    <w:rsid w:val="00E73697"/>
    <w:rsid w:val="00E73EBE"/>
    <w:rsid w:val="00E73F58"/>
    <w:rsid w:val="00E74154"/>
    <w:rsid w:val="00E743E6"/>
    <w:rsid w:val="00E74915"/>
    <w:rsid w:val="00E74D69"/>
    <w:rsid w:val="00E74E91"/>
    <w:rsid w:val="00E74F8D"/>
    <w:rsid w:val="00E75116"/>
    <w:rsid w:val="00E75AD0"/>
    <w:rsid w:val="00E75C8C"/>
    <w:rsid w:val="00E76030"/>
    <w:rsid w:val="00E76422"/>
    <w:rsid w:val="00E7647E"/>
    <w:rsid w:val="00E7655C"/>
    <w:rsid w:val="00E76700"/>
    <w:rsid w:val="00E7679D"/>
    <w:rsid w:val="00E76ABD"/>
    <w:rsid w:val="00E76F5B"/>
    <w:rsid w:val="00E77B2B"/>
    <w:rsid w:val="00E77C63"/>
    <w:rsid w:val="00E77D2A"/>
    <w:rsid w:val="00E77F06"/>
    <w:rsid w:val="00E80457"/>
    <w:rsid w:val="00E807A5"/>
    <w:rsid w:val="00E807B4"/>
    <w:rsid w:val="00E8093B"/>
    <w:rsid w:val="00E80B3D"/>
    <w:rsid w:val="00E81367"/>
    <w:rsid w:val="00E81684"/>
    <w:rsid w:val="00E81965"/>
    <w:rsid w:val="00E81C4F"/>
    <w:rsid w:val="00E81C7D"/>
    <w:rsid w:val="00E81DF2"/>
    <w:rsid w:val="00E8215A"/>
    <w:rsid w:val="00E82C74"/>
    <w:rsid w:val="00E82E8F"/>
    <w:rsid w:val="00E82FD1"/>
    <w:rsid w:val="00E831B3"/>
    <w:rsid w:val="00E8383A"/>
    <w:rsid w:val="00E83935"/>
    <w:rsid w:val="00E84547"/>
    <w:rsid w:val="00E84D68"/>
    <w:rsid w:val="00E84FBA"/>
    <w:rsid w:val="00E85178"/>
    <w:rsid w:val="00E851FB"/>
    <w:rsid w:val="00E851FD"/>
    <w:rsid w:val="00E85566"/>
    <w:rsid w:val="00E855E5"/>
    <w:rsid w:val="00E8561E"/>
    <w:rsid w:val="00E8564A"/>
    <w:rsid w:val="00E85672"/>
    <w:rsid w:val="00E85687"/>
    <w:rsid w:val="00E85957"/>
    <w:rsid w:val="00E85A35"/>
    <w:rsid w:val="00E85B3B"/>
    <w:rsid w:val="00E85B90"/>
    <w:rsid w:val="00E85DB5"/>
    <w:rsid w:val="00E85FBD"/>
    <w:rsid w:val="00E86164"/>
    <w:rsid w:val="00E8636B"/>
    <w:rsid w:val="00E865CA"/>
    <w:rsid w:val="00E86B7F"/>
    <w:rsid w:val="00E86C7B"/>
    <w:rsid w:val="00E86FD6"/>
    <w:rsid w:val="00E874B3"/>
    <w:rsid w:val="00E876B0"/>
    <w:rsid w:val="00E878A5"/>
    <w:rsid w:val="00E87AA2"/>
    <w:rsid w:val="00E87B40"/>
    <w:rsid w:val="00E87BDC"/>
    <w:rsid w:val="00E87CD1"/>
    <w:rsid w:val="00E900DE"/>
    <w:rsid w:val="00E90461"/>
    <w:rsid w:val="00E9097F"/>
    <w:rsid w:val="00E910F7"/>
    <w:rsid w:val="00E91558"/>
    <w:rsid w:val="00E91FA1"/>
    <w:rsid w:val="00E9221D"/>
    <w:rsid w:val="00E92DC8"/>
    <w:rsid w:val="00E9315C"/>
    <w:rsid w:val="00E935AD"/>
    <w:rsid w:val="00E9360B"/>
    <w:rsid w:val="00E9362C"/>
    <w:rsid w:val="00E93F23"/>
    <w:rsid w:val="00E93F46"/>
    <w:rsid w:val="00E94679"/>
    <w:rsid w:val="00E9499E"/>
    <w:rsid w:val="00E94CAE"/>
    <w:rsid w:val="00E9511D"/>
    <w:rsid w:val="00E953DB"/>
    <w:rsid w:val="00E955C9"/>
    <w:rsid w:val="00E95800"/>
    <w:rsid w:val="00E95869"/>
    <w:rsid w:val="00E959AB"/>
    <w:rsid w:val="00E95CE9"/>
    <w:rsid w:val="00E95D4A"/>
    <w:rsid w:val="00E95DB1"/>
    <w:rsid w:val="00E96183"/>
    <w:rsid w:val="00E96326"/>
    <w:rsid w:val="00E9681F"/>
    <w:rsid w:val="00E96B15"/>
    <w:rsid w:val="00E96CBC"/>
    <w:rsid w:val="00E96F24"/>
    <w:rsid w:val="00E96F2D"/>
    <w:rsid w:val="00E9703D"/>
    <w:rsid w:val="00E97566"/>
    <w:rsid w:val="00E97AB8"/>
    <w:rsid w:val="00E97E6F"/>
    <w:rsid w:val="00EA021F"/>
    <w:rsid w:val="00EA0881"/>
    <w:rsid w:val="00EA111C"/>
    <w:rsid w:val="00EA11AB"/>
    <w:rsid w:val="00EA131A"/>
    <w:rsid w:val="00EA1394"/>
    <w:rsid w:val="00EA14A0"/>
    <w:rsid w:val="00EA213B"/>
    <w:rsid w:val="00EA2670"/>
    <w:rsid w:val="00EA290F"/>
    <w:rsid w:val="00EA2E7C"/>
    <w:rsid w:val="00EA2F92"/>
    <w:rsid w:val="00EA2F93"/>
    <w:rsid w:val="00EA30C3"/>
    <w:rsid w:val="00EA3A81"/>
    <w:rsid w:val="00EA3B23"/>
    <w:rsid w:val="00EA403B"/>
    <w:rsid w:val="00EA41FB"/>
    <w:rsid w:val="00EA43AE"/>
    <w:rsid w:val="00EA458F"/>
    <w:rsid w:val="00EA4660"/>
    <w:rsid w:val="00EA4CA0"/>
    <w:rsid w:val="00EA4DC2"/>
    <w:rsid w:val="00EA517A"/>
    <w:rsid w:val="00EA5597"/>
    <w:rsid w:val="00EA5615"/>
    <w:rsid w:val="00EA57A6"/>
    <w:rsid w:val="00EA5DB2"/>
    <w:rsid w:val="00EA6533"/>
    <w:rsid w:val="00EA65AE"/>
    <w:rsid w:val="00EA68E8"/>
    <w:rsid w:val="00EA6C9B"/>
    <w:rsid w:val="00EA6EAB"/>
    <w:rsid w:val="00EA7096"/>
    <w:rsid w:val="00EA76AF"/>
    <w:rsid w:val="00EA78CF"/>
    <w:rsid w:val="00EA7A53"/>
    <w:rsid w:val="00EA7C26"/>
    <w:rsid w:val="00EB03BE"/>
    <w:rsid w:val="00EB095F"/>
    <w:rsid w:val="00EB0C41"/>
    <w:rsid w:val="00EB0D55"/>
    <w:rsid w:val="00EB138A"/>
    <w:rsid w:val="00EB17F0"/>
    <w:rsid w:val="00EB19EA"/>
    <w:rsid w:val="00EB1A14"/>
    <w:rsid w:val="00EB1AA2"/>
    <w:rsid w:val="00EB1AD7"/>
    <w:rsid w:val="00EB1CB6"/>
    <w:rsid w:val="00EB1D41"/>
    <w:rsid w:val="00EB1D6E"/>
    <w:rsid w:val="00EB1FEB"/>
    <w:rsid w:val="00EB2026"/>
    <w:rsid w:val="00EB2232"/>
    <w:rsid w:val="00EB235E"/>
    <w:rsid w:val="00EB2456"/>
    <w:rsid w:val="00EB2610"/>
    <w:rsid w:val="00EB265D"/>
    <w:rsid w:val="00EB2BFC"/>
    <w:rsid w:val="00EB2E8D"/>
    <w:rsid w:val="00EB3265"/>
    <w:rsid w:val="00EB33B6"/>
    <w:rsid w:val="00EB33E8"/>
    <w:rsid w:val="00EB37B7"/>
    <w:rsid w:val="00EB3B84"/>
    <w:rsid w:val="00EB3E3A"/>
    <w:rsid w:val="00EB47C7"/>
    <w:rsid w:val="00EB47E3"/>
    <w:rsid w:val="00EB4D2E"/>
    <w:rsid w:val="00EB5AC5"/>
    <w:rsid w:val="00EB5C86"/>
    <w:rsid w:val="00EB60E2"/>
    <w:rsid w:val="00EB618B"/>
    <w:rsid w:val="00EB6602"/>
    <w:rsid w:val="00EB6820"/>
    <w:rsid w:val="00EB694F"/>
    <w:rsid w:val="00EB69B3"/>
    <w:rsid w:val="00EB6BD8"/>
    <w:rsid w:val="00EB7291"/>
    <w:rsid w:val="00EB75E0"/>
    <w:rsid w:val="00EB76B6"/>
    <w:rsid w:val="00EB772E"/>
    <w:rsid w:val="00EB775C"/>
    <w:rsid w:val="00EB7913"/>
    <w:rsid w:val="00EB794E"/>
    <w:rsid w:val="00EB7ADB"/>
    <w:rsid w:val="00EC020B"/>
    <w:rsid w:val="00EC029F"/>
    <w:rsid w:val="00EC06DD"/>
    <w:rsid w:val="00EC0715"/>
    <w:rsid w:val="00EC0A1D"/>
    <w:rsid w:val="00EC0A74"/>
    <w:rsid w:val="00EC1165"/>
    <w:rsid w:val="00EC169D"/>
    <w:rsid w:val="00EC17DB"/>
    <w:rsid w:val="00EC1846"/>
    <w:rsid w:val="00EC1DD9"/>
    <w:rsid w:val="00EC1F09"/>
    <w:rsid w:val="00EC2379"/>
    <w:rsid w:val="00EC2567"/>
    <w:rsid w:val="00EC270C"/>
    <w:rsid w:val="00EC283E"/>
    <w:rsid w:val="00EC2973"/>
    <w:rsid w:val="00EC2DF6"/>
    <w:rsid w:val="00EC2F2E"/>
    <w:rsid w:val="00EC37BD"/>
    <w:rsid w:val="00EC386B"/>
    <w:rsid w:val="00EC397F"/>
    <w:rsid w:val="00EC3E4B"/>
    <w:rsid w:val="00EC47E9"/>
    <w:rsid w:val="00EC4863"/>
    <w:rsid w:val="00EC48D0"/>
    <w:rsid w:val="00EC4A3C"/>
    <w:rsid w:val="00EC4AF8"/>
    <w:rsid w:val="00EC4B4B"/>
    <w:rsid w:val="00EC4DAA"/>
    <w:rsid w:val="00EC507D"/>
    <w:rsid w:val="00EC6518"/>
    <w:rsid w:val="00EC659B"/>
    <w:rsid w:val="00EC6A0C"/>
    <w:rsid w:val="00EC6D13"/>
    <w:rsid w:val="00EC7C07"/>
    <w:rsid w:val="00ED0089"/>
    <w:rsid w:val="00ED043B"/>
    <w:rsid w:val="00ED0705"/>
    <w:rsid w:val="00ED1F4B"/>
    <w:rsid w:val="00ED1F9B"/>
    <w:rsid w:val="00ED2798"/>
    <w:rsid w:val="00ED2C1C"/>
    <w:rsid w:val="00ED3185"/>
    <w:rsid w:val="00ED31C8"/>
    <w:rsid w:val="00ED3A24"/>
    <w:rsid w:val="00ED3DBE"/>
    <w:rsid w:val="00ED3EA9"/>
    <w:rsid w:val="00ED3FCF"/>
    <w:rsid w:val="00ED4133"/>
    <w:rsid w:val="00ED433C"/>
    <w:rsid w:val="00ED4516"/>
    <w:rsid w:val="00ED4802"/>
    <w:rsid w:val="00ED493E"/>
    <w:rsid w:val="00ED4956"/>
    <w:rsid w:val="00ED4CA6"/>
    <w:rsid w:val="00ED4D3F"/>
    <w:rsid w:val="00ED56D7"/>
    <w:rsid w:val="00ED5716"/>
    <w:rsid w:val="00ED57BC"/>
    <w:rsid w:val="00ED57CF"/>
    <w:rsid w:val="00ED5867"/>
    <w:rsid w:val="00ED6083"/>
    <w:rsid w:val="00ED6177"/>
    <w:rsid w:val="00ED61C7"/>
    <w:rsid w:val="00ED6271"/>
    <w:rsid w:val="00ED6A07"/>
    <w:rsid w:val="00ED6D39"/>
    <w:rsid w:val="00ED76CA"/>
    <w:rsid w:val="00EE0049"/>
    <w:rsid w:val="00EE00F4"/>
    <w:rsid w:val="00EE01CF"/>
    <w:rsid w:val="00EE0272"/>
    <w:rsid w:val="00EE0408"/>
    <w:rsid w:val="00EE0549"/>
    <w:rsid w:val="00EE0879"/>
    <w:rsid w:val="00EE0917"/>
    <w:rsid w:val="00EE0BC4"/>
    <w:rsid w:val="00EE1107"/>
    <w:rsid w:val="00EE11D5"/>
    <w:rsid w:val="00EE1234"/>
    <w:rsid w:val="00EE12E8"/>
    <w:rsid w:val="00EE1632"/>
    <w:rsid w:val="00EE18A7"/>
    <w:rsid w:val="00EE264A"/>
    <w:rsid w:val="00EE27AC"/>
    <w:rsid w:val="00EE2AD2"/>
    <w:rsid w:val="00EE2C93"/>
    <w:rsid w:val="00EE2D43"/>
    <w:rsid w:val="00EE2E8F"/>
    <w:rsid w:val="00EE35CA"/>
    <w:rsid w:val="00EE364D"/>
    <w:rsid w:val="00EE3776"/>
    <w:rsid w:val="00EE3C3F"/>
    <w:rsid w:val="00EE40FC"/>
    <w:rsid w:val="00EE44AC"/>
    <w:rsid w:val="00EE44F7"/>
    <w:rsid w:val="00EE4C2C"/>
    <w:rsid w:val="00EE4F69"/>
    <w:rsid w:val="00EE5049"/>
    <w:rsid w:val="00EE50D5"/>
    <w:rsid w:val="00EE50FE"/>
    <w:rsid w:val="00EE52AA"/>
    <w:rsid w:val="00EE52D5"/>
    <w:rsid w:val="00EE534E"/>
    <w:rsid w:val="00EE55C9"/>
    <w:rsid w:val="00EE55E4"/>
    <w:rsid w:val="00EE589C"/>
    <w:rsid w:val="00EE5C4F"/>
    <w:rsid w:val="00EE6041"/>
    <w:rsid w:val="00EE60DF"/>
    <w:rsid w:val="00EE685E"/>
    <w:rsid w:val="00EE6CCE"/>
    <w:rsid w:val="00EE6D7A"/>
    <w:rsid w:val="00EE6E93"/>
    <w:rsid w:val="00EE70C4"/>
    <w:rsid w:val="00EE74F2"/>
    <w:rsid w:val="00EE7698"/>
    <w:rsid w:val="00EE7706"/>
    <w:rsid w:val="00EE7CC7"/>
    <w:rsid w:val="00EF0027"/>
    <w:rsid w:val="00EF0108"/>
    <w:rsid w:val="00EF0149"/>
    <w:rsid w:val="00EF025A"/>
    <w:rsid w:val="00EF09D4"/>
    <w:rsid w:val="00EF0A93"/>
    <w:rsid w:val="00EF0C69"/>
    <w:rsid w:val="00EF0CA7"/>
    <w:rsid w:val="00EF0DE6"/>
    <w:rsid w:val="00EF0E7E"/>
    <w:rsid w:val="00EF10D4"/>
    <w:rsid w:val="00EF17CB"/>
    <w:rsid w:val="00EF19D7"/>
    <w:rsid w:val="00EF1A7C"/>
    <w:rsid w:val="00EF1F58"/>
    <w:rsid w:val="00EF1FA3"/>
    <w:rsid w:val="00EF2143"/>
    <w:rsid w:val="00EF26F8"/>
    <w:rsid w:val="00EF29FB"/>
    <w:rsid w:val="00EF2CE8"/>
    <w:rsid w:val="00EF317F"/>
    <w:rsid w:val="00EF35C6"/>
    <w:rsid w:val="00EF3642"/>
    <w:rsid w:val="00EF3762"/>
    <w:rsid w:val="00EF3779"/>
    <w:rsid w:val="00EF3865"/>
    <w:rsid w:val="00EF3BBA"/>
    <w:rsid w:val="00EF3CC1"/>
    <w:rsid w:val="00EF3F93"/>
    <w:rsid w:val="00EF406F"/>
    <w:rsid w:val="00EF43EA"/>
    <w:rsid w:val="00EF477B"/>
    <w:rsid w:val="00EF4861"/>
    <w:rsid w:val="00EF48DD"/>
    <w:rsid w:val="00EF4999"/>
    <w:rsid w:val="00EF5403"/>
    <w:rsid w:val="00EF558F"/>
    <w:rsid w:val="00EF5712"/>
    <w:rsid w:val="00EF582A"/>
    <w:rsid w:val="00EF59DD"/>
    <w:rsid w:val="00EF5A06"/>
    <w:rsid w:val="00EF5BBC"/>
    <w:rsid w:val="00EF60DD"/>
    <w:rsid w:val="00EF61D5"/>
    <w:rsid w:val="00EF6413"/>
    <w:rsid w:val="00EF6677"/>
    <w:rsid w:val="00EF6864"/>
    <w:rsid w:val="00EF69F2"/>
    <w:rsid w:val="00EF6D58"/>
    <w:rsid w:val="00EF6EFA"/>
    <w:rsid w:val="00EF7198"/>
    <w:rsid w:val="00EF73FB"/>
    <w:rsid w:val="00EF7685"/>
    <w:rsid w:val="00EF7819"/>
    <w:rsid w:val="00EF7A7E"/>
    <w:rsid w:val="00EF7D8D"/>
    <w:rsid w:val="00EF7DD8"/>
    <w:rsid w:val="00EF7F80"/>
    <w:rsid w:val="00F00078"/>
    <w:rsid w:val="00F001D0"/>
    <w:rsid w:val="00F0021B"/>
    <w:rsid w:val="00F0038E"/>
    <w:rsid w:val="00F00438"/>
    <w:rsid w:val="00F0076E"/>
    <w:rsid w:val="00F0086C"/>
    <w:rsid w:val="00F00A2D"/>
    <w:rsid w:val="00F00B3A"/>
    <w:rsid w:val="00F011C3"/>
    <w:rsid w:val="00F01707"/>
    <w:rsid w:val="00F01929"/>
    <w:rsid w:val="00F01C56"/>
    <w:rsid w:val="00F01DB3"/>
    <w:rsid w:val="00F02320"/>
    <w:rsid w:val="00F023DE"/>
    <w:rsid w:val="00F0262D"/>
    <w:rsid w:val="00F0290E"/>
    <w:rsid w:val="00F02BE1"/>
    <w:rsid w:val="00F02C57"/>
    <w:rsid w:val="00F02CF7"/>
    <w:rsid w:val="00F03042"/>
    <w:rsid w:val="00F03361"/>
    <w:rsid w:val="00F0349C"/>
    <w:rsid w:val="00F034F9"/>
    <w:rsid w:val="00F03A4E"/>
    <w:rsid w:val="00F03CB8"/>
    <w:rsid w:val="00F0423D"/>
    <w:rsid w:val="00F0429B"/>
    <w:rsid w:val="00F04733"/>
    <w:rsid w:val="00F04AF4"/>
    <w:rsid w:val="00F04C94"/>
    <w:rsid w:val="00F04E39"/>
    <w:rsid w:val="00F05312"/>
    <w:rsid w:val="00F058B8"/>
    <w:rsid w:val="00F05A79"/>
    <w:rsid w:val="00F05CF7"/>
    <w:rsid w:val="00F06442"/>
    <w:rsid w:val="00F06665"/>
    <w:rsid w:val="00F06691"/>
    <w:rsid w:val="00F06833"/>
    <w:rsid w:val="00F0699B"/>
    <w:rsid w:val="00F06EA4"/>
    <w:rsid w:val="00F078E0"/>
    <w:rsid w:val="00F079D7"/>
    <w:rsid w:val="00F07B07"/>
    <w:rsid w:val="00F07B45"/>
    <w:rsid w:val="00F1002B"/>
    <w:rsid w:val="00F100BA"/>
    <w:rsid w:val="00F102D5"/>
    <w:rsid w:val="00F107E5"/>
    <w:rsid w:val="00F10B72"/>
    <w:rsid w:val="00F10C8E"/>
    <w:rsid w:val="00F10D98"/>
    <w:rsid w:val="00F11183"/>
    <w:rsid w:val="00F111D1"/>
    <w:rsid w:val="00F114D1"/>
    <w:rsid w:val="00F117B5"/>
    <w:rsid w:val="00F119EA"/>
    <w:rsid w:val="00F11C00"/>
    <w:rsid w:val="00F11DCC"/>
    <w:rsid w:val="00F11EA1"/>
    <w:rsid w:val="00F12053"/>
    <w:rsid w:val="00F125BF"/>
    <w:rsid w:val="00F126DF"/>
    <w:rsid w:val="00F1299B"/>
    <w:rsid w:val="00F12BDF"/>
    <w:rsid w:val="00F1304C"/>
    <w:rsid w:val="00F13607"/>
    <w:rsid w:val="00F139FC"/>
    <w:rsid w:val="00F14005"/>
    <w:rsid w:val="00F140D8"/>
    <w:rsid w:val="00F14976"/>
    <w:rsid w:val="00F15A10"/>
    <w:rsid w:val="00F15B18"/>
    <w:rsid w:val="00F15D3C"/>
    <w:rsid w:val="00F15E4E"/>
    <w:rsid w:val="00F15EDB"/>
    <w:rsid w:val="00F15F9D"/>
    <w:rsid w:val="00F161A1"/>
    <w:rsid w:val="00F167E6"/>
    <w:rsid w:val="00F16A7F"/>
    <w:rsid w:val="00F16C5B"/>
    <w:rsid w:val="00F16EA3"/>
    <w:rsid w:val="00F17517"/>
    <w:rsid w:val="00F1776B"/>
    <w:rsid w:val="00F17828"/>
    <w:rsid w:val="00F17A07"/>
    <w:rsid w:val="00F17DEB"/>
    <w:rsid w:val="00F20135"/>
    <w:rsid w:val="00F2024E"/>
    <w:rsid w:val="00F20505"/>
    <w:rsid w:val="00F20F04"/>
    <w:rsid w:val="00F2195E"/>
    <w:rsid w:val="00F222B8"/>
    <w:rsid w:val="00F224D7"/>
    <w:rsid w:val="00F2270E"/>
    <w:rsid w:val="00F22794"/>
    <w:rsid w:val="00F230DA"/>
    <w:rsid w:val="00F230F7"/>
    <w:rsid w:val="00F236B4"/>
    <w:rsid w:val="00F2392F"/>
    <w:rsid w:val="00F239B8"/>
    <w:rsid w:val="00F23A1D"/>
    <w:rsid w:val="00F23ECD"/>
    <w:rsid w:val="00F24055"/>
    <w:rsid w:val="00F243C3"/>
    <w:rsid w:val="00F24A9E"/>
    <w:rsid w:val="00F24AFA"/>
    <w:rsid w:val="00F24C83"/>
    <w:rsid w:val="00F250A2"/>
    <w:rsid w:val="00F2513D"/>
    <w:rsid w:val="00F251BD"/>
    <w:rsid w:val="00F253B3"/>
    <w:rsid w:val="00F25C73"/>
    <w:rsid w:val="00F26166"/>
    <w:rsid w:val="00F26432"/>
    <w:rsid w:val="00F265A9"/>
    <w:rsid w:val="00F265F8"/>
    <w:rsid w:val="00F266F4"/>
    <w:rsid w:val="00F26EA4"/>
    <w:rsid w:val="00F2700E"/>
    <w:rsid w:val="00F271C8"/>
    <w:rsid w:val="00F2730C"/>
    <w:rsid w:val="00F2789D"/>
    <w:rsid w:val="00F27A63"/>
    <w:rsid w:val="00F27C37"/>
    <w:rsid w:val="00F27C48"/>
    <w:rsid w:val="00F27F90"/>
    <w:rsid w:val="00F27FDF"/>
    <w:rsid w:val="00F301BA"/>
    <w:rsid w:val="00F30626"/>
    <w:rsid w:val="00F30725"/>
    <w:rsid w:val="00F30A9B"/>
    <w:rsid w:val="00F3122B"/>
    <w:rsid w:val="00F31250"/>
    <w:rsid w:val="00F31434"/>
    <w:rsid w:val="00F319EC"/>
    <w:rsid w:val="00F31AF3"/>
    <w:rsid w:val="00F31F1C"/>
    <w:rsid w:val="00F3210D"/>
    <w:rsid w:val="00F32287"/>
    <w:rsid w:val="00F323AA"/>
    <w:rsid w:val="00F325DE"/>
    <w:rsid w:val="00F327DA"/>
    <w:rsid w:val="00F32A66"/>
    <w:rsid w:val="00F3312B"/>
    <w:rsid w:val="00F333AF"/>
    <w:rsid w:val="00F333CA"/>
    <w:rsid w:val="00F334AE"/>
    <w:rsid w:val="00F335DF"/>
    <w:rsid w:val="00F33723"/>
    <w:rsid w:val="00F33A00"/>
    <w:rsid w:val="00F33D31"/>
    <w:rsid w:val="00F33DAA"/>
    <w:rsid w:val="00F33E65"/>
    <w:rsid w:val="00F34350"/>
    <w:rsid w:val="00F3453B"/>
    <w:rsid w:val="00F34D6E"/>
    <w:rsid w:val="00F35380"/>
    <w:rsid w:val="00F3561E"/>
    <w:rsid w:val="00F35AC6"/>
    <w:rsid w:val="00F35D36"/>
    <w:rsid w:val="00F36121"/>
    <w:rsid w:val="00F362BE"/>
    <w:rsid w:val="00F36779"/>
    <w:rsid w:val="00F3681E"/>
    <w:rsid w:val="00F36AD4"/>
    <w:rsid w:val="00F36D3D"/>
    <w:rsid w:val="00F375FF"/>
    <w:rsid w:val="00F37692"/>
    <w:rsid w:val="00F37D5D"/>
    <w:rsid w:val="00F37D80"/>
    <w:rsid w:val="00F40364"/>
    <w:rsid w:val="00F40393"/>
    <w:rsid w:val="00F4078D"/>
    <w:rsid w:val="00F407FD"/>
    <w:rsid w:val="00F40A91"/>
    <w:rsid w:val="00F40CD0"/>
    <w:rsid w:val="00F41455"/>
    <w:rsid w:val="00F4174F"/>
    <w:rsid w:val="00F41971"/>
    <w:rsid w:val="00F419F2"/>
    <w:rsid w:val="00F41B92"/>
    <w:rsid w:val="00F41EA8"/>
    <w:rsid w:val="00F41EB4"/>
    <w:rsid w:val="00F42016"/>
    <w:rsid w:val="00F42059"/>
    <w:rsid w:val="00F427BE"/>
    <w:rsid w:val="00F42BAA"/>
    <w:rsid w:val="00F42C34"/>
    <w:rsid w:val="00F42D23"/>
    <w:rsid w:val="00F42F3C"/>
    <w:rsid w:val="00F432EA"/>
    <w:rsid w:val="00F433A6"/>
    <w:rsid w:val="00F435C5"/>
    <w:rsid w:val="00F4416D"/>
    <w:rsid w:val="00F442D7"/>
    <w:rsid w:val="00F4430C"/>
    <w:rsid w:val="00F4444E"/>
    <w:rsid w:val="00F4458B"/>
    <w:rsid w:val="00F4476A"/>
    <w:rsid w:val="00F44B40"/>
    <w:rsid w:val="00F44E3C"/>
    <w:rsid w:val="00F44F86"/>
    <w:rsid w:val="00F45289"/>
    <w:rsid w:val="00F4535F"/>
    <w:rsid w:val="00F453DE"/>
    <w:rsid w:val="00F455E1"/>
    <w:rsid w:val="00F45A8C"/>
    <w:rsid w:val="00F45B7C"/>
    <w:rsid w:val="00F45C07"/>
    <w:rsid w:val="00F46094"/>
    <w:rsid w:val="00F463EA"/>
    <w:rsid w:val="00F4658A"/>
    <w:rsid w:val="00F467CC"/>
    <w:rsid w:val="00F468AA"/>
    <w:rsid w:val="00F46928"/>
    <w:rsid w:val="00F46A7C"/>
    <w:rsid w:val="00F46BF2"/>
    <w:rsid w:val="00F46EC7"/>
    <w:rsid w:val="00F47046"/>
    <w:rsid w:val="00F47180"/>
    <w:rsid w:val="00F475BB"/>
    <w:rsid w:val="00F47787"/>
    <w:rsid w:val="00F502EB"/>
    <w:rsid w:val="00F50AF8"/>
    <w:rsid w:val="00F50B26"/>
    <w:rsid w:val="00F50B66"/>
    <w:rsid w:val="00F50BE8"/>
    <w:rsid w:val="00F50CD6"/>
    <w:rsid w:val="00F5114B"/>
    <w:rsid w:val="00F5146E"/>
    <w:rsid w:val="00F51ECA"/>
    <w:rsid w:val="00F523D3"/>
    <w:rsid w:val="00F5272F"/>
    <w:rsid w:val="00F529C2"/>
    <w:rsid w:val="00F5304F"/>
    <w:rsid w:val="00F530B8"/>
    <w:rsid w:val="00F5361A"/>
    <w:rsid w:val="00F53B48"/>
    <w:rsid w:val="00F53B70"/>
    <w:rsid w:val="00F53B9F"/>
    <w:rsid w:val="00F53C2A"/>
    <w:rsid w:val="00F53DEF"/>
    <w:rsid w:val="00F54178"/>
    <w:rsid w:val="00F5449F"/>
    <w:rsid w:val="00F54540"/>
    <w:rsid w:val="00F54A6C"/>
    <w:rsid w:val="00F54C56"/>
    <w:rsid w:val="00F5500A"/>
    <w:rsid w:val="00F550C0"/>
    <w:rsid w:val="00F55694"/>
    <w:rsid w:val="00F558D7"/>
    <w:rsid w:val="00F55B47"/>
    <w:rsid w:val="00F55D4E"/>
    <w:rsid w:val="00F55DEF"/>
    <w:rsid w:val="00F55E32"/>
    <w:rsid w:val="00F56285"/>
    <w:rsid w:val="00F56394"/>
    <w:rsid w:val="00F5642D"/>
    <w:rsid w:val="00F56432"/>
    <w:rsid w:val="00F56B78"/>
    <w:rsid w:val="00F5706C"/>
    <w:rsid w:val="00F57479"/>
    <w:rsid w:val="00F575CF"/>
    <w:rsid w:val="00F5799E"/>
    <w:rsid w:val="00F579CA"/>
    <w:rsid w:val="00F579DD"/>
    <w:rsid w:val="00F606BB"/>
    <w:rsid w:val="00F607DC"/>
    <w:rsid w:val="00F6085D"/>
    <w:rsid w:val="00F60882"/>
    <w:rsid w:val="00F60EF4"/>
    <w:rsid w:val="00F60F82"/>
    <w:rsid w:val="00F61368"/>
    <w:rsid w:val="00F61590"/>
    <w:rsid w:val="00F615A6"/>
    <w:rsid w:val="00F6167A"/>
    <w:rsid w:val="00F6171E"/>
    <w:rsid w:val="00F61792"/>
    <w:rsid w:val="00F617E6"/>
    <w:rsid w:val="00F61FA0"/>
    <w:rsid w:val="00F6210F"/>
    <w:rsid w:val="00F625E1"/>
    <w:rsid w:val="00F6274F"/>
    <w:rsid w:val="00F6289E"/>
    <w:rsid w:val="00F62A11"/>
    <w:rsid w:val="00F62BF4"/>
    <w:rsid w:val="00F637B7"/>
    <w:rsid w:val="00F637C4"/>
    <w:rsid w:val="00F63890"/>
    <w:rsid w:val="00F63980"/>
    <w:rsid w:val="00F63B8E"/>
    <w:rsid w:val="00F63BE7"/>
    <w:rsid w:val="00F64149"/>
    <w:rsid w:val="00F643D6"/>
    <w:rsid w:val="00F64636"/>
    <w:rsid w:val="00F647DA"/>
    <w:rsid w:val="00F64A2A"/>
    <w:rsid w:val="00F64B57"/>
    <w:rsid w:val="00F64BDC"/>
    <w:rsid w:val="00F64C0C"/>
    <w:rsid w:val="00F64EF8"/>
    <w:rsid w:val="00F6547F"/>
    <w:rsid w:val="00F65498"/>
    <w:rsid w:val="00F6551B"/>
    <w:rsid w:val="00F65646"/>
    <w:rsid w:val="00F656B7"/>
    <w:rsid w:val="00F6589B"/>
    <w:rsid w:val="00F66138"/>
    <w:rsid w:val="00F6648A"/>
    <w:rsid w:val="00F6660B"/>
    <w:rsid w:val="00F66880"/>
    <w:rsid w:val="00F668C9"/>
    <w:rsid w:val="00F66949"/>
    <w:rsid w:val="00F67316"/>
    <w:rsid w:val="00F67969"/>
    <w:rsid w:val="00F67D4D"/>
    <w:rsid w:val="00F67DF7"/>
    <w:rsid w:val="00F70729"/>
    <w:rsid w:val="00F707AA"/>
    <w:rsid w:val="00F707E8"/>
    <w:rsid w:val="00F70D62"/>
    <w:rsid w:val="00F70F0B"/>
    <w:rsid w:val="00F715C0"/>
    <w:rsid w:val="00F71866"/>
    <w:rsid w:val="00F719EC"/>
    <w:rsid w:val="00F71DA9"/>
    <w:rsid w:val="00F71F57"/>
    <w:rsid w:val="00F71F74"/>
    <w:rsid w:val="00F72063"/>
    <w:rsid w:val="00F720C5"/>
    <w:rsid w:val="00F7232B"/>
    <w:rsid w:val="00F72A44"/>
    <w:rsid w:val="00F72B33"/>
    <w:rsid w:val="00F72B76"/>
    <w:rsid w:val="00F72DC6"/>
    <w:rsid w:val="00F72F1D"/>
    <w:rsid w:val="00F730E3"/>
    <w:rsid w:val="00F732B4"/>
    <w:rsid w:val="00F733E1"/>
    <w:rsid w:val="00F73701"/>
    <w:rsid w:val="00F73733"/>
    <w:rsid w:val="00F7373D"/>
    <w:rsid w:val="00F740F1"/>
    <w:rsid w:val="00F7420E"/>
    <w:rsid w:val="00F7424C"/>
    <w:rsid w:val="00F7457F"/>
    <w:rsid w:val="00F746AC"/>
    <w:rsid w:val="00F748F6"/>
    <w:rsid w:val="00F75098"/>
    <w:rsid w:val="00F7561A"/>
    <w:rsid w:val="00F75D51"/>
    <w:rsid w:val="00F75DBB"/>
    <w:rsid w:val="00F76148"/>
    <w:rsid w:val="00F76549"/>
    <w:rsid w:val="00F7658E"/>
    <w:rsid w:val="00F76BF0"/>
    <w:rsid w:val="00F76F29"/>
    <w:rsid w:val="00F76F9D"/>
    <w:rsid w:val="00F76FA2"/>
    <w:rsid w:val="00F77241"/>
    <w:rsid w:val="00F7735A"/>
    <w:rsid w:val="00F77500"/>
    <w:rsid w:val="00F777EA"/>
    <w:rsid w:val="00F7782C"/>
    <w:rsid w:val="00F77A3C"/>
    <w:rsid w:val="00F77B12"/>
    <w:rsid w:val="00F77E28"/>
    <w:rsid w:val="00F80138"/>
    <w:rsid w:val="00F802E6"/>
    <w:rsid w:val="00F8048E"/>
    <w:rsid w:val="00F805F5"/>
    <w:rsid w:val="00F80650"/>
    <w:rsid w:val="00F80A84"/>
    <w:rsid w:val="00F80BD7"/>
    <w:rsid w:val="00F80C36"/>
    <w:rsid w:val="00F80C76"/>
    <w:rsid w:val="00F81194"/>
    <w:rsid w:val="00F811B8"/>
    <w:rsid w:val="00F811CF"/>
    <w:rsid w:val="00F81595"/>
    <w:rsid w:val="00F817F9"/>
    <w:rsid w:val="00F818DE"/>
    <w:rsid w:val="00F819D2"/>
    <w:rsid w:val="00F822CC"/>
    <w:rsid w:val="00F8235D"/>
    <w:rsid w:val="00F82458"/>
    <w:rsid w:val="00F8250C"/>
    <w:rsid w:val="00F825A9"/>
    <w:rsid w:val="00F82ACD"/>
    <w:rsid w:val="00F82C04"/>
    <w:rsid w:val="00F82E8D"/>
    <w:rsid w:val="00F82F93"/>
    <w:rsid w:val="00F83854"/>
    <w:rsid w:val="00F838AF"/>
    <w:rsid w:val="00F83A2A"/>
    <w:rsid w:val="00F83B6E"/>
    <w:rsid w:val="00F83E13"/>
    <w:rsid w:val="00F8409C"/>
    <w:rsid w:val="00F841BD"/>
    <w:rsid w:val="00F84215"/>
    <w:rsid w:val="00F84735"/>
    <w:rsid w:val="00F84816"/>
    <w:rsid w:val="00F84DFF"/>
    <w:rsid w:val="00F84FEB"/>
    <w:rsid w:val="00F85507"/>
    <w:rsid w:val="00F85667"/>
    <w:rsid w:val="00F859E7"/>
    <w:rsid w:val="00F85AB5"/>
    <w:rsid w:val="00F85EC2"/>
    <w:rsid w:val="00F868DC"/>
    <w:rsid w:val="00F868E4"/>
    <w:rsid w:val="00F86B39"/>
    <w:rsid w:val="00F87260"/>
    <w:rsid w:val="00F875EF"/>
    <w:rsid w:val="00F900DA"/>
    <w:rsid w:val="00F901B7"/>
    <w:rsid w:val="00F9023F"/>
    <w:rsid w:val="00F9084A"/>
    <w:rsid w:val="00F911EA"/>
    <w:rsid w:val="00F91590"/>
    <w:rsid w:val="00F91D61"/>
    <w:rsid w:val="00F921DE"/>
    <w:rsid w:val="00F9225F"/>
    <w:rsid w:val="00F9291A"/>
    <w:rsid w:val="00F92B08"/>
    <w:rsid w:val="00F92CB8"/>
    <w:rsid w:val="00F92F00"/>
    <w:rsid w:val="00F930DE"/>
    <w:rsid w:val="00F9335E"/>
    <w:rsid w:val="00F934EB"/>
    <w:rsid w:val="00F9363A"/>
    <w:rsid w:val="00F936E7"/>
    <w:rsid w:val="00F93B80"/>
    <w:rsid w:val="00F93C53"/>
    <w:rsid w:val="00F93E6A"/>
    <w:rsid w:val="00F94441"/>
    <w:rsid w:val="00F944E9"/>
    <w:rsid w:val="00F94653"/>
    <w:rsid w:val="00F94815"/>
    <w:rsid w:val="00F94AB8"/>
    <w:rsid w:val="00F9509B"/>
    <w:rsid w:val="00F952F6"/>
    <w:rsid w:val="00F9544D"/>
    <w:rsid w:val="00F95543"/>
    <w:rsid w:val="00F95704"/>
    <w:rsid w:val="00F957DF"/>
    <w:rsid w:val="00F95904"/>
    <w:rsid w:val="00F9590B"/>
    <w:rsid w:val="00F95C52"/>
    <w:rsid w:val="00F95CF3"/>
    <w:rsid w:val="00F95F07"/>
    <w:rsid w:val="00F962A0"/>
    <w:rsid w:val="00F962FA"/>
    <w:rsid w:val="00F966F7"/>
    <w:rsid w:val="00F96B3A"/>
    <w:rsid w:val="00F97145"/>
    <w:rsid w:val="00F97228"/>
    <w:rsid w:val="00F977D1"/>
    <w:rsid w:val="00F97AA7"/>
    <w:rsid w:val="00F97C27"/>
    <w:rsid w:val="00FA044B"/>
    <w:rsid w:val="00FA06B0"/>
    <w:rsid w:val="00FA0D1C"/>
    <w:rsid w:val="00FA0F18"/>
    <w:rsid w:val="00FA16F0"/>
    <w:rsid w:val="00FA16FA"/>
    <w:rsid w:val="00FA1892"/>
    <w:rsid w:val="00FA1904"/>
    <w:rsid w:val="00FA192E"/>
    <w:rsid w:val="00FA2014"/>
    <w:rsid w:val="00FA2244"/>
    <w:rsid w:val="00FA2E0E"/>
    <w:rsid w:val="00FA2E0F"/>
    <w:rsid w:val="00FA3214"/>
    <w:rsid w:val="00FA345B"/>
    <w:rsid w:val="00FA3A3D"/>
    <w:rsid w:val="00FA3B6C"/>
    <w:rsid w:val="00FA3B96"/>
    <w:rsid w:val="00FA3C2F"/>
    <w:rsid w:val="00FA3F0C"/>
    <w:rsid w:val="00FA421D"/>
    <w:rsid w:val="00FA446A"/>
    <w:rsid w:val="00FA4548"/>
    <w:rsid w:val="00FA4A3D"/>
    <w:rsid w:val="00FA50AC"/>
    <w:rsid w:val="00FA50D6"/>
    <w:rsid w:val="00FA540E"/>
    <w:rsid w:val="00FA562C"/>
    <w:rsid w:val="00FA5A34"/>
    <w:rsid w:val="00FA5B5C"/>
    <w:rsid w:val="00FA5C62"/>
    <w:rsid w:val="00FA5FA2"/>
    <w:rsid w:val="00FA6A68"/>
    <w:rsid w:val="00FA6D76"/>
    <w:rsid w:val="00FA6E52"/>
    <w:rsid w:val="00FA76AE"/>
    <w:rsid w:val="00FA7735"/>
    <w:rsid w:val="00FA7DC4"/>
    <w:rsid w:val="00FA7F26"/>
    <w:rsid w:val="00FB032C"/>
    <w:rsid w:val="00FB041F"/>
    <w:rsid w:val="00FB0495"/>
    <w:rsid w:val="00FB0871"/>
    <w:rsid w:val="00FB0922"/>
    <w:rsid w:val="00FB0B6C"/>
    <w:rsid w:val="00FB1069"/>
    <w:rsid w:val="00FB1124"/>
    <w:rsid w:val="00FB14C3"/>
    <w:rsid w:val="00FB15D5"/>
    <w:rsid w:val="00FB16DC"/>
    <w:rsid w:val="00FB1CC2"/>
    <w:rsid w:val="00FB1FD0"/>
    <w:rsid w:val="00FB2335"/>
    <w:rsid w:val="00FB24FA"/>
    <w:rsid w:val="00FB27C0"/>
    <w:rsid w:val="00FB2A24"/>
    <w:rsid w:val="00FB2D55"/>
    <w:rsid w:val="00FB2E40"/>
    <w:rsid w:val="00FB2E5E"/>
    <w:rsid w:val="00FB2FFF"/>
    <w:rsid w:val="00FB303D"/>
    <w:rsid w:val="00FB31D3"/>
    <w:rsid w:val="00FB3309"/>
    <w:rsid w:val="00FB36CD"/>
    <w:rsid w:val="00FB41BE"/>
    <w:rsid w:val="00FB4498"/>
    <w:rsid w:val="00FB4850"/>
    <w:rsid w:val="00FB4902"/>
    <w:rsid w:val="00FB4D48"/>
    <w:rsid w:val="00FB4EA2"/>
    <w:rsid w:val="00FB4EB9"/>
    <w:rsid w:val="00FB532A"/>
    <w:rsid w:val="00FB5A43"/>
    <w:rsid w:val="00FB5BD4"/>
    <w:rsid w:val="00FB5C28"/>
    <w:rsid w:val="00FB6244"/>
    <w:rsid w:val="00FB6B8F"/>
    <w:rsid w:val="00FB6BE8"/>
    <w:rsid w:val="00FB6F8F"/>
    <w:rsid w:val="00FB6FFE"/>
    <w:rsid w:val="00FB7280"/>
    <w:rsid w:val="00FB765F"/>
    <w:rsid w:val="00FB7DEA"/>
    <w:rsid w:val="00FB7FC5"/>
    <w:rsid w:val="00FC013F"/>
    <w:rsid w:val="00FC04FA"/>
    <w:rsid w:val="00FC0EAB"/>
    <w:rsid w:val="00FC106B"/>
    <w:rsid w:val="00FC1080"/>
    <w:rsid w:val="00FC11F6"/>
    <w:rsid w:val="00FC23A9"/>
    <w:rsid w:val="00FC3553"/>
    <w:rsid w:val="00FC368A"/>
    <w:rsid w:val="00FC3B59"/>
    <w:rsid w:val="00FC3B69"/>
    <w:rsid w:val="00FC3C89"/>
    <w:rsid w:val="00FC3E5C"/>
    <w:rsid w:val="00FC3E92"/>
    <w:rsid w:val="00FC3FCA"/>
    <w:rsid w:val="00FC43D2"/>
    <w:rsid w:val="00FC4578"/>
    <w:rsid w:val="00FC45A3"/>
    <w:rsid w:val="00FC4A66"/>
    <w:rsid w:val="00FC4AAC"/>
    <w:rsid w:val="00FC4F64"/>
    <w:rsid w:val="00FC50AA"/>
    <w:rsid w:val="00FC575E"/>
    <w:rsid w:val="00FC59D1"/>
    <w:rsid w:val="00FC5A2C"/>
    <w:rsid w:val="00FC5C26"/>
    <w:rsid w:val="00FC5DE1"/>
    <w:rsid w:val="00FC6194"/>
    <w:rsid w:val="00FC61A7"/>
    <w:rsid w:val="00FC6259"/>
    <w:rsid w:val="00FC68B7"/>
    <w:rsid w:val="00FC7198"/>
    <w:rsid w:val="00FC754D"/>
    <w:rsid w:val="00FC7A0D"/>
    <w:rsid w:val="00FC7BC5"/>
    <w:rsid w:val="00FC7DC6"/>
    <w:rsid w:val="00FD027B"/>
    <w:rsid w:val="00FD0882"/>
    <w:rsid w:val="00FD0AAB"/>
    <w:rsid w:val="00FD0ECA"/>
    <w:rsid w:val="00FD0FED"/>
    <w:rsid w:val="00FD11FA"/>
    <w:rsid w:val="00FD1349"/>
    <w:rsid w:val="00FD1A65"/>
    <w:rsid w:val="00FD2AD7"/>
    <w:rsid w:val="00FD2C40"/>
    <w:rsid w:val="00FD2CC9"/>
    <w:rsid w:val="00FD2DDE"/>
    <w:rsid w:val="00FD2EF5"/>
    <w:rsid w:val="00FD3296"/>
    <w:rsid w:val="00FD33C4"/>
    <w:rsid w:val="00FD36A3"/>
    <w:rsid w:val="00FD371C"/>
    <w:rsid w:val="00FD3AEF"/>
    <w:rsid w:val="00FD4427"/>
    <w:rsid w:val="00FD4521"/>
    <w:rsid w:val="00FD4764"/>
    <w:rsid w:val="00FD4C18"/>
    <w:rsid w:val="00FD4E14"/>
    <w:rsid w:val="00FD52DB"/>
    <w:rsid w:val="00FD5523"/>
    <w:rsid w:val="00FD595D"/>
    <w:rsid w:val="00FD5D6F"/>
    <w:rsid w:val="00FD5FA0"/>
    <w:rsid w:val="00FD62E7"/>
    <w:rsid w:val="00FD65AE"/>
    <w:rsid w:val="00FD67DB"/>
    <w:rsid w:val="00FD692A"/>
    <w:rsid w:val="00FD6E36"/>
    <w:rsid w:val="00FD6EF4"/>
    <w:rsid w:val="00FD712D"/>
    <w:rsid w:val="00FD721B"/>
    <w:rsid w:val="00FE0B8A"/>
    <w:rsid w:val="00FE0F18"/>
    <w:rsid w:val="00FE13E2"/>
    <w:rsid w:val="00FE20E8"/>
    <w:rsid w:val="00FE2453"/>
    <w:rsid w:val="00FE2624"/>
    <w:rsid w:val="00FE26E0"/>
    <w:rsid w:val="00FE2F19"/>
    <w:rsid w:val="00FE2FFF"/>
    <w:rsid w:val="00FE3824"/>
    <w:rsid w:val="00FE390C"/>
    <w:rsid w:val="00FE3CC5"/>
    <w:rsid w:val="00FE3D25"/>
    <w:rsid w:val="00FE3F50"/>
    <w:rsid w:val="00FE40F1"/>
    <w:rsid w:val="00FE43CE"/>
    <w:rsid w:val="00FE48E5"/>
    <w:rsid w:val="00FE4B3F"/>
    <w:rsid w:val="00FE4E8F"/>
    <w:rsid w:val="00FE5048"/>
    <w:rsid w:val="00FE5278"/>
    <w:rsid w:val="00FE565C"/>
    <w:rsid w:val="00FE5994"/>
    <w:rsid w:val="00FE5C1F"/>
    <w:rsid w:val="00FE5F03"/>
    <w:rsid w:val="00FE61A0"/>
    <w:rsid w:val="00FE62C5"/>
    <w:rsid w:val="00FE6371"/>
    <w:rsid w:val="00FE6B24"/>
    <w:rsid w:val="00FE6D4A"/>
    <w:rsid w:val="00FE72B2"/>
    <w:rsid w:val="00FE748C"/>
    <w:rsid w:val="00FE74FB"/>
    <w:rsid w:val="00FE77EF"/>
    <w:rsid w:val="00FE7911"/>
    <w:rsid w:val="00FE7A6D"/>
    <w:rsid w:val="00FE7B04"/>
    <w:rsid w:val="00FE7BE8"/>
    <w:rsid w:val="00FE7E3F"/>
    <w:rsid w:val="00FE7E69"/>
    <w:rsid w:val="00FF0015"/>
    <w:rsid w:val="00FF0686"/>
    <w:rsid w:val="00FF0AD6"/>
    <w:rsid w:val="00FF12BC"/>
    <w:rsid w:val="00FF13B9"/>
    <w:rsid w:val="00FF16A3"/>
    <w:rsid w:val="00FF1779"/>
    <w:rsid w:val="00FF1A1D"/>
    <w:rsid w:val="00FF1A76"/>
    <w:rsid w:val="00FF1BE7"/>
    <w:rsid w:val="00FF2286"/>
    <w:rsid w:val="00FF22FD"/>
    <w:rsid w:val="00FF2340"/>
    <w:rsid w:val="00FF246C"/>
    <w:rsid w:val="00FF28A4"/>
    <w:rsid w:val="00FF2A92"/>
    <w:rsid w:val="00FF3521"/>
    <w:rsid w:val="00FF3730"/>
    <w:rsid w:val="00FF3750"/>
    <w:rsid w:val="00FF3E98"/>
    <w:rsid w:val="00FF492B"/>
    <w:rsid w:val="00FF4AF3"/>
    <w:rsid w:val="00FF4C5E"/>
    <w:rsid w:val="00FF5387"/>
    <w:rsid w:val="00FF564E"/>
    <w:rsid w:val="00FF575F"/>
    <w:rsid w:val="00FF5801"/>
    <w:rsid w:val="00FF59C8"/>
    <w:rsid w:val="00FF5C5A"/>
    <w:rsid w:val="00FF61CC"/>
    <w:rsid w:val="00FF626A"/>
    <w:rsid w:val="00FF6478"/>
    <w:rsid w:val="00FF6B2F"/>
    <w:rsid w:val="00FF6C9C"/>
    <w:rsid w:val="00FF6D53"/>
    <w:rsid w:val="00FF6E41"/>
    <w:rsid w:val="00FF7108"/>
    <w:rsid w:val="00FF776B"/>
    <w:rsid w:val="00FF7848"/>
    <w:rsid w:val="00FF78AE"/>
    <w:rsid w:val="00FF7909"/>
    <w:rsid w:val="00FF7975"/>
    <w:rsid w:val="00FF7B42"/>
    <w:rsid w:val="00FF7C4A"/>
    <w:rsid w:val="00FF7F31"/>
    <w:rsid w:val="01A1176A"/>
    <w:rsid w:val="025068AC"/>
    <w:rsid w:val="0250E4D4"/>
    <w:rsid w:val="063FB217"/>
    <w:rsid w:val="08113603"/>
    <w:rsid w:val="083FFDA6"/>
    <w:rsid w:val="09ED1AF5"/>
    <w:rsid w:val="0A56CB64"/>
    <w:rsid w:val="0AD64FB7"/>
    <w:rsid w:val="0B0688EC"/>
    <w:rsid w:val="0B1E31E0"/>
    <w:rsid w:val="0B48ED5C"/>
    <w:rsid w:val="0B60EA83"/>
    <w:rsid w:val="0BC8E51D"/>
    <w:rsid w:val="0BE41ABB"/>
    <w:rsid w:val="0C5CC947"/>
    <w:rsid w:val="0C6E7305"/>
    <w:rsid w:val="0E1213A6"/>
    <w:rsid w:val="0E15F649"/>
    <w:rsid w:val="0FF55216"/>
    <w:rsid w:val="1047E509"/>
    <w:rsid w:val="105E81C0"/>
    <w:rsid w:val="10B0F6F8"/>
    <w:rsid w:val="112A81F5"/>
    <w:rsid w:val="115B4C2E"/>
    <w:rsid w:val="117EBAC3"/>
    <w:rsid w:val="121BB5EA"/>
    <w:rsid w:val="122A9259"/>
    <w:rsid w:val="12529D37"/>
    <w:rsid w:val="12E7CFDF"/>
    <w:rsid w:val="153A979C"/>
    <w:rsid w:val="1607A605"/>
    <w:rsid w:val="167B8529"/>
    <w:rsid w:val="17017567"/>
    <w:rsid w:val="17AEC684"/>
    <w:rsid w:val="17DEF363"/>
    <w:rsid w:val="17F42EF1"/>
    <w:rsid w:val="18EBF847"/>
    <w:rsid w:val="19938885"/>
    <w:rsid w:val="1A215A4C"/>
    <w:rsid w:val="1B44EF51"/>
    <w:rsid w:val="1B839730"/>
    <w:rsid w:val="1EE3AEC5"/>
    <w:rsid w:val="1F200DB0"/>
    <w:rsid w:val="1F6BD21A"/>
    <w:rsid w:val="1FCF3932"/>
    <w:rsid w:val="202F3471"/>
    <w:rsid w:val="20D7D43E"/>
    <w:rsid w:val="21ADE87E"/>
    <w:rsid w:val="220740F8"/>
    <w:rsid w:val="2269BB4C"/>
    <w:rsid w:val="2305F03B"/>
    <w:rsid w:val="24893620"/>
    <w:rsid w:val="25206919"/>
    <w:rsid w:val="2563F39F"/>
    <w:rsid w:val="25868B67"/>
    <w:rsid w:val="25A1B421"/>
    <w:rsid w:val="260AF150"/>
    <w:rsid w:val="2685E36E"/>
    <w:rsid w:val="26985D98"/>
    <w:rsid w:val="27607D24"/>
    <w:rsid w:val="27BBC787"/>
    <w:rsid w:val="291FC7D9"/>
    <w:rsid w:val="29225659"/>
    <w:rsid w:val="29FD0452"/>
    <w:rsid w:val="2A0DB68A"/>
    <w:rsid w:val="2A3038A9"/>
    <w:rsid w:val="2A888851"/>
    <w:rsid w:val="2AB21DA3"/>
    <w:rsid w:val="2AF866A5"/>
    <w:rsid w:val="2B75C3C3"/>
    <w:rsid w:val="2CF05D3C"/>
    <w:rsid w:val="2E076FB5"/>
    <w:rsid w:val="2E26C75F"/>
    <w:rsid w:val="2ED67444"/>
    <w:rsid w:val="2FCBA294"/>
    <w:rsid w:val="308D48D1"/>
    <w:rsid w:val="30ACF88D"/>
    <w:rsid w:val="317E0225"/>
    <w:rsid w:val="318954D3"/>
    <w:rsid w:val="31BB6870"/>
    <w:rsid w:val="31CFCC20"/>
    <w:rsid w:val="32A8FC08"/>
    <w:rsid w:val="32D6FF67"/>
    <w:rsid w:val="32EED839"/>
    <w:rsid w:val="34317150"/>
    <w:rsid w:val="345C6FAE"/>
    <w:rsid w:val="36026E83"/>
    <w:rsid w:val="36E326E4"/>
    <w:rsid w:val="37E1A0F2"/>
    <w:rsid w:val="38B70F83"/>
    <w:rsid w:val="39135E3D"/>
    <w:rsid w:val="3A1B578A"/>
    <w:rsid w:val="3A52483A"/>
    <w:rsid w:val="3B9C98DF"/>
    <w:rsid w:val="3BA4170F"/>
    <w:rsid w:val="3BFCA36E"/>
    <w:rsid w:val="3C0C24D1"/>
    <w:rsid w:val="3C3173EC"/>
    <w:rsid w:val="3C459EF6"/>
    <w:rsid w:val="3D0311BD"/>
    <w:rsid w:val="3E76F926"/>
    <w:rsid w:val="40A31BFC"/>
    <w:rsid w:val="40F81CBD"/>
    <w:rsid w:val="41781D84"/>
    <w:rsid w:val="417B0B9F"/>
    <w:rsid w:val="4280A4E6"/>
    <w:rsid w:val="432B6CF9"/>
    <w:rsid w:val="4414342B"/>
    <w:rsid w:val="4507A646"/>
    <w:rsid w:val="458F152C"/>
    <w:rsid w:val="45D07DD5"/>
    <w:rsid w:val="45FA1320"/>
    <w:rsid w:val="46CA8E2D"/>
    <w:rsid w:val="46CDA7B1"/>
    <w:rsid w:val="472B9C89"/>
    <w:rsid w:val="474EBB57"/>
    <w:rsid w:val="48858FC6"/>
    <w:rsid w:val="48F31941"/>
    <w:rsid w:val="49264955"/>
    <w:rsid w:val="49673B90"/>
    <w:rsid w:val="4A230FCA"/>
    <w:rsid w:val="4B268951"/>
    <w:rsid w:val="4B34F35D"/>
    <w:rsid w:val="4BC201D7"/>
    <w:rsid w:val="4C715919"/>
    <w:rsid w:val="4C833A61"/>
    <w:rsid w:val="4CBC059D"/>
    <w:rsid w:val="4CD811E7"/>
    <w:rsid w:val="4CFDE8A1"/>
    <w:rsid w:val="4D8EE7D6"/>
    <w:rsid w:val="4DBD04A2"/>
    <w:rsid w:val="4DFD19DC"/>
    <w:rsid w:val="4EC409F5"/>
    <w:rsid w:val="4F232FE0"/>
    <w:rsid w:val="4F94544E"/>
    <w:rsid w:val="50182665"/>
    <w:rsid w:val="50C40B32"/>
    <w:rsid w:val="519F8C14"/>
    <w:rsid w:val="51B160DA"/>
    <w:rsid w:val="53504D71"/>
    <w:rsid w:val="54486508"/>
    <w:rsid w:val="554CD9B5"/>
    <w:rsid w:val="55ABDB30"/>
    <w:rsid w:val="55E27250"/>
    <w:rsid w:val="5707ABEE"/>
    <w:rsid w:val="570DC5E8"/>
    <w:rsid w:val="57B62C23"/>
    <w:rsid w:val="58B334FB"/>
    <w:rsid w:val="59A78598"/>
    <w:rsid w:val="59C25231"/>
    <w:rsid w:val="59D3A49B"/>
    <w:rsid w:val="59E44180"/>
    <w:rsid w:val="5A742D5C"/>
    <w:rsid w:val="5AF98A05"/>
    <w:rsid w:val="5AFD0CEA"/>
    <w:rsid w:val="5CCD1ADE"/>
    <w:rsid w:val="5DBAC9CB"/>
    <w:rsid w:val="5E3096AC"/>
    <w:rsid w:val="5EEAE6F3"/>
    <w:rsid w:val="5F1874D9"/>
    <w:rsid w:val="5F1F6E3E"/>
    <w:rsid w:val="5F7DCBC0"/>
    <w:rsid w:val="5FAB2F48"/>
    <w:rsid w:val="60ACA72E"/>
    <w:rsid w:val="61CFEF29"/>
    <w:rsid w:val="61F325E4"/>
    <w:rsid w:val="6277D76D"/>
    <w:rsid w:val="62B72BBF"/>
    <w:rsid w:val="63100454"/>
    <w:rsid w:val="63D33C06"/>
    <w:rsid w:val="63DE43F6"/>
    <w:rsid w:val="649DC8CE"/>
    <w:rsid w:val="65086C06"/>
    <w:rsid w:val="6698782B"/>
    <w:rsid w:val="66CA45B3"/>
    <w:rsid w:val="670BC3E6"/>
    <w:rsid w:val="674AB655"/>
    <w:rsid w:val="6779EFC3"/>
    <w:rsid w:val="67CA31A4"/>
    <w:rsid w:val="68522E3C"/>
    <w:rsid w:val="697833D0"/>
    <w:rsid w:val="69934A03"/>
    <w:rsid w:val="699D9B8A"/>
    <w:rsid w:val="6A5221BF"/>
    <w:rsid w:val="6B25B5F0"/>
    <w:rsid w:val="6BE1004F"/>
    <w:rsid w:val="6C2D5C6A"/>
    <w:rsid w:val="6CE88B0D"/>
    <w:rsid w:val="6D08AD19"/>
    <w:rsid w:val="6D28A3C6"/>
    <w:rsid w:val="6D4C7158"/>
    <w:rsid w:val="6E89F8F4"/>
    <w:rsid w:val="6F8F4993"/>
    <w:rsid w:val="6FA6E637"/>
    <w:rsid w:val="6FB6F7C6"/>
    <w:rsid w:val="6FC33CBA"/>
    <w:rsid w:val="70EFDE8E"/>
    <w:rsid w:val="711A8D60"/>
    <w:rsid w:val="72B48B8C"/>
    <w:rsid w:val="73005728"/>
    <w:rsid w:val="738BC01E"/>
    <w:rsid w:val="73A74AC3"/>
    <w:rsid w:val="7450BD5F"/>
    <w:rsid w:val="7751E1B2"/>
    <w:rsid w:val="77AC0E7B"/>
    <w:rsid w:val="77DD3ADD"/>
    <w:rsid w:val="7818949F"/>
    <w:rsid w:val="7857F389"/>
    <w:rsid w:val="7865B9D5"/>
    <w:rsid w:val="7891E4F4"/>
    <w:rsid w:val="7A67B18F"/>
    <w:rsid w:val="7B16D6A0"/>
    <w:rsid w:val="7C331000"/>
    <w:rsid w:val="7C363489"/>
    <w:rsid w:val="7C4EAC63"/>
    <w:rsid w:val="7C8BF0B9"/>
    <w:rsid w:val="7CB17A01"/>
    <w:rsid w:val="7CE15753"/>
    <w:rsid w:val="7D36F2E6"/>
    <w:rsid w:val="7D95FF2E"/>
    <w:rsid w:val="7DF73B2A"/>
    <w:rsid w:val="7F3831A4"/>
    <w:rsid w:val="7FC1BF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2"/>
    </o:shapelayout>
  </w:shapeDefaults>
  <w:decimalSymbol w:val=","/>
  <w:listSeparator w:val=";"/>
  <w14:docId w14:val="42EDC091"/>
  <w15:docId w15:val="{5BBD8810-2E66-4CEB-858D-68FF66029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kern w:val="3"/>
        <w:sz w:val="22"/>
        <w:szCs w:val="22"/>
        <w:lang w:val="en-GB" w:eastAsia="en-US" w:bidi="ar-SA"/>
      </w:rPr>
    </w:rPrDefault>
    <w:pPrDefault>
      <w:pPr>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933"/>
    <w:pPr>
      <w:suppressAutoHyphens/>
    </w:pPr>
  </w:style>
  <w:style w:type="paragraph" w:styleId="Heading1">
    <w:name w:val="heading 1"/>
    <w:basedOn w:val="Normal"/>
    <w:next w:val="Normal"/>
    <w:uiPriority w:val="9"/>
    <w:qFormat/>
    <w:pPr>
      <w:keepNext/>
      <w:keepLines/>
      <w:spacing w:before="240" w:after="0"/>
      <w:outlineLvl w:val="0"/>
    </w:pPr>
    <w:rPr>
      <w:rFonts w:ascii="Cambria" w:eastAsia="MS Gothic" w:hAnsi="Cambria" w:cs="Times New Roman"/>
      <w:color w:val="365F91"/>
      <w:sz w:val="32"/>
      <w:szCs w:val="32"/>
    </w:rPr>
  </w:style>
  <w:style w:type="paragraph" w:styleId="Heading2">
    <w:name w:val="heading 2"/>
    <w:basedOn w:val="Normal"/>
    <w:next w:val="Normal"/>
    <w:uiPriority w:val="9"/>
    <w:unhideWhenUsed/>
    <w:qFormat/>
    <w:pPr>
      <w:keepNext/>
      <w:keepLines/>
      <w:spacing w:before="40" w:after="0"/>
      <w:outlineLvl w:val="1"/>
    </w:pPr>
    <w:rPr>
      <w:rFonts w:ascii="Cambria" w:eastAsia="MS Gothic" w:hAnsi="Cambria" w:cs="Times New Roman"/>
      <w:color w:val="365F91"/>
      <w:sz w:val="26"/>
      <w:szCs w:val="26"/>
    </w:rPr>
  </w:style>
  <w:style w:type="paragraph" w:styleId="Heading3">
    <w:name w:val="heading 3"/>
    <w:basedOn w:val="Normal"/>
    <w:next w:val="Normal"/>
    <w:uiPriority w:val="9"/>
    <w:unhideWhenUsed/>
    <w:qFormat/>
    <w:pPr>
      <w:keepNext/>
      <w:keepLines/>
      <w:spacing w:before="40" w:after="0"/>
      <w:outlineLvl w:val="2"/>
    </w:pPr>
    <w:rPr>
      <w:rFonts w:ascii="Cambria" w:eastAsia="MS Gothic" w:hAnsi="Cambria" w:cs="Times New Roman"/>
      <w:color w:val="243F60"/>
      <w:sz w:val="24"/>
      <w:szCs w:val="24"/>
    </w:rPr>
  </w:style>
  <w:style w:type="paragraph" w:styleId="Heading4">
    <w:name w:val="heading 4"/>
    <w:basedOn w:val="Normal"/>
    <w:next w:val="Normal"/>
    <w:link w:val="Heading4Char"/>
    <w:uiPriority w:val="9"/>
    <w:unhideWhenUsed/>
    <w:qFormat/>
    <w:rsid w:val="00FE245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3">
    <w:name w:val="WW_OutlineListStyle_3"/>
    <w:basedOn w:val="NoList"/>
    <w:pPr>
      <w:numPr>
        <w:numId w:val="1"/>
      </w:numPr>
    </w:pPr>
  </w:style>
  <w:style w:type="paragraph" w:customStyle="1" w:styleId="Title4">
    <w:name w:val="Title4"/>
    <w:basedOn w:val="ListParagraph"/>
    <w:link w:val="Title4Char1"/>
    <w:rsid w:val="005F5D1E"/>
    <w:pPr>
      <w:numPr>
        <w:numId w:val="1"/>
      </w:numPr>
      <w:outlineLvl w:val="0"/>
    </w:pPr>
    <w:rPr>
      <w:rFonts w:cs="Times New Roman"/>
      <w:b/>
      <w:color w:val="000000"/>
      <w:szCs w:val="28"/>
    </w:rPr>
  </w:style>
  <w:style w:type="paragraph" w:customStyle="1" w:styleId="Title1">
    <w:name w:val="Title1"/>
    <w:basedOn w:val="Normal"/>
    <w:rsid w:val="00277334"/>
    <w:pPr>
      <w:outlineLvl w:val="1"/>
    </w:pPr>
    <w:rPr>
      <w:rFonts w:ascii="Times New Roman" w:hAnsi="Times New Roman" w:cs="Times New Roman"/>
      <w:b/>
      <w:bCs/>
      <w:color w:val="000000"/>
      <w:sz w:val="24"/>
      <w:szCs w:val="32"/>
      <w:lang w:val="en-IE"/>
    </w:rPr>
  </w:style>
  <w:style w:type="paragraph" w:customStyle="1" w:styleId="Title2">
    <w:name w:val="Title2"/>
    <w:basedOn w:val="Normal"/>
    <w:link w:val="Title2Char1"/>
    <w:pPr>
      <w:numPr>
        <w:ilvl w:val="2"/>
        <w:numId w:val="1"/>
      </w:numPr>
      <w:outlineLvl w:val="2"/>
    </w:pPr>
    <w:rPr>
      <w:rFonts w:ascii="Times New Roman" w:hAnsi="Times New Roman" w:cs="Times New Roman"/>
      <w:b/>
      <w:i/>
      <w:color w:val="000000"/>
      <w:sz w:val="24"/>
      <w:szCs w:val="24"/>
      <w:lang w:val="en-IE"/>
    </w:rPr>
  </w:style>
  <w:style w:type="paragraph" w:customStyle="1" w:styleId="Title3">
    <w:name w:val="Title3"/>
    <w:basedOn w:val="Normal"/>
    <w:rsid w:val="00E02751"/>
    <w:pPr>
      <w:ind w:left="288"/>
      <w:outlineLvl w:val="3"/>
    </w:pPr>
    <w:rPr>
      <w:rFonts w:ascii="Times New Roman" w:hAnsi="Times New Roman" w:cs="Times New Roman"/>
      <w:b/>
      <w:bCs/>
      <w:sz w:val="24"/>
      <w:szCs w:val="28"/>
      <w:lang w:val="en-I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ListParagraph">
    <w:name w:val="List Paragraph"/>
    <w:basedOn w:val="Normal"/>
    <w:link w:val="ListParagraphChar1"/>
    <w:uiPriority w:val="34"/>
    <w:qFormat/>
    <w:rsid w:val="00523743"/>
    <w:pPr>
      <w:spacing w:after="160" w:line="249" w:lineRule="auto"/>
      <w:ind w:left="720"/>
      <w:contextualSpacing/>
    </w:pPr>
    <w:rPr>
      <w:rFonts w:ascii="Times New Roman" w:hAnsi="Times New Roman"/>
      <w:lang w:val="en-IE"/>
    </w:rPr>
  </w:style>
  <w:style w:type="character" w:styleId="Hyperlink">
    <w:name w:val="Hyperlink"/>
    <w:basedOn w:val="DefaultParagraphFont"/>
    <w:uiPriority w:val="99"/>
    <w:qFormat/>
    <w:rPr>
      <w:color w:val="0000FF"/>
      <w:u w:val="single"/>
    </w:rPr>
  </w:style>
  <w:style w:type="paragraph" w:styleId="NormalWeb">
    <w:name w:val="Normal (Web)"/>
    <w:basedOn w:val="Normal"/>
    <w:uiPriority w:val="99"/>
    <w:pPr>
      <w:spacing w:before="100" w:after="100" w:line="240" w:lineRule="auto"/>
    </w:pPr>
    <w:rPr>
      <w:rFonts w:ascii="Times New Roman" w:eastAsia="Times New Roman" w:hAnsi="Times New Roman" w:cs="Times New Roman"/>
      <w:kern w:val="0"/>
      <w:sz w:val="24"/>
      <w:szCs w:val="24"/>
      <w:lang w:val="en-IE" w:eastAsia="en-IE"/>
    </w:rPr>
  </w:style>
  <w:style w:type="character" w:styleId="Emphasis">
    <w:name w:val="Emphasis"/>
    <w:basedOn w:val="DefaultParagraphFont"/>
    <w:qFormat/>
    <w:rPr>
      <w:i/>
      <w:iCs/>
    </w:rPr>
  </w:style>
  <w:style w:type="character" w:styleId="Strong">
    <w:name w:val="Strong"/>
    <w:basedOn w:val="DefaultParagraphFont"/>
    <w:qFormat/>
    <w:rPr>
      <w:b/>
      <w:bCs/>
    </w:rPr>
  </w:style>
  <w:style w:type="character" w:customStyle="1" w:styleId="UnresolvedMention1">
    <w:name w:val="Unresolved Mention1"/>
    <w:basedOn w:val="DefaultParagraphFont"/>
    <w:uiPriority w:val="99"/>
    <w:rPr>
      <w:color w:val="605E5C"/>
      <w:shd w:val="clear" w:color="auto" w:fill="E1DFDD"/>
    </w:rPr>
  </w:style>
  <w:style w:type="paragraph" w:customStyle="1" w:styleId="Paragraph">
    <w:name w:val="Paragraph"/>
    <w:basedOn w:val="Normal"/>
    <w:pPr>
      <w:spacing w:after="160" w:line="249" w:lineRule="auto"/>
      <w:jc w:val="both"/>
    </w:pPr>
    <w:rPr>
      <w:rFonts w:ascii="Times New Roman" w:eastAsia="Times New Roman" w:hAnsi="Times New Roman" w:cs="Times New Roman"/>
      <w:sz w:val="24"/>
      <w:szCs w:val="24"/>
    </w:rPr>
  </w:style>
  <w:style w:type="character" w:customStyle="1" w:styleId="ParagraphChar">
    <w:name w:val="Paragraph Char"/>
    <w:basedOn w:val="DefaultParagraphFont"/>
    <w:rPr>
      <w:rFonts w:ascii="Times New Roman" w:eastAsia="Times New Roman" w:hAnsi="Times New Roman" w:cs="Times New Roman"/>
      <w:sz w:val="24"/>
      <w:szCs w:val="24"/>
    </w:rPr>
  </w:style>
  <w:style w:type="paragraph" w:styleId="NoSpacing">
    <w:name w:val="No Spacing"/>
    <w:link w:val="NoSpacingChar"/>
    <w:uiPriority w:val="1"/>
    <w:qFormat/>
    <w:pPr>
      <w:suppressAutoHyphens/>
      <w:spacing w:after="0" w:line="240" w:lineRule="auto"/>
    </w:p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Title1Char">
    <w:name w:val="Title1 Char"/>
    <w:basedOn w:val="DefaultParagraphFont"/>
    <w:rPr>
      <w:rFonts w:ascii="Times New Roman" w:hAnsi="Times New Roman" w:cs="Times New Roman"/>
      <w:b/>
      <w:bCs/>
      <w:color w:val="000000"/>
      <w:sz w:val="24"/>
      <w:szCs w:val="32"/>
      <w:u w:val="single"/>
      <w:lang w:val="en-IE"/>
    </w:rPr>
  </w:style>
  <w:style w:type="character" w:customStyle="1" w:styleId="Title2Char">
    <w:name w:val="Title2 Char"/>
    <w:basedOn w:val="DefaultParagraphFont"/>
    <w:rPr>
      <w:rFonts w:ascii="Times New Roman" w:hAnsi="Times New Roman" w:cs="Times New Roman"/>
      <w:b/>
      <w:i/>
      <w:color w:val="000000"/>
      <w:sz w:val="24"/>
      <w:szCs w:val="24"/>
      <w:lang w:val="en-IE"/>
    </w:rPr>
  </w:style>
  <w:style w:type="paragraph" w:customStyle="1" w:styleId="Source">
    <w:name w:val="Source"/>
    <w:basedOn w:val="Paragraph"/>
    <w:rPr>
      <w:color w:val="000000"/>
      <w:sz w:val="20"/>
      <w:szCs w:val="20"/>
      <w:shd w:val="clear" w:color="auto" w:fill="FFFFFF"/>
    </w:rPr>
  </w:style>
  <w:style w:type="character" w:customStyle="1" w:styleId="SourceChar">
    <w:name w:val="Source Char"/>
    <w:basedOn w:val="ParagraphChar"/>
    <w:rPr>
      <w:rFonts w:ascii="Times New Roman" w:eastAsia="Times New Roman" w:hAnsi="Times New Roman" w:cs="Times New Roman"/>
      <w:color w:val="000000"/>
      <w:sz w:val="20"/>
      <w:szCs w:val="20"/>
    </w:rPr>
  </w:style>
  <w:style w:type="character" w:customStyle="1" w:styleId="Title3Char">
    <w:name w:val="Title3 Char"/>
    <w:basedOn w:val="DefaultParagraphFont"/>
    <w:rPr>
      <w:rFonts w:ascii="Times New Roman" w:hAnsi="Times New Roman" w:cs="Times New Roman"/>
      <w:b/>
      <w:bCs/>
      <w:sz w:val="24"/>
      <w:szCs w:val="28"/>
      <w:lang w:val="en-IE"/>
    </w:rPr>
  </w:style>
  <w:style w:type="character" w:customStyle="1" w:styleId="Heading1Char">
    <w:name w:val="Heading 1 Char"/>
    <w:basedOn w:val="DefaultParagraphFont"/>
    <w:rPr>
      <w:rFonts w:ascii="Cambria" w:eastAsia="MS Gothic" w:hAnsi="Cambria" w:cs="Times New Roman"/>
      <w:color w:val="365F91"/>
      <w:sz w:val="32"/>
      <w:szCs w:val="32"/>
    </w:rPr>
  </w:style>
  <w:style w:type="character" w:customStyle="1" w:styleId="Heading2Char">
    <w:name w:val="Heading 2 Char"/>
    <w:basedOn w:val="DefaultParagraphFont"/>
    <w:rPr>
      <w:rFonts w:ascii="Cambria" w:eastAsia="MS Gothic" w:hAnsi="Cambria" w:cs="Times New Roman"/>
      <w:color w:val="365F91"/>
      <w:sz w:val="26"/>
      <w:szCs w:val="26"/>
    </w:rPr>
  </w:style>
  <w:style w:type="character" w:customStyle="1" w:styleId="Heading3Char">
    <w:name w:val="Heading 3 Char"/>
    <w:basedOn w:val="DefaultParagraphFont"/>
    <w:rPr>
      <w:rFonts w:ascii="Cambria" w:eastAsia="MS Gothic" w:hAnsi="Cambria" w:cs="Times New Roman"/>
      <w:color w:val="243F60"/>
      <w:sz w:val="24"/>
      <w:szCs w:val="24"/>
    </w:rPr>
  </w:style>
  <w:style w:type="paragraph" w:styleId="TOCHeading">
    <w:name w:val="TOC Heading"/>
    <w:basedOn w:val="Heading1"/>
    <w:next w:val="Normal"/>
    <w:uiPriority w:val="39"/>
    <w:qFormat/>
    <w:pPr>
      <w:spacing w:line="249" w:lineRule="auto"/>
    </w:pPr>
    <w:rPr>
      <w:kern w:val="0"/>
      <w:lang w:val="en-US"/>
    </w:rPr>
  </w:style>
  <w:style w:type="paragraph" w:styleId="TOC2">
    <w:name w:val="toc 2"/>
    <w:basedOn w:val="Normal"/>
    <w:next w:val="Normal"/>
    <w:autoRedefine/>
    <w:uiPriority w:val="39"/>
    <w:rsid w:val="00CF1309"/>
    <w:pPr>
      <w:tabs>
        <w:tab w:val="left" w:pos="660"/>
        <w:tab w:val="right" w:leader="dot" w:pos="9016"/>
      </w:tabs>
      <w:spacing w:after="100" w:line="249" w:lineRule="auto"/>
      <w:ind w:left="220"/>
    </w:pPr>
    <w:rPr>
      <w:rFonts w:ascii="Times New Roman" w:eastAsia="MS Mincho" w:hAnsi="Times New Roman" w:cs="Times New Roman"/>
      <w:bCs/>
      <w:iCs/>
      <w:noProof/>
      <w:kern w:val="0"/>
      <w:lang w:val="en-IE"/>
    </w:rPr>
  </w:style>
  <w:style w:type="paragraph" w:styleId="TOC1">
    <w:name w:val="toc 1"/>
    <w:basedOn w:val="Normal"/>
    <w:next w:val="Normal"/>
    <w:autoRedefine/>
    <w:uiPriority w:val="39"/>
    <w:rsid w:val="0061285E"/>
    <w:pPr>
      <w:tabs>
        <w:tab w:val="left" w:pos="567"/>
        <w:tab w:val="right" w:leader="dot" w:pos="9016"/>
      </w:tabs>
      <w:spacing w:after="100" w:line="249" w:lineRule="auto"/>
    </w:pPr>
    <w:rPr>
      <w:rFonts w:ascii="Times New Roman" w:eastAsia="MS Mincho" w:hAnsi="Times New Roman" w:cs="Times New Roman"/>
      <w:b/>
      <w:bCs/>
      <w:noProof/>
      <w:kern w:val="0"/>
      <w:sz w:val="28"/>
      <w:szCs w:val="24"/>
      <w:lang w:val="en-IE"/>
    </w:rPr>
  </w:style>
  <w:style w:type="paragraph" w:styleId="TOC3">
    <w:name w:val="toc 3"/>
    <w:basedOn w:val="Normal"/>
    <w:next w:val="Normal"/>
    <w:autoRedefine/>
    <w:uiPriority w:val="39"/>
    <w:rsid w:val="001566B0"/>
    <w:pPr>
      <w:tabs>
        <w:tab w:val="left" w:pos="880"/>
        <w:tab w:val="right" w:leader="dot" w:pos="9016"/>
      </w:tabs>
      <w:spacing w:after="100" w:line="249" w:lineRule="auto"/>
      <w:ind w:left="440"/>
    </w:pPr>
    <w:rPr>
      <w:rFonts w:ascii="Times New Roman" w:eastAsia="MS Mincho" w:hAnsi="Times New Roman" w:cs="Times New Roman"/>
      <w:b/>
      <w:noProof/>
      <w:kern w:val="0"/>
      <w:lang w:val="en-US"/>
    </w:rPr>
  </w:style>
  <w:style w:type="paragraph" w:styleId="Caption">
    <w:name w:val="caption"/>
    <w:basedOn w:val="Normal"/>
    <w:next w:val="Normal"/>
    <w:pPr>
      <w:spacing w:line="240" w:lineRule="auto"/>
    </w:pPr>
    <w:rPr>
      <w:i/>
      <w:iCs/>
      <w:color w:val="1F497D"/>
      <w:sz w:val="18"/>
      <w:szCs w:val="18"/>
    </w:rPr>
  </w:style>
  <w:style w:type="paragraph" w:customStyle="1" w:styleId="Figurecaption">
    <w:name w:val="Figure caption"/>
    <w:basedOn w:val="Caption"/>
    <w:pPr>
      <w:keepNext/>
      <w:spacing w:after="160" w:line="192" w:lineRule="auto"/>
    </w:pPr>
    <w:rPr>
      <w:rFonts w:ascii="Times New Roman" w:hAnsi="Times New Roman"/>
      <w:i w:val="0"/>
      <w:color w:val="auto"/>
      <w:sz w:val="24"/>
    </w:rPr>
  </w:style>
  <w:style w:type="character" w:customStyle="1" w:styleId="CaptionChar">
    <w:name w:val="Caption Char"/>
    <w:basedOn w:val="DefaultParagraphFont"/>
    <w:rPr>
      <w:i/>
      <w:iCs/>
      <w:color w:val="1F497D"/>
      <w:sz w:val="18"/>
      <w:szCs w:val="18"/>
    </w:rPr>
  </w:style>
  <w:style w:type="character" w:customStyle="1" w:styleId="FigurecaptionChar">
    <w:name w:val="Figure caption Char"/>
    <w:basedOn w:val="CaptionChar"/>
    <w:rPr>
      <w:rFonts w:ascii="Times New Roman" w:hAnsi="Times New Roman"/>
      <w:i w:val="0"/>
      <w:iCs/>
      <w:color w:val="1F497D"/>
      <w:sz w:val="24"/>
      <w:szCs w:val="18"/>
    </w:rPr>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rPr>
      <w:sz w:val="20"/>
      <w:szCs w:val="20"/>
    </w:rPr>
  </w:style>
  <w:style w:type="character" w:styleId="CommentReference">
    <w:name w:val="annotation reference"/>
    <w:basedOn w:val="DefaultParagraphFont"/>
    <w:uiPriority w:val="99"/>
    <w:rPr>
      <w:sz w:val="16"/>
      <w:szCs w:val="16"/>
    </w:rPr>
  </w:style>
  <w:style w:type="paragraph" w:styleId="FootnoteText">
    <w:name w:val="footnote text"/>
    <w:aliases w:val="Note de bas de page Car Car,Car,Testo nota a piè di pagina_Rientro,stile 1,Footnote1,Footnote2,Footnote3,Footnote4,Footnote5,Footnote6,Footnote7,Footnote8,Footnote9,Footnote10,Footnote11,Footnote21,Footnote31,Footnote41,ft,fn,Fußnotentextf"/>
    <w:basedOn w:val="Normal"/>
    <w:uiPriority w:val="99"/>
    <w:qFormat/>
    <w:pPr>
      <w:spacing w:after="0" w:line="240" w:lineRule="auto"/>
    </w:pPr>
    <w:rPr>
      <w:sz w:val="20"/>
      <w:szCs w:val="20"/>
    </w:rPr>
  </w:style>
  <w:style w:type="character" w:customStyle="1" w:styleId="FootnoteTextChar">
    <w:name w:val="Footnote Text Char"/>
    <w:aliases w:val="Note de bas de page Car Car Char,Car Char,Testo nota a piè di pagina_Rientro Char,stile 1 Char,Footnote1 Char,Footnote2 Char,Footnote3 Char,Footnote4 Char,Footnote5 Char,Footnote6 Char,Footnote7 Char,Footnote8 Char,Footnote9 Char"/>
    <w:basedOn w:val="DefaultParagraphFont"/>
    <w:uiPriority w:val="99"/>
    <w:qFormat/>
    <w:rPr>
      <w:sz w:val="20"/>
      <w:szCs w:val="20"/>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qFormat/>
    <w:rPr>
      <w:position w:val="0"/>
      <w:vertAlign w:val="superscript"/>
    </w:rPr>
  </w:style>
  <w:style w:type="character" w:customStyle="1" w:styleId="ListParagraphChar">
    <w:name w:val="List Paragraph Char"/>
    <w:basedOn w:val="DefaultParagraphFont"/>
    <w:rPr>
      <w:lang w:val="en-IE"/>
    </w:rPr>
  </w:style>
  <w:style w:type="character" w:customStyle="1" w:styleId="Title4Char">
    <w:name w:val="Title4 Char"/>
    <w:basedOn w:val="ListParagraphChar"/>
    <w:rPr>
      <w:rFonts w:ascii="Times New Roman" w:hAnsi="Times New Roman" w:cs="Times New Roman"/>
      <w:b/>
      <w:color w:val="000000"/>
      <w:sz w:val="28"/>
      <w:szCs w:val="28"/>
      <w:lang w:val="en-IE"/>
    </w:rPr>
  </w:style>
  <w:style w:type="paragraph" w:customStyle="1" w:styleId="Title5">
    <w:name w:val="Title5"/>
    <w:basedOn w:val="ListParagraph"/>
    <w:link w:val="Title5Char1"/>
    <w:pPr>
      <w:numPr>
        <w:numId w:val="5"/>
      </w:numPr>
      <w:spacing w:after="0" w:line="250" w:lineRule="auto"/>
      <w:jc w:val="both"/>
      <w:outlineLvl w:val="2"/>
    </w:pPr>
    <w:rPr>
      <w:rFonts w:eastAsia="Times New Roman" w:cs="Times New Roman"/>
      <w:b/>
      <w:bCs/>
      <w:sz w:val="28"/>
      <w:szCs w:val="28"/>
    </w:rPr>
  </w:style>
  <w:style w:type="character" w:customStyle="1" w:styleId="Title5Char">
    <w:name w:val="Title5 Char"/>
    <w:basedOn w:val="ListParagraphChar"/>
    <w:rPr>
      <w:rFonts w:ascii="Times New Roman" w:eastAsia="Times New Roman" w:hAnsi="Times New Roman" w:cs="Times New Roman"/>
      <w:b/>
      <w:bCs/>
      <w:sz w:val="28"/>
      <w:szCs w:val="28"/>
      <w:lang w:val="en-IE"/>
    </w:rPr>
  </w:style>
  <w:style w:type="paragraph" w:styleId="TOC4">
    <w:name w:val="toc 4"/>
    <w:basedOn w:val="Normal"/>
    <w:next w:val="Normal"/>
    <w:autoRedefine/>
    <w:uiPriority w:val="39"/>
    <w:pPr>
      <w:tabs>
        <w:tab w:val="right" w:leader="dot" w:pos="9016"/>
      </w:tabs>
      <w:spacing w:after="100"/>
      <w:ind w:left="660"/>
    </w:pPr>
    <w:rPr>
      <w:rFonts w:ascii="Times New Roman" w:hAnsi="Times New Roman" w:cs="Times New Roman"/>
    </w:rPr>
  </w:style>
  <w:style w:type="paragraph" w:customStyle="1" w:styleId="TOC10">
    <w:name w:val="TOC1"/>
    <w:basedOn w:val="TOC1"/>
    <w:pPr>
      <w:tabs>
        <w:tab w:val="left" w:pos="440"/>
      </w:tabs>
    </w:pPr>
  </w:style>
  <w:style w:type="character" w:customStyle="1" w:styleId="TOC1Char">
    <w:name w:val="TOC 1 Char"/>
    <w:basedOn w:val="DefaultParagraphFont"/>
    <w:rPr>
      <w:rFonts w:ascii="Times New Roman" w:eastAsia="MS Mincho" w:hAnsi="Times New Roman" w:cs="Times New Roman"/>
      <w:b/>
      <w:bCs/>
      <w:kern w:val="0"/>
      <w:sz w:val="24"/>
      <w:lang w:val="en-US"/>
    </w:rPr>
  </w:style>
  <w:style w:type="character" w:customStyle="1" w:styleId="TOC1Char0">
    <w:name w:val="TOC1 Char"/>
    <w:basedOn w:val="TOC1Char"/>
    <w:rPr>
      <w:rFonts w:ascii="Times New Roman" w:eastAsia="MS Mincho" w:hAnsi="Times New Roman" w:cs="Times New Roman"/>
      <w:b/>
      <w:bCs/>
      <w:kern w:val="0"/>
      <w:sz w:val="28"/>
      <w:szCs w:val="24"/>
      <w:lang w:val="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rPr>
      <w:rFonts w:ascii="Times New Roman" w:hAnsi="Times New Roman" w:cs="Times New Roman"/>
      <w:b/>
      <w:sz w:val="32"/>
    </w:rPr>
  </w:style>
  <w:style w:type="paragraph" w:customStyle="1" w:styleId="HeaderCoverPage">
    <w:name w:val="Header Cover Page"/>
    <w:basedOn w:val="Normal"/>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rPr>
      <w:rFonts w:ascii="Times New Roman" w:hAnsi="Times New Roman" w:cs="Times New Roman"/>
      <w:b/>
      <w:sz w:val="32"/>
    </w:rPr>
  </w:style>
  <w:style w:type="paragraph" w:customStyle="1" w:styleId="HeaderSensitivityRight">
    <w:name w:val="Header Sensitivity Right"/>
    <w:basedOn w:val="Normal"/>
    <w:rsid w:val="00136FA9"/>
    <w:pPr>
      <w:suppressAutoHyphens w:val="0"/>
      <w:autoSpaceDN/>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rPr>
      <w:rFonts w:ascii="Times New Roman" w:hAnsi="Times New Roman" w:cs="Times New Roman"/>
      <w:sz w:val="28"/>
    </w:rPr>
  </w:style>
  <w:style w:type="character" w:styleId="FollowedHyperlink">
    <w:name w:val="FollowedHyperlink"/>
    <w:basedOn w:val="DefaultParagraphFont"/>
    <w:rPr>
      <w:color w:val="800080"/>
      <w:u w:val="single"/>
    </w:rPr>
  </w:style>
  <w:style w:type="paragraph" w:styleId="Revision">
    <w:name w:val="Revision"/>
    <w:pPr>
      <w:suppressAutoHyphens/>
      <w:spacing w:after="0" w:line="240" w:lineRule="auto"/>
    </w:p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numbering" w:customStyle="1" w:styleId="WWOutlineListStyle2">
    <w:name w:val="WW_OutlineListStyle_2"/>
    <w:basedOn w:val="NoList"/>
    <w:pPr>
      <w:numPr>
        <w:numId w:val="2"/>
      </w:numPr>
    </w:pPr>
  </w:style>
  <w:style w:type="numbering" w:customStyle="1" w:styleId="WWOutlineListStyle1">
    <w:name w:val="WW_OutlineListStyle_1"/>
    <w:basedOn w:val="NoList"/>
    <w:pPr>
      <w:numPr>
        <w:numId w:val="3"/>
      </w:numPr>
    </w:pPr>
  </w:style>
  <w:style w:type="numbering" w:customStyle="1" w:styleId="WWOutlineListStyle">
    <w:name w:val="WW_OutlineListStyle"/>
    <w:basedOn w:val="NoList"/>
    <w:pPr>
      <w:numPr>
        <w:numId w:val="4"/>
      </w:numPr>
    </w:pPr>
  </w:style>
  <w:style w:type="numbering" w:customStyle="1" w:styleId="LFO14">
    <w:name w:val="LFO14"/>
    <w:basedOn w:val="NoList"/>
    <w:pPr>
      <w:numPr>
        <w:numId w:val="5"/>
      </w:numPr>
    </w:pPr>
  </w:style>
  <w:style w:type="table" w:styleId="TableGrid">
    <w:name w:val="Table Grid"/>
    <w:basedOn w:val="TableNormal"/>
    <w:uiPriority w:val="39"/>
    <w:rsid w:val="00CA6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0C6ED0"/>
    <w:rPr>
      <w:color w:val="2B579A"/>
      <w:shd w:val="clear" w:color="auto" w:fill="E1DFDD"/>
    </w:rPr>
  </w:style>
  <w:style w:type="paragraph" w:customStyle="1" w:styleId="Title6">
    <w:name w:val="Title6"/>
    <w:basedOn w:val="Title2"/>
    <w:link w:val="Title6Char"/>
    <w:qFormat/>
    <w:rsid w:val="00AF6151"/>
    <w:pPr>
      <w:numPr>
        <w:ilvl w:val="0"/>
        <w:numId w:val="0"/>
      </w:numPr>
    </w:pPr>
  </w:style>
  <w:style w:type="character" w:customStyle="1" w:styleId="Title2Char1">
    <w:name w:val="Title2 Char1"/>
    <w:basedOn w:val="DefaultParagraphFont"/>
    <w:link w:val="Title2"/>
    <w:rsid w:val="00AF6151"/>
    <w:rPr>
      <w:rFonts w:ascii="Times New Roman" w:hAnsi="Times New Roman" w:cs="Times New Roman"/>
      <w:b/>
      <w:i/>
      <w:color w:val="000000"/>
      <w:sz w:val="24"/>
      <w:szCs w:val="24"/>
      <w:lang w:val="en-IE"/>
    </w:rPr>
  </w:style>
  <w:style w:type="character" w:customStyle="1" w:styleId="Title6Char">
    <w:name w:val="Title6 Char"/>
    <w:basedOn w:val="Title2Char1"/>
    <w:link w:val="Title6"/>
    <w:rsid w:val="00AF6151"/>
    <w:rPr>
      <w:rFonts w:ascii="Times New Roman" w:hAnsi="Times New Roman" w:cs="Times New Roman"/>
      <w:b/>
      <w:i/>
      <w:color w:val="000000"/>
      <w:sz w:val="24"/>
      <w:szCs w:val="24"/>
      <w:lang w:val="en-IE"/>
    </w:rPr>
  </w:style>
  <w:style w:type="paragraph" w:styleId="TOC5">
    <w:name w:val="toc 5"/>
    <w:basedOn w:val="Normal"/>
    <w:next w:val="Normal"/>
    <w:autoRedefine/>
    <w:uiPriority w:val="39"/>
    <w:unhideWhenUsed/>
    <w:rsid w:val="001E4CD7"/>
    <w:pPr>
      <w:suppressAutoHyphens w:val="0"/>
      <w:autoSpaceDN/>
      <w:spacing w:after="100" w:line="259" w:lineRule="auto"/>
      <w:ind w:left="880"/>
    </w:pPr>
    <w:rPr>
      <w:rFonts w:asciiTheme="minorHAnsi" w:eastAsiaTheme="minorEastAsia" w:hAnsiTheme="minorHAnsi" w:cstheme="minorBidi"/>
      <w:kern w:val="2"/>
      <w:lang w:val="en-IE" w:eastAsia="en-IE"/>
      <w14:ligatures w14:val="standardContextual"/>
    </w:rPr>
  </w:style>
  <w:style w:type="paragraph" w:styleId="TOC6">
    <w:name w:val="toc 6"/>
    <w:basedOn w:val="Normal"/>
    <w:next w:val="Normal"/>
    <w:autoRedefine/>
    <w:uiPriority w:val="39"/>
    <w:unhideWhenUsed/>
    <w:rsid w:val="001E4CD7"/>
    <w:pPr>
      <w:suppressAutoHyphens w:val="0"/>
      <w:autoSpaceDN/>
      <w:spacing w:after="100" w:line="259" w:lineRule="auto"/>
      <w:ind w:left="1100"/>
    </w:pPr>
    <w:rPr>
      <w:rFonts w:asciiTheme="minorHAnsi" w:eastAsiaTheme="minorEastAsia" w:hAnsiTheme="minorHAnsi" w:cstheme="minorBidi"/>
      <w:kern w:val="2"/>
      <w:lang w:val="en-IE" w:eastAsia="en-IE"/>
      <w14:ligatures w14:val="standardContextual"/>
    </w:rPr>
  </w:style>
  <w:style w:type="paragraph" w:styleId="TOC7">
    <w:name w:val="toc 7"/>
    <w:basedOn w:val="Normal"/>
    <w:next w:val="Normal"/>
    <w:autoRedefine/>
    <w:uiPriority w:val="39"/>
    <w:unhideWhenUsed/>
    <w:rsid w:val="001E4CD7"/>
    <w:pPr>
      <w:suppressAutoHyphens w:val="0"/>
      <w:autoSpaceDN/>
      <w:spacing w:after="100" w:line="259" w:lineRule="auto"/>
      <w:ind w:left="1320"/>
    </w:pPr>
    <w:rPr>
      <w:rFonts w:asciiTheme="minorHAnsi" w:eastAsiaTheme="minorEastAsia" w:hAnsiTheme="minorHAnsi" w:cstheme="minorBidi"/>
      <w:kern w:val="2"/>
      <w:lang w:val="en-IE" w:eastAsia="en-IE"/>
      <w14:ligatures w14:val="standardContextual"/>
    </w:rPr>
  </w:style>
  <w:style w:type="paragraph" w:styleId="TOC8">
    <w:name w:val="toc 8"/>
    <w:basedOn w:val="Normal"/>
    <w:next w:val="Normal"/>
    <w:autoRedefine/>
    <w:uiPriority w:val="39"/>
    <w:unhideWhenUsed/>
    <w:rsid w:val="001E4CD7"/>
    <w:pPr>
      <w:suppressAutoHyphens w:val="0"/>
      <w:autoSpaceDN/>
      <w:spacing w:after="100" w:line="259" w:lineRule="auto"/>
      <w:ind w:left="1540"/>
    </w:pPr>
    <w:rPr>
      <w:rFonts w:asciiTheme="minorHAnsi" w:eastAsiaTheme="minorEastAsia" w:hAnsiTheme="minorHAnsi" w:cstheme="minorBidi"/>
      <w:kern w:val="2"/>
      <w:lang w:val="en-IE" w:eastAsia="en-IE"/>
      <w14:ligatures w14:val="standardContextual"/>
    </w:rPr>
  </w:style>
  <w:style w:type="paragraph" w:styleId="TOC9">
    <w:name w:val="toc 9"/>
    <w:basedOn w:val="Normal"/>
    <w:next w:val="Normal"/>
    <w:autoRedefine/>
    <w:uiPriority w:val="39"/>
    <w:unhideWhenUsed/>
    <w:rsid w:val="001E4CD7"/>
    <w:pPr>
      <w:suppressAutoHyphens w:val="0"/>
      <w:autoSpaceDN/>
      <w:spacing w:after="100" w:line="259" w:lineRule="auto"/>
      <w:ind w:left="1760"/>
    </w:pPr>
    <w:rPr>
      <w:rFonts w:asciiTheme="minorHAnsi" w:eastAsiaTheme="minorEastAsia" w:hAnsiTheme="minorHAnsi" w:cstheme="minorBidi"/>
      <w:kern w:val="2"/>
      <w:lang w:val="en-IE" w:eastAsia="en-IE"/>
      <w14:ligatures w14:val="standardContextual"/>
    </w:rPr>
  </w:style>
  <w:style w:type="paragraph" w:customStyle="1" w:styleId="Style7">
    <w:name w:val="Style7"/>
    <w:basedOn w:val="Normal"/>
    <w:link w:val="Style7Char"/>
    <w:qFormat/>
    <w:rsid w:val="009C3F1C"/>
    <w:pPr>
      <w:tabs>
        <w:tab w:val="left" w:pos="6749"/>
        <w:tab w:val="right" w:pos="9026"/>
      </w:tabs>
      <w:spacing w:after="0" w:line="240" w:lineRule="auto"/>
    </w:pPr>
    <w:rPr>
      <w:rFonts w:ascii="Times New Roman" w:hAnsi="Times New Roman" w:cs="Times New Roman"/>
      <w:b/>
      <w:sz w:val="28"/>
      <w:szCs w:val="28"/>
    </w:rPr>
  </w:style>
  <w:style w:type="character" w:customStyle="1" w:styleId="Style7Char">
    <w:name w:val="Style7 Char"/>
    <w:basedOn w:val="DefaultParagraphFont"/>
    <w:link w:val="Style7"/>
    <w:rsid w:val="009C3F1C"/>
    <w:rPr>
      <w:rFonts w:ascii="Times New Roman" w:hAnsi="Times New Roman" w:cs="Times New Roman"/>
      <w:b/>
      <w:sz w:val="28"/>
      <w:szCs w:val="28"/>
    </w:rPr>
  </w:style>
  <w:style w:type="paragraph" w:customStyle="1" w:styleId="Style8">
    <w:name w:val="Style8"/>
    <w:basedOn w:val="ListParagraph"/>
    <w:link w:val="Style8Char"/>
    <w:qFormat/>
    <w:rsid w:val="00FE2453"/>
    <w:pPr>
      <w:numPr>
        <w:numId w:val="15"/>
      </w:numPr>
      <w:spacing w:after="0" w:line="250" w:lineRule="auto"/>
    </w:pPr>
    <w:rPr>
      <w:rFonts w:eastAsia="Times New Roman" w:cs="Times New Roman"/>
      <w:b/>
      <w:bCs/>
      <w:sz w:val="24"/>
      <w:szCs w:val="24"/>
    </w:rPr>
  </w:style>
  <w:style w:type="character" w:customStyle="1" w:styleId="ListParagraphChar1">
    <w:name w:val="List Paragraph Char1"/>
    <w:basedOn w:val="DefaultParagraphFont"/>
    <w:link w:val="ListParagraph"/>
    <w:uiPriority w:val="34"/>
    <w:rsid w:val="00AC0C96"/>
    <w:rPr>
      <w:rFonts w:ascii="Times New Roman" w:hAnsi="Times New Roman"/>
      <w:lang w:val="en-IE"/>
    </w:rPr>
  </w:style>
  <w:style w:type="character" w:customStyle="1" w:styleId="Style8Char">
    <w:name w:val="Style8 Char"/>
    <w:basedOn w:val="ListParagraphChar1"/>
    <w:link w:val="Style8"/>
    <w:rsid w:val="00FE2453"/>
    <w:rPr>
      <w:rFonts w:ascii="Times New Roman" w:eastAsia="Times New Roman" w:hAnsi="Times New Roman" w:cs="Times New Roman"/>
      <w:b/>
      <w:bCs/>
      <w:sz w:val="24"/>
      <w:szCs w:val="24"/>
      <w:lang w:val="en-IE"/>
    </w:rPr>
  </w:style>
  <w:style w:type="paragraph" w:customStyle="1" w:styleId="Style9">
    <w:name w:val="Style9"/>
    <w:basedOn w:val="Title4"/>
    <w:link w:val="Style9Char"/>
    <w:qFormat/>
    <w:rsid w:val="00CD124F"/>
    <w:pPr>
      <w:numPr>
        <w:numId w:val="0"/>
      </w:numPr>
    </w:pPr>
    <w:rPr>
      <w:color w:val="FFFFFF" w:themeColor="background1"/>
      <w:sz w:val="20"/>
      <w:szCs w:val="24"/>
    </w:rPr>
  </w:style>
  <w:style w:type="character" w:customStyle="1" w:styleId="Title4Char1">
    <w:name w:val="Title4 Char1"/>
    <w:basedOn w:val="ListParagraphChar1"/>
    <w:link w:val="Title4"/>
    <w:rsid w:val="006E5E81"/>
    <w:rPr>
      <w:rFonts w:ascii="Times New Roman" w:hAnsi="Times New Roman" w:cs="Times New Roman"/>
      <w:b/>
      <w:color w:val="000000"/>
      <w:szCs w:val="28"/>
      <w:lang w:val="en-IE"/>
    </w:rPr>
  </w:style>
  <w:style w:type="character" w:customStyle="1" w:styleId="Style9Char">
    <w:name w:val="Style9 Char"/>
    <w:basedOn w:val="Title4Char1"/>
    <w:link w:val="Style9"/>
    <w:rsid w:val="00CD124F"/>
    <w:rPr>
      <w:rFonts w:ascii="Times New Roman" w:hAnsi="Times New Roman" w:cs="Times New Roman"/>
      <w:b/>
      <w:color w:val="FFFFFF" w:themeColor="background1"/>
      <w:sz w:val="20"/>
      <w:szCs w:val="24"/>
      <w:lang w:val="en-IE"/>
    </w:rPr>
  </w:style>
  <w:style w:type="paragraph" w:customStyle="1" w:styleId="Style10">
    <w:name w:val="Style10"/>
    <w:basedOn w:val="Title4"/>
    <w:link w:val="Style10Char"/>
    <w:qFormat/>
    <w:rsid w:val="005A57F2"/>
    <w:pPr>
      <w:numPr>
        <w:numId w:val="0"/>
      </w:numPr>
    </w:pPr>
    <w:rPr>
      <w:rFonts w:eastAsia="Times New Roman"/>
      <w:szCs w:val="24"/>
    </w:rPr>
  </w:style>
  <w:style w:type="character" w:customStyle="1" w:styleId="Title5Char1">
    <w:name w:val="Title5 Char1"/>
    <w:basedOn w:val="ListParagraphChar1"/>
    <w:link w:val="Title5"/>
    <w:rsid w:val="00FE2453"/>
    <w:rPr>
      <w:rFonts w:ascii="Times New Roman" w:eastAsia="Times New Roman" w:hAnsi="Times New Roman" w:cs="Times New Roman"/>
      <w:b/>
      <w:bCs/>
      <w:sz w:val="28"/>
      <w:szCs w:val="28"/>
      <w:lang w:val="en-IE"/>
    </w:rPr>
  </w:style>
  <w:style w:type="character" w:customStyle="1" w:styleId="Style10Char">
    <w:name w:val="Style10 Char"/>
    <w:basedOn w:val="Title5Char1"/>
    <w:link w:val="Style10"/>
    <w:rsid w:val="00FE2453"/>
    <w:rPr>
      <w:rFonts w:ascii="Times New Roman" w:eastAsia="Times New Roman" w:hAnsi="Times New Roman" w:cs="Times New Roman"/>
      <w:b/>
      <w:bCs w:val="0"/>
      <w:color w:val="000000"/>
      <w:sz w:val="24"/>
      <w:szCs w:val="24"/>
      <w:lang w:val="en-IE"/>
    </w:rPr>
  </w:style>
  <w:style w:type="character" w:customStyle="1" w:styleId="Heading4Char">
    <w:name w:val="Heading 4 Char"/>
    <w:basedOn w:val="DefaultParagraphFont"/>
    <w:link w:val="Heading4"/>
    <w:uiPriority w:val="9"/>
    <w:rsid w:val="00FE2453"/>
    <w:rPr>
      <w:rFonts w:asciiTheme="majorHAnsi" w:eastAsiaTheme="majorEastAsia" w:hAnsiTheme="majorHAnsi" w:cstheme="majorBidi"/>
      <w:i/>
      <w:iCs/>
      <w:color w:val="2F5496" w:themeColor="accent1" w:themeShade="BF"/>
    </w:rPr>
  </w:style>
  <w:style w:type="character" w:customStyle="1" w:styleId="NoSpacingChar">
    <w:name w:val="No Spacing Char"/>
    <w:basedOn w:val="DefaultParagraphFont"/>
    <w:link w:val="NoSpacing"/>
    <w:uiPriority w:val="1"/>
    <w:rsid w:val="00A54F35"/>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2D5469"/>
    <w:pPr>
      <w:suppressAutoHyphens w:val="0"/>
      <w:autoSpaceDN/>
      <w:spacing w:after="0" w:line="240" w:lineRule="exact"/>
      <w:jc w:val="both"/>
    </w:pPr>
    <w:rPr>
      <w:vertAlign w:val="superscript"/>
    </w:rPr>
  </w:style>
  <w:style w:type="character" w:customStyle="1" w:styleId="UnresolvedMention2">
    <w:name w:val="Unresolved Mention2"/>
    <w:basedOn w:val="DefaultParagraphFont"/>
    <w:uiPriority w:val="99"/>
    <w:unhideWhenUsed/>
    <w:rsid w:val="00AD6A95"/>
    <w:rPr>
      <w:color w:val="605E5C"/>
      <w:shd w:val="clear" w:color="auto" w:fill="E1DFDD"/>
    </w:rPr>
  </w:style>
  <w:style w:type="paragraph" w:customStyle="1" w:styleId="paragraph0">
    <w:name w:val="paragraph"/>
    <w:basedOn w:val="Normal"/>
    <w:rsid w:val="007D2691"/>
    <w:pPr>
      <w:suppressAutoHyphens w:val="0"/>
      <w:autoSpaceDN/>
      <w:spacing w:before="100" w:beforeAutospacing="1" w:after="100" w:afterAutospacing="1" w:line="240" w:lineRule="auto"/>
    </w:pPr>
    <w:rPr>
      <w:rFonts w:ascii="Times New Roman" w:eastAsia="Times New Roman" w:hAnsi="Times New Roman" w:cs="Times New Roman"/>
      <w:kern w:val="0"/>
      <w:sz w:val="24"/>
      <w:szCs w:val="24"/>
      <w:lang w:val="en-IE" w:eastAsia="en-IE"/>
    </w:rPr>
  </w:style>
  <w:style w:type="character" w:customStyle="1" w:styleId="Mention2">
    <w:name w:val="Mention2"/>
    <w:basedOn w:val="DefaultParagraphFont"/>
    <w:uiPriority w:val="99"/>
    <w:unhideWhenUsed/>
    <w:rsid w:val="00715F4D"/>
    <w:rPr>
      <w:color w:val="2B579A"/>
      <w:shd w:val="clear" w:color="auto" w:fill="E1DFDD"/>
    </w:rPr>
  </w:style>
  <w:style w:type="paragraph" w:customStyle="1" w:styleId="pf0">
    <w:name w:val="pf0"/>
    <w:basedOn w:val="Normal"/>
    <w:rsid w:val="003F7593"/>
    <w:pPr>
      <w:suppressAutoHyphens w:val="0"/>
      <w:autoSpaceDN/>
      <w:spacing w:before="100" w:beforeAutospacing="1" w:after="100" w:afterAutospacing="1" w:line="240" w:lineRule="auto"/>
    </w:pPr>
    <w:rPr>
      <w:rFonts w:ascii="Times New Roman" w:eastAsia="Times New Roman" w:hAnsi="Times New Roman" w:cs="Times New Roman"/>
      <w:kern w:val="0"/>
      <w:sz w:val="24"/>
      <w:szCs w:val="24"/>
      <w:lang w:val="en-IE" w:eastAsia="en-IE"/>
    </w:rPr>
  </w:style>
  <w:style w:type="character" w:customStyle="1" w:styleId="cf01">
    <w:name w:val="cf01"/>
    <w:basedOn w:val="DefaultParagraphFont"/>
    <w:rsid w:val="003F7593"/>
    <w:rPr>
      <w:rFonts w:ascii="Segoe UI" w:hAnsi="Segoe UI" w:cs="Segoe UI" w:hint="default"/>
      <w:sz w:val="18"/>
      <w:szCs w:val="18"/>
    </w:rPr>
  </w:style>
  <w:style w:type="table" w:customStyle="1" w:styleId="TableGrid1">
    <w:name w:val="Table Grid1"/>
    <w:basedOn w:val="TableNormal"/>
    <w:next w:val="TableGrid"/>
    <w:uiPriority w:val="59"/>
    <w:rsid w:val="00ED4802"/>
    <w:pPr>
      <w:autoSpaceDN/>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C08E5"/>
    <w:pPr>
      <w:autoSpaceDN/>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23A1D"/>
    <w:pPr>
      <w:autoSpaceDN/>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33624"/>
    <w:pPr>
      <w:autoSpaceDN/>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33624"/>
    <w:pPr>
      <w:autoSpaceDN/>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843672"/>
    <w:pPr>
      <w:numPr>
        <w:numId w:val="36"/>
      </w:numPr>
    </w:pPr>
  </w:style>
  <w:style w:type="paragraph" w:styleId="EndnoteText">
    <w:name w:val="endnote text"/>
    <w:basedOn w:val="Normal"/>
    <w:link w:val="EndnoteTextChar"/>
    <w:uiPriority w:val="99"/>
    <w:unhideWhenUsed/>
    <w:rsid w:val="00286248"/>
    <w:pPr>
      <w:spacing w:after="0" w:line="240" w:lineRule="auto"/>
    </w:pPr>
    <w:rPr>
      <w:sz w:val="20"/>
      <w:szCs w:val="20"/>
    </w:rPr>
  </w:style>
  <w:style w:type="character" w:customStyle="1" w:styleId="EndnoteTextChar">
    <w:name w:val="Endnote Text Char"/>
    <w:basedOn w:val="DefaultParagraphFont"/>
    <w:link w:val="EndnoteText"/>
    <w:uiPriority w:val="99"/>
    <w:rsid w:val="00286248"/>
    <w:rPr>
      <w:sz w:val="20"/>
      <w:szCs w:val="20"/>
    </w:rPr>
  </w:style>
  <w:style w:type="character" w:styleId="EndnoteReference">
    <w:name w:val="endnote reference"/>
    <w:basedOn w:val="DefaultParagraphFont"/>
    <w:uiPriority w:val="99"/>
    <w:semiHidden/>
    <w:unhideWhenUsed/>
    <w:rsid w:val="00286248"/>
    <w:rPr>
      <w:vertAlign w:val="superscript"/>
    </w:rPr>
  </w:style>
  <w:style w:type="paragraph" w:customStyle="1" w:styleId="Text1">
    <w:name w:val="Text 1"/>
    <w:basedOn w:val="Normal"/>
    <w:qFormat/>
    <w:rsid w:val="006D46FB"/>
    <w:pPr>
      <w:suppressAutoHyphens w:val="0"/>
      <w:autoSpaceDN/>
      <w:spacing w:after="240" w:line="259" w:lineRule="auto"/>
      <w:ind w:left="482"/>
      <w:jc w:val="both"/>
    </w:pPr>
    <w:rPr>
      <w:rFonts w:ascii="Times New Roman" w:eastAsia="Times New Roman" w:hAnsi="Times New Roman" w:cs="Times New Roman"/>
      <w:kern w:val="0"/>
      <w:sz w:val="24"/>
      <w:szCs w:val="24"/>
      <w:lang w:eastAsia="en-IE"/>
    </w:rPr>
  </w:style>
  <w:style w:type="paragraph" w:customStyle="1" w:styleId="LegalNumPar">
    <w:name w:val="LegalNumPar"/>
    <w:basedOn w:val="Normal"/>
    <w:rsid w:val="00F76BF0"/>
    <w:pPr>
      <w:numPr>
        <w:numId w:val="41"/>
      </w:numPr>
      <w:autoSpaceDN/>
      <w:spacing w:line="360" w:lineRule="auto"/>
    </w:pPr>
    <w:rPr>
      <w:sz w:val="24"/>
    </w:rPr>
  </w:style>
  <w:style w:type="paragraph" w:customStyle="1" w:styleId="LegalNumPar2">
    <w:name w:val="LegalNumPar2"/>
    <w:basedOn w:val="Normal"/>
    <w:rsid w:val="00F76BF0"/>
    <w:pPr>
      <w:numPr>
        <w:ilvl w:val="1"/>
        <w:numId w:val="41"/>
      </w:numPr>
      <w:autoSpaceDN/>
      <w:spacing w:line="360" w:lineRule="auto"/>
    </w:pPr>
    <w:rPr>
      <w:sz w:val="24"/>
    </w:rPr>
  </w:style>
  <w:style w:type="paragraph" w:customStyle="1" w:styleId="LegalNumPar3">
    <w:name w:val="LegalNumPar3"/>
    <w:basedOn w:val="Normal"/>
    <w:rsid w:val="00F76BF0"/>
    <w:pPr>
      <w:numPr>
        <w:ilvl w:val="2"/>
        <w:numId w:val="41"/>
      </w:numPr>
      <w:autoSpaceDN/>
      <w:spacing w:line="360" w:lineRule="auto"/>
    </w:pPr>
    <w:rPr>
      <w:sz w:val="24"/>
    </w:rPr>
  </w:style>
  <w:style w:type="paragraph" w:customStyle="1" w:styleId="Disclaimer">
    <w:name w:val="Disclaimer"/>
    <w:basedOn w:val="Normal"/>
    <w:rsid w:val="00136FA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uppressAutoHyphens w:val="0"/>
      <w:autoSpaceDN/>
      <w:spacing w:before="120" w:after="120" w:line="240" w:lineRule="auto"/>
      <w:jc w:val="both"/>
    </w:pPr>
    <w:rPr>
      <w:rFonts w:ascii="Times New Roman" w:eastAsiaTheme="minorHAnsi" w:hAnsi="Times New Roman" w:cs="Times New Roman"/>
      <w:kern w:val="0"/>
      <w:sz w:val="24"/>
    </w:rPr>
  </w:style>
  <w:style w:type="paragraph" w:customStyle="1" w:styleId="SecurityMarking">
    <w:name w:val="SecurityMarking"/>
    <w:basedOn w:val="Normal"/>
    <w:rsid w:val="00136FA9"/>
    <w:pPr>
      <w:suppressAutoHyphens w:val="0"/>
      <w:autoSpaceDN/>
      <w:spacing w:after="0"/>
      <w:ind w:left="5103"/>
    </w:pPr>
    <w:rPr>
      <w:rFonts w:ascii="Times New Roman" w:eastAsiaTheme="minorHAnsi" w:hAnsi="Times New Roman" w:cs="Times New Roman"/>
      <w:kern w:val="0"/>
      <w:sz w:val="28"/>
    </w:rPr>
  </w:style>
  <w:style w:type="paragraph" w:customStyle="1" w:styleId="DateMarking">
    <w:name w:val="DateMarking"/>
    <w:basedOn w:val="Normal"/>
    <w:rsid w:val="00136FA9"/>
    <w:pPr>
      <w:suppressAutoHyphens w:val="0"/>
      <w:autoSpaceDN/>
      <w:spacing w:after="0"/>
      <w:ind w:left="5103"/>
    </w:pPr>
    <w:rPr>
      <w:rFonts w:ascii="Times New Roman" w:eastAsiaTheme="minorHAnsi" w:hAnsi="Times New Roman" w:cs="Times New Roman"/>
      <w:i/>
      <w:kern w:val="0"/>
      <w:sz w:val="28"/>
    </w:rPr>
  </w:style>
  <w:style w:type="paragraph" w:customStyle="1" w:styleId="ReleasableTo">
    <w:name w:val="ReleasableTo"/>
    <w:basedOn w:val="Normal"/>
    <w:rsid w:val="00136FA9"/>
    <w:pPr>
      <w:suppressAutoHyphens w:val="0"/>
      <w:autoSpaceDN/>
      <w:spacing w:after="0"/>
      <w:ind w:left="5103"/>
    </w:pPr>
    <w:rPr>
      <w:rFonts w:ascii="Times New Roman" w:eastAsiaTheme="minorHAnsi" w:hAnsi="Times New Roman" w:cs="Times New Roman"/>
      <w:i/>
      <w:kern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979">
      <w:bodyDiv w:val="1"/>
      <w:marLeft w:val="0"/>
      <w:marRight w:val="0"/>
      <w:marTop w:val="0"/>
      <w:marBottom w:val="0"/>
      <w:divBdr>
        <w:top w:val="none" w:sz="0" w:space="0" w:color="auto"/>
        <w:left w:val="none" w:sz="0" w:space="0" w:color="auto"/>
        <w:bottom w:val="none" w:sz="0" w:space="0" w:color="auto"/>
        <w:right w:val="none" w:sz="0" w:space="0" w:color="auto"/>
      </w:divBdr>
    </w:div>
    <w:div w:id="5447730">
      <w:bodyDiv w:val="1"/>
      <w:marLeft w:val="0"/>
      <w:marRight w:val="0"/>
      <w:marTop w:val="0"/>
      <w:marBottom w:val="0"/>
      <w:divBdr>
        <w:top w:val="none" w:sz="0" w:space="0" w:color="auto"/>
        <w:left w:val="none" w:sz="0" w:space="0" w:color="auto"/>
        <w:bottom w:val="none" w:sz="0" w:space="0" w:color="auto"/>
        <w:right w:val="none" w:sz="0" w:space="0" w:color="auto"/>
      </w:divBdr>
    </w:div>
    <w:div w:id="9531574">
      <w:bodyDiv w:val="1"/>
      <w:marLeft w:val="0"/>
      <w:marRight w:val="0"/>
      <w:marTop w:val="0"/>
      <w:marBottom w:val="0"/>
      <w:divBdr>
        <w:top w:val="none" w:sz="0" w:space="0" w:color="auto"/>
        <w:left w:val="none" w:sz="0" w:space="0" w:color="auto"/>
        <w:bottom w:val="none" w:sz="0" w:space="0" w:color="auto"/>
        <w:right w:val="none" w:sz="0" w:space="0" w:color="auto"/>
      </w:divBdr>
      <w:divsChild>
        <w:div w:id="901863634">
          <w:marLeft w:val="0"/>
          <w:marRight w:val="0"/>
          <w:marTop w:val="0"/>
          <w:marBottom w:val="0"/>
          <w:divBdr>
            <w:top w:val="none" w:sz="0" w:space="0" w:color="auto"/>
            <w:left w:val="none" w:sz="0" w:space="0" w:color="auto"/>
            <w:bottom w:val="none" w:sz="0" w:space="0" w:color="auto"/>
            <w:right w:val="none" w:sz="0" w:space="0" w:color="auto"/>
          </w:divBdr>
        </w:div>
      </w:divsChild>
    </w:div>
    <w:div w:id="10374015">
      <w:bodyDiv w:val="1"/>
      <w:marLeft w:val="0"/>
      <w:marRight w:val="0"/>
      <w:marTop w:val="0"/>
      <w:marBottom w:val="0"/>
      <w:divBdr>
        <w:top w:val="none" w:sz="0" w:space="0" w:color="auto"/>
        <w:left w:val="none" w:sz="0" w:space="0" w:color="auto"/>
        <w:bottom w:val="none" w:sz="0" w:space="0" w:color="auto"/>
        <w:right w:val="none" w:sz="0" w:space="0" w:color="auto"/>
      </w:divBdr>
      <w:divsChild>
        <w:div w:id="1836875721">
          <w:marLeft w:val="0"/>
          <w:marRight w:val="0"/>
          <w:marTop w:val="0"/>
          <w:marBottom w:val="0"/>
          <w:divBdr>
            <w:top w:val="none" w:sz="0" w:space="0" w:color="auto"/>
            <w:left w:val="none" w:sz="0" w:space="0" w:color="auto"/>
            <w:bottom w:val="none" w:sz="0" w:space="0" w:color="auto"/>
            <w:right w:val="none" w:sz="0" w:space="0" w:color="auto"/>
          </w:divBdr>
        </w:div>
      </w:divsChild>
    </w:div>
    <w:div w:id="11419902">
      <w:bodyDiv w:val="1"/>
      <w:marLeft w:val="0"/>
      <w:marRight w:val="0"/>
      <w:marTop w:val="0"/>
      <w:marBottom w:val="0"/>
      <w:divBdr>
        <w:top w:val="none" w:sz="0" w:space="0" w:color="auto"/>
        <w:left w:val="none" w:sz="0" w:space="0" w:color="auto"/>
        <w:bottom w:val="none" w:sz="0" w:space="0" w:color="auto"/>
        <w:right w:val="none" w:sz="0" w:space="0" w:color="auto"/>
      </w:divBdr>
      <w:divsChild>
        <w:div w:id="1618101943">
          <w:marLeft w:val="0"/>
          <w:marRight w:val="0"/>
          <w:marTop w:val="0"/>
          <w:marBottom w:val="0"/>
          <w:divBdr>
            <w:top w:val="none" w:sz="0" w:space="0" w:color="auto"/>
            <w:left w:val="none" w:sz="0" w:space="0" w:color="auto"/>
            <w:bottom w:val="none" w:sz="0" w:space="0" w:color="auto"/>
            <w:right w:val="none" w:sz="0" w:space="0" w:color="auto"/>
          </w:divBdr>
        </w:div>
      </w:divsChild>
    </w:div>
    <w:div w:id="20740786">
      <w:bodyDiv w:val="1"/>
      <w:marLeft w:val="0"/>
      <w:marRight w:val="0"/>
      <w:marTop w:val="0"/>
      <w:marBottom w:val="0"/>
      <w:divBdr>
        <w:top w:val="none" w:sz="0" w:space="0" w:color="auto"/>
        <w:left w:val="none" w:sz="0" w:space="0" w:color="auto"/>
        <w:bottom w:val="none" w:sz="0" w:space="0" w:color="auto"/>
        <w:right w:val="none" w:sz="0" w:space="0" w:color="auto"/>
      </w:divBdr>
      <w:divsChild>
        <w:div w:id="867107640">
          <w:marLeft w:val="0"/>
          <w:marRight w:val="0"/>
          <w:marTop w:val="0"/>
          <w:marBottom w:val="0"/>
          <w:divBdr>
            <w:top w:val="none" w:sz="0" w:space="0" w:color="auto"/>
            <w:left w:val="none" w:sz="0" w:space="0" w:color="auto"/>
            <w:bottom w:val="none" w:sz="0" w:space="0" w:color="auto"/>
            <w:right w:val="none" w:sz="0" w:space="0" w:color="auto"/>
          </w:divBdr>
        </w:div>
      </w:divsChild>
    </w:div>
    <w:div w:id="22293929">
      <w:bodyDiv w:val="1"/>
      <w:marLeft w:val="0"/>
      <w:marRight w:val="0"/>
      <w:marTop w:val="0"/>
      <w:marBottom w:val="0"/>
      <w:divBdr>
        <w:top w:val="none" w:sz="0" w:space="0" w:color="auto"/>
        <w:left w:val="none" w:sz="0" w:space="0" w:color="auto"/>
        <w:bottom w:val="none" w:sz="0" w:space="0" w:color="auto"/>
        <w:right w:val="none" w:sz="0" w:space="0" w:color="auto"/>
      </w:divBdr>
      <w:divsChild>
        <w:div w:id="1668510681">
          <w:marLeft w:val="0"/>
          <w:marRight w:val="0"/>
          <w:marTop w:val="0"/>
          <w:marBottom w:val="0"/>
          <w:divBdr>
            <w:top w:val="none" w:sz="0" w:space="0" w:color="auto"/>
            <w:left w:val="none" w:sz="0" w:space="0" w:color="auto"/>
            <w:bottom w:val="none" w:sz="0" w:space="0" w:color="auto"/>
            <w:right w:val="none" w:sz="0" w:space="0" w:color="auto"/>
          </w:divBdr>
        </w:div>
      </w:divsChild>
    </w:div>
    <w:div w:id="27950178">
      <w:bodyDiv w:val="1"/>
      <w:marLeft w:val="0"/>
      <w:marRight w:val="0"/>
      <w:marTop w:val="0"/>
      <w:marBottom w:val="0"/>
      <w:divBdr>
        <w:top w:val="none" w:sz="0" w:space="0" w:color="auto"/>
        <w:left w:val="none" w:sz="0" w:space="0" w:color="auto"/>
        <w:bottom w:val="none" w:sz="0" w:space="0" w:color="auto"/>
        <w:right w:val="none" w:sz="0" w:space="0" w:color="auto"/>
      </w:divBdr>
      <w:divsChild>
        <w:div w:id="1157767621">
          <w:marLeft w:val="0"/>
          <w:marRight w:val="0"/>
          <w:marTop w:val="0"/>
          <w:marBottom w:val="0"/>
          <w:divBdr>
            <w:top w:val="none" w:sz="0" w:space="0" w:color="auto"/>
            <w:left w:val="none" w:sz="0" w:space="0" w:color="auto"/>
            <w:bottom w:val="none" w:sz="0" w:space="0" w:color="auto"/>
            <w:right w:val="none" w:sz="0" w:space="0" w:color="auto"/>
          </w:divBdr>
        </w:div>
      </w:divsChild>
    </w:div>
    <w:div w:id="31611187">
      <w:bodyDiv w:val="1"/>
      <w:marLeft w:val="0"/>
      <w:marRight w:val="0"/>
      <w:marTop w:val="0"/>
      <w:marBottom w:val="0"/>
      <w:divBdr>
        <w:top w:val="none" w:sz="0" w:space="0" w:color="auto"/>
        <w:left w:val="none" w:sz="0" w:space="0" w:color="auto"/>
        <w:bottom w:val="none" w:sz="0" w:space="0" w:color="auto"/>
        <w:right w:val="none" w:sz="0" w:space="0" w:color="auto"/>
      </w:divBdr>
      <w:divsChild>
        <w:div w:id="1786078322">
          <w:marLeft w:val="0"/>
          <w:marRight w:val="0"/>
          <w:marTop w:val="0"/>
          <w:marBottom w:val="0"/>
          <w:divBdr>
            <w:top w:val="none" w:sz="0" w:space="0" w:color="auto"/>
            <w:left w:val="none" w:sz="0" w:space="0" w:color="auto"/>
            <w:bottom w:val="none" w:sz="0" w:space="0" w:color="auto"/>
            <w:right w:val="none" w:sz="0" w:space="0" w:color="auto"/>
          </w:divBdr>
        </w:div>
      </w:divsChild>
    </w:div>
    <w:div w:id="31855725">
      <w:bodyDiv w:val="1"/>
      <w:marLeft w:val="0"/>
      <w:marRight w:val="0"/>
      <w:marTop w:val="0"/>
      <w:marBottom w:val="0"/>
      <w:divBdr>
        <w:top w:val="none" w:sz="0" w:space="0" w:color="auto"/>
        <w:left w:val="none" w:sz="0" w:space="0" w:color="auto"/>
        <w:bottom w:val="none" w:sz="0" w:space="0" w:color="auto"/>
        <w:right w:val="none" w:sz="0" w:space="0" w:color="auto"/>
      </w:divBdr>
    </w:div>
    <w:div w:id="39716803">
      <w:bodyDiv w:val="1"/>
      <w:marLeft w:val="0"/>
      <w:marRight w:val="0"/>
      <w:marTop w:val="0"/>
      <w:marBottom w:val="0"/>
      <w:divBdr>
        <w:top w:val="none" w:sz="0" w:space="0" w:color="auto"/>
        <w:left w:val="none" w:sz="0" w:space="0" w:color="auto"/>
        <w:bottom w:val="none" w:sz="0" w:space="0" w:color="auto"/>
        <w:right w:val="none" w:sz="0" w:space="0" w:color="auto"/>
      </w:divBdr>
    </w:div>
    <w:div w:id="42413387">
      <w:bodyDiv w:val="1"/>
      <w:marLeft w:val="0"/>
      <w:marRight w:val="0"/>
      <w:marTop w:val="0"/>
      <w:marBottom w:val="0"/>
      <w:divBdr>
        <w:top w:val="none" w:sz="0" w:space="0" w:color="auto"/>
        <w:left w:val="none" w:sz="0" w:space="0" w:color="auto"/>
        <w:bottom w:val="none" w:sz="0" w:space="0" w:color="auto"/>
        <w:right w:val="none" w:sz="0" w:space="0" w:color="auto"/>
      </w:divBdr>
    </w:div>
    <w:div w:id="63266273">
      <w:bodyDiv w:val="1"/>
      <w:marLeft w:val="0"/>
      <w:marRight w:val="0"/>
      <w:marTop w:val="0"/>
      <w:marBottom w:val="0"/>
      <w:divBdr>
        <w:top w:val="none" w:sz="0" w:space="0" w:color="auto"/>
        <w:left w:val="none" w:sz="0" w:space="0" w:color="auto"/>
        <w:bottom w:val="none" w:sz="0" w:space="0" w:color="auto"/>
        <w:right w:val="none" w:sz="0" w:space="0" w:color="auto"/>
      </w:divBdr>
    </w:div>
    <w:div w:id="63532594">
      <w:bodyDiv w:val="1"/>
      <w:marLeft w:val="0"/>
      <w:marRight w:val="0"/>
      <w:marTop w:val="0"/>
      <w:marBottom w:val="0"/>
      <w:divBdr>
        <w:top w:val="none" w:sz="0" w:space="0" w:color="auto"/>
        <w:left w:val="none" w:sz="0" w:space="0" w:color="auto"/>
        <w:bottom w:val="none" w:sz="0" w:space="0" w:color="auto"/>
        <w:right w:val="none" w:sz="0" w:space="0" w:color="auto"/>
      </w:divBdr>
    </w:div>
    <w:div w:id="79640794">
      <w:bodyDiv w:val="1"/>
      <w:marLeft w:val="0"/>
      <w:marRight w:val="0"/>
      <w:marTop w:val="0"/>
      <w:marBottom w:val="0"/>
      <w:divBdr>
        <w:top w:val="none" w:sz="0" w:space="0" w:color="auto"/>
        <w:left w:val="none" w:sz="0" w:space="0" w:color="auto"/>
        <w:bottom w:val="none" w:sz="0" w:space="0" w:color="auto"/>
        <w:right w:val="none" w:sz="0" w:space="0" w:color="auto"/>
      </w:divBdr>
    </w:div>
    <w:div w:id="99956320">
      <w:bodyDiv w:val="1"/>
      <w:marLeft w:val="0"/>
      <w:marRight w:val="0"/>
      <w:marTop w:val="0"/>
      <w:marBottom w:val="0"/>
      <w:divBdr>
        <w:top w:val="none" w:sz="0" w:space="0" w:color="auto"/>
        <w:left w:val="none" w:sz="0" w:space="0" w:color="auto"/>
        <w:bottom w:val="none" w:sz="0" w:space="0" w:color="auto"/>
        <w:right w:val="none" w:sz="0" w:space="0" w:color="auto"/>
      </w:divBdr>
    </w:div>
    <w:div w:id="102767072">
      <w:bodyDiv w:val="1"/>
      <w:marLeft w:val="0"/>
      <w:marRight w:val="0"/>
      <w:marTop w:val="0"/>
      <w:marBottom w:val="0"/>
      <w:divBdr>
        <w:top w:val="none" w:sz="0" w:space="0" w:color="auto"/>
        <w:left w:val="none" w:sz="0" w:space="0" w:color="auto"/>
        <w:bottom w:val="none" w:sz="0" w:space="0" w:color="auto"/>
        <w:right w:val="none" w:sz="0" w:space="0" w:color="auto"/>
      </w:divBdr>
    </w:div>
    <w:div w:id="108478936">
      <w:bodyDiv w:val="1"/>
      <w:marLeft w:val="0"/>
      <w:marRight w:val="0"/>
      <w:marTop w:val="0"/>
      <w:marBottom w:val="0"/>
      <w:divBdr>
        <w:top w:val="none" w:sz="0" w:space="0" w:color="auto"/>
        <w:left w:val="none" w:sz="0" w:space="0" w:color="auto"/>
        <w:bottom w:val="none" w:sz="0" w:space="0" w:color="auto"/>
        <w:right w:val="none" w:sz="0" w:space="0" w:color="auto"/>
      </w:divBdr>
    </w:div>
    <w:div w:id="117339496">
      <w:bodyDiv w:val="1"/>
      <w:marLeft w:val="0"/>
      <w:marRight w:val="0"/>
      <w:marTop w:val="0"/>
      <w:marBottom w:val="0"/>
      <w:divBdr>
        <w:top w:val="none" w:sz="0" w:space="0" w:color="auto"/>
        <w:left w:val="none" w:sz="0" w:space="0" w:color="auto"/>
        <w:bottom w:val="none" w:sz="0" w:space="0" w:color="auto"/>
        <w:right w:val="none" w:sz="0" w:space="0" w:color="auto"/>
      </w:divBdr>
      <w:divsChild>
        <w:div w:id="1504004231">
          <w:marLeft w:val="0"/>
          <w:marRight w:val="0"/>
          <w:marTop w:val="0"/>
          <w:marBottom w:val="0"/>
          <w:divBdr>
            <w:top w:val="none" w:sz="0" w:space="0" w:color="auto"/>
            <w:left w:val="none" w:sz="0" w:space="0" w:color="auto"/>
            <w:bottom w:val="none" w:sz="0" w:space="0" w:color="auto"/>
            <w:right w:val="none" w:sz="0" w:space="0" w:color="auto"/>
          </w:divBdr>
        </w:div>
      </w:divsChild>
    </w:div>
    <w:div w:id="120344985">
      <w:bodyDiv w:val="1"/>
      <w:marLeft w:val="0"/>
      <w:marRight w:val="0"/>
      <w:marTop w:val="0"/>
      <w:marBottom w:val="0"/>
      <w:divBdr>
        <w:top w:val="none" w:sz="0" w:space="0" w:color="auto"/>
        <w:left w:val="none" w:sz="0" w:space="0" w:color="auto"/>
        <w:bottom w:val="none" w:sz="0" w:space="0" w:color="auto"/>
        <w:right w:val="none" w:sz="0" w:space="0" w:color="auto"/>
      </w:divBdr>
    </w:div>
    <w:div w:id="129832265">
      <w:bodyDiv w:val="1"/>
      <w:marLeft w:val="0"/>
      <w:marRight w:val="0"/>
      <w:marTop w:val="0"/>
      <w:marBottom w:val="0"/>
      <w:divBdr>
        <w:top w:val="none" w:sz="0" w:space="0" w:color="auto"/>
        <w:left w:val="none" w:sz="0" w:space="0" w:color="auto"/>
        <w:bottom w:val="none" w:sz="0" w:space="0" w:color="auto"/>
        <w:right w:val="none" w:sz="0" w:space="0" w:color="auto"/>
      </w:divBdr>
      <w:divsChild>
        <w:div w:id="1302416976">
          <w:marLeft w:val="0"/>
          <w:marRight w:val="0"/>
          <w:marTop w:val="0"/>
          <w:marBottom w:val="0"/>
          <w:divBdr>
            <w:top w:val="none" w:sz="0" w:space="0" w:color="auto"/>
            <w:left w:val="none" w:sz="0" w:space="0" w:color="auto"/>
            <w:bottom w:val="none" w:sz="0" w:space="0" w:color="auto"/>
            <w:right w:val="none" w:sz="0" w:space="0" w:color="auto"/>
          </w:divBdr>
        </w:div>
        <w:div w:id="1363819574">
          <w:marLeft w:val="0"/>
          <w:marRight w:val="0"/>
          <w:marTop w:val="0"/>
          <w:marBottom w:val="0"/>
          <w:divBdr>
            <w:top w:val="none" w:sz="0" w:space="0" w:color="auto"/>
            <w:left w:val="none" w:sz="0" w:space="0" w:color="auto"/>
            <w:bottom w:val="none" w:sz="0" w:space="0" w:color="auto"/>
            <w:right w:val="none" w:sz="0" w:space="0" w:color="auto"/>
          </w:divBdr>
        </w:div>
        <w:div w:id="1654748434">
          <w:marLeft w:val="0"/>
          <w:marRight w:val="0"/>
          <w:marTop w:val="0"/>
          <w:marBottom w:val="0"/>
          <w:divBdr>
            <w:top w:val="none" w:sz="0" w:space="0" w:color="auto"/>
            <w:left w:val="none" w:sz="0" w:space="0" w:color="auto"/>
            <w:bottom w:val="none" w:sz="0" w:space="0" w:color="auto"/>
            <w:right w:val="none" w:sz="0" w:space="0" w:color="auto"/>
          </w:divBdr>
        </w:div>
        <w:div w:id="1797873002">
          <w:marLeft w:val="0"/>
          <w:marRight w:val="0"/>
          <w:marTop w:val="0"/>
          <w:marBottom w:val="0"/>
          <w:divBdr>
            <w:top w:val="none" w:sz="0" w:space="0" w:color="auto"/>
            <w:left w:val="none" w:sz="0" w:space="0" w:color="auto"/>
            <w:bottom w:val="none" w:sz="0" w:space="0" w:color="auto"/>
            <w:right w:val="none" w:sz="0" w:space="0" w:color="auto"/>
          </w:divBdr>
        </w:div>
      </w:divsChild>
    </w:div>
    <w:div w:id="144470705">
      <w:bodyDiv w:val="1"/>
      <w:marLeft w:val="0"/>
      <w:marRight w:val="0"/>
      <w:marTop w:val="0"/>
      <w:marBottom w:val="0"/>
      <w:divBdr>
        <w:top w:val="none" w:sz="0" w:space="0" w:color="auto"/>
        <w:left w:val="none" w:sz="0" w:space="0" w:color="auto"/>
        <w:bottom w:val="none" w:sz="0" w:space="0" w:color="auto"/>
        <w:right w:val="none" w:sz="0" w:space="0" w:color="auto"/>
      </w:divBdr>
    </w:div>
    <w:div w:id="157039788">
      <w:bodyDiv w:val="1"/>
      <w:marLeft w:val="0"/>
      <w:marRight w:val="0"/>
      <w:marTop w:val="0"/>
      <w:marBottom w:val="0"/>
      <w:divBdr>
        <w:top w:val="none" w:sz="0" w:space="0" w:color="auto"/>
        <w:left w:val="none" w:sz="0" w:space="0" w:color="auto"/>
        <w:bottom w:val="none" w:sz="0" w:space="0" w:color="auto"/>
        <w:right w:val="none" w:sz="0" w:space="0" w:color="auto"/>
      </w:divBdr>
    </w:div>
    <w:div w:id="157118288">
      <w:bodyDiv w:val="1"/>
      <w:marLeft w:val="0"/>
      <w:marRight w:val="0"/>
      <w:marTop w:val="0"/>
      <w:marBottom w:val="0"/>
      <w:divBdr>
        <w:top w:val="none" w:sz="0" w:space="0" w:color="auto"/>
        <w:left w:val="none" w:sz="0" w:space="0" w:color="auto"/>
        <w:bottom w:val="none" w:sz="0" w:space="0" w:color="auto"/>
        <w:right w:val="none" w:sz="0" w:space="0" w:color="auto"/>
      </w:divBdr>
      <w:divsChild>
        <w:div w:id="1266494907">
          <w:marLeft w:val="0"/>
          <w:marRight w:val="0"/>
          <w:marTop w:val="0"/>
          <w:marBottom w:val="0"/>
          <w:divBdr>
            <w:top w:val="none" w:sz="0" w:space="0" w:color="auto"/>
            <w:left w:val="none" w:sz="0" w:space="0" w:color="auto"/>
            <w:bottom w:val="none" w:sz="0" w:space="0" w:color="auto"/>
            <w:right w:val="none" w:sz="0" w:space="0" w:color="auto"/>
          </w:divBdr>
        </w:div>
        <w:div w:id="2141727070">
          <w:marLeft w:val="0"/>
          <w:marRight w:val="0"/>
          <w:marTop w:val="0"/>
          <w:marBottom w:val="0"/>
          <w:divBdr>
            <w:top w:val="none" w:sz="0" w:space="0" w:color="auto"/>
            <w:left w:val="none" w:sz="0" w:space="0" w:color="auto"/>
            <w:bottom w:val="none" w:sz="0" w:space="0" w:color="auto"/>
            <w:right w:val="none" w:sz="0" w:space="0" w:color="auto"/>
          </w:divBdr>
        </w:div>
      </w:divsChild>
    </w:div>
    <w:div w:id="157814872">
      <w:bodyDiv w:val="1"/>
      <w:marLeft w:val="0"/>
      <w:marRight w:val="0"/>
      <w:marTop w:val="0"/>
      <w:marBottom w:val="0"/>
      <w:divBdr>
        <w:top w:val="none" w:sz="0" w:space="0" w:color="auto"/>
        <w:left w:val="none" w:sz="0" w:space="0" w:color="auto"/>
        <w:bottom w:val="none" w:sz="0" w:space="0" w:color="auto"/>
        <w:right w:val="none" w:sz="0" w:space="0" w:color="auto"/>
      </w:divBdr>
    </w:div>
    <w:div w:id="166553854">
      <w:bodyDiv w:val="1"/>
      <w:marLeft w:val="0"/>
      <w:marRight w:val="0"/>
      <w:marTop w:val="0"/>
      <w:marBottom w:val="0"/>
      <w:divBdr>
        <w:top w:val="none" w:sz="0" w:space="0" w:color="auto"/>
        <w:left w:val="none" w:sz="0" w:space="0" w:color="auto"/>
        <w:bottom w:val="none" w:sz="0" w:space="0" w:color="auto"/>
        <w:right w:val="none" w:sz="0" w:space="0" w:color="auto"/>
      </w:divBdr>
    </w:div>
    <w:div w:id="174732738">
      <w:bodyDiv w:val="1"/>
      <w:marLeft w:val="0"/>
      <w:marRight w:val="0"/>
      <w:marTop w:val="0"/>
      <w:marBottom w:val="0"/>
      <w:divBdr>
        <w:top w:val="none" w:sz="0" w:space="0" w:color="auto"/>
        <w:left w:val="none" w:sz="0" w:space="0" w:color="auto"/>
        <w:bottom w:val="none" w:sz="0" w:space="0" w:color="auto"/>
        <w:right w:val="none" w:sz="0" w:space="0" w:color="auto"/>
      </w:divBdr>
      <w:divsChild>
        <w:div w:id="1172835022">
          <w:marLeft w:val="0"/>
          <w:marRight w:val="0"/>
          <w:marTop w:val="0"/>
          <w:marBottom w:val="0"/>
          <w:divBdr>
            <w:top w:val="none" w:sz="0" w:space="0" w:color="auto"/>
            <w:left w:val="none" w:sz="0" w:space="0" w:color="auto"/>
            <w:bottom w:val="none" w:sz="0" w:space="0" w:color="auto"/>
            <w:right w:val="none" w:sz="0" w:space="0" w:color="auto"/>
          </w:divBdr>
        </w:div>
      </w:divsChild>
    </w:div>
    <w:div w:id="177936683">
      <w:bodyDiv w:val="1"/>
      <w:marLeft w:val="0"/>
      <w:marRight w:val="0"/>
      <w:marTop w:val="0"/>
      <w:marBottom w:val="0"/>
      <w:divBdr>
        <w:top w:val="none" w:sz="0" w:space="0" w:color="auto"/>
        <w:left w:val="none" w:sz="0" w:space="0" w:color="auto"/>
        <w:bottom w:val="none" w:sz="0" w:space="0" w:color="auto"/>
        <w:right w:val="none" w:sz="0" w:space="0" w:color="auto"/>
      </w:divBdr>
    </w:div>
    <w:div w:id="189882488">
      <w:bodyDiv w:val="1"/>
      <w:marLeft w:val="0"/>
      <w:marRight w:val="0"/>
      <w:marTop w:val="0"/>
      <w:marBottom w:val="0"/>
      <w:divBdr>
        <w:top w:val="none" w:sz="0" w:space="0" w:color="auto"/>
        <w:left w:val="none" w:sz="0" w:space="0" w:color="auto"/>
        <w:bottom w:val="none" w:sz="0" w:space="0" w:color="auto"/>
        <w:right w:val="none" w:sz="0" w:space="0" w:color="auto"/>
      </w:divBdr>
      <w:divsChild>
        <w:div w:id="1629816899">
          <w:marLeft w:val="0"/>
          <w:marRight w:val="0"/>
          <w:marTop w:val="0"/>
          <w:marBottom w:val="0"/>
          <w:divBdr>
            <w:top w:val="none" w:sz="0" w:space="0" w:color="auto"/>
            <w:left w:val="none" w:sz="0" w:space="0" w:color="auto"/>
            <w:bottom w:val="none" w:sz="0" w:space="0" w:color="auto"/>
            <w:right w:val="none" w:sz="0" w:space="0" w:color="auto"/>
          </w:divBdr>
        </w:div>
      </w:divsChild>
    </w:div>
    <w:div w:id="195120474">
      <w:bodyDiv w:val="1"/>
      <w:marLeft w:val="0"/>
      <w:marRight w:val="0"/>
      <w:marTop w:val="0"/>
      <w:marBottom w:val="0"/>
      <w:divBdr>
        <w:top w:val="none" w:sz="0" w:space="0" w:color="auto"/>
        <w:left w:val="none" w:sz="0" w:space="0" w:color="auto"/>
        <w:bottom w:val="none" w:sz="0" w:space="0" w:color="auto"/>
        <w:right w:val="none" w:sz="0" w:space="0" w:color="auto"/>
      </w:divBdr>
      <w:divsChild>
        <w:div w:id="315958925">
          <w:marLeft w:val="0"/>
          <w:marRight w:val="0"/>
          <w:marTop w:val="0"/>
          <w:marBottom w:val="0"/>
          <w:divBdr>
            <w:top w:val="none" w:sz="0" w:space="0" w:color="auto"/>
            <w:left w:val="none" w:sz="0" w:space="0" w:color="auto"/>
            <w:bottom w:val="none" w:sz="0" w:space="0" w:color="auto"/>
            <w:right w:val="none" w:sz="0" w:space="0" w:color="auto"/>
          </w:divBdr>
        </w:div>
      </w:divsChild>
    </w:div>
    <w:div w:id="195625201">
      <w:bodyDiv w:val="1"/>
      <w:marLeft w:val="0"/>
      <w:marRight w:val="0"/>
      <w:marTop w:val="0"/>
      <w:marBottom w:val="0"/>
      <w:divBdr>
        <w:top w:val="none" w:sz="0" w:space="0" w:color="auto"/>
        <w:left w:val="none" w:sz="0" w:space="0" w:color="auto"/>
        <w:bottom w:val="none" w:sz="0" w:space="0" w:color="auto"/>
        <w:right w:val="none" w:sz="0" w:space="0" w:color="auto"/>
      </w:divBdr>
    </w:div>
    <w:div w:id="224877705">
      <w:bodyDiv w:val="1"/>
      <w:marLeft w:val="0"/>
      <w:marRight w:val="0"/>
      <w:marTop w:val="0"/>
      <w:marBottom w:val="0"/>
      <w:divBdr>
        <w:top w:val="none" w:sz="0" w:space="0" w:color="auto"/>
        <w:left w:val="none" w:sz="0" w:space="0" w:color="auto"/>
        <w:bottom w:val="none" w:sz="0" w:space="0" w:color="auto"/>
        <w:right w:val="none" w:sz="0" w:space="0" w:color="auto"/>
      </w:divBdr>
      <w:divsChild>
        <w:div w:id="1321616976">
          <w:marLeft w:val="0"/>
          <w:marRight w:val="0"/>
          <w:marTop w:val="0"/>
          <w:marBottom w:val="0"/>
          <w:divBdr>
            <w:top w:val="none" w:sz="0" w:space="0" w:color="auto"/>
            <w:left w:val="none" w:sz="0" w:space="0" w:color="auto"/>
            <w:bottom w:val="none" w:sz="0" w:space="0" w:color="auto"/>
            <w:right w:val="none" w:sz="0" w:space="0" w:color="auto"/>
          </w:divBdr>
        </w:div>
      </w:divsChild>
    </w:div>
    <w:div w:id="229774584">
      <w:bodyDiv w:val="1"/>
      <w:marLeft w:val="0"/>
      <w:marRight w:val="0"/>
      <w:marTop w:val="0"/>
      <w:marBottom w:val="0"/>
      <w:divBdr>
        <w:top w:val="none" w:sz="0" w:space="0" w:color="auto"/>
        <w:left w:val="none" w:sz="0" w:space="0" w:color="auto"/>
        <w:bottom w:val="none" w:sz="0" w:space="0" w:color="auto"/>
        <w:right w:val="none" w:sz="0" w:space="0" w:color="auto"/>
      </w:divBdr>
      <w:divsChild>
        <w:div w:id="213011268">
          <w:marLeft w:val="0"/>
          <w:marRight w:val="0"/>
          <w:marTop w:val="0"/>
          <w:marBottom w:val="0"/>
          <w:divBdr>
            <w:top w:val="none" w:sz="0" w:space="0" w:color="auto"/>
            <w:left w:val="none" w:sz="0" w:space="0" w:color="auto"/>
            <w:bottom w:val="none" w:sz="0" w:space="0" w:color="auto"/>
            <w:right w:val="none" w:sz="0" w:space="0" w:color="auto"/>
          </w:divBdr>
        </w:div>
      </w:divsChild>
    </w:div>
    <w:div w:id="231938063">
      <w:bodyDiv w:val="1"/>
      <w:marLeft w:val="0"/>
      <w:marRight w:val="0"/>
      <w:marTop w:val="0"/>
      <w:marBottom w:val="0"/>
      <w:divBdr>
        <w:top w:val="none" w:sz="0" w:space="0" w:color="auto"/>
        <w:left w:val="none" w:sz="0" w:space="0" w:color="auto"/>
        <w:bottom w:val="none" w:sz="0" w:space="0" w:color="auto"/>
        <w:right w:val="none" w:sz="0" w:space="0" w:color="auto"/>
      </w:divBdr>
      <w:divsChild>
        <w:div w:id="1366255270">
          <w:marLeft w:val="0"/>
          <w:marRight w:val="0"/>
          <w:marTop w:val="0"/>
          <w:marBottom w:val="0"/>
          <w:divBdr>
            <w:top w:val="none" w:sz="0" w:space="0" w:color="auto"/>
            <w:left w:val="none" w:sz="0" w:space="0" w:color="auto"/>
            <w:bottom w:val="none" w:sz="0" w:space="0" w:color="auto"/>
            <w:right w:val="none" w:sz="0" w:space="0" w:color="auto"/>
          </w:divBdr>
        </w:div>
      </w:divsChild>
    </w:div>
    <w:div w:id="242036818">
      <w:bodyDiv w:val="1"/>
      <w:marLeft w:val="0"/>
      <w:marRight w:val="0"/>
      <w:marTop w:val="0"/>
      <w:marBottom w:val="0"/>
      <w:divBdr>
        <w:top w:val="none" w:sz="0" w:space="0" w:color="auto"/>
        <w:left w:val="none" w:sz="0" w:space="0" w:color="auto"/>
        <w:bottom w:val="none" w:sz="0" w:space="0" w:color="auto"/>
        <w:right w:val="none" w:sz="0" w:space="0" w:color="auto"/>
      </w:divBdr>
    </w:div>
    <w:div w:id="242490009">
      <w:bodyDiv w:val="1"/>
      <w:marLeft w:val="0"/>
      <w:marRight w:val="0"/>
      <w:marTop w:val="0"/>
      <w:marBottom w:val="0"/>
      <w:divBdr>
        <w:top w:val="none" w:sz="0" w:space="0" w:color="auto"/>
        <w:left w:val="none" w:sz="0" w:space="0" w:color="auto"/>
        <w:bottom w:val="none" w:sz="0" w:space="0" w:color="auto"/>
        <w:right w:val="none" w:sz="0" w:space="0" w:color="auto"/>
      </w:divBdr>
      <w:divsChild>
        <w:div w:id="1321079783">
          <w:marLeft w:val="0"/>
          <w:marRight w:val="0"/>
          <w:marTop w:val="0"/>
          <w:marBottom w:val="0"/>
          <w:divBdr>
            <w:top w:val="none" w:sz="0" w:space="0" w:color="auto"/>
            <w:left w:val="none" w:sz="0" w:space="0" w:color="auto"/>
            <w:bottom w:val="none" w:sz="0" w:space="0" w:color="auto"/>
            <w:right w:val="none" w:sz="0" w:space="0" w:color="auto"/>
          </w:divBdr>
        </w:div>
      </w:divsChild>
    </w:div>
    <w:div w:id="254822857">
      <w:bodyDiv w:val="1"/>
      <w:marLeft w:val="0"/>
      <w:marRight w:val="0"/>
      <w:marTop w:val="0"/>
      <w:marBottom w:val="0"/>
      <w:divBdr>
        <w:top w:val="none" w:sz="0" w:space="0" w:color="auto"/>
        <w:left w:val="none" w:sz="0" w:space="0" w:color="auto"/>
        <w:bottom w:val="none" w:sz="0" w:space="0" w:color="auto"/>
        <w:right w:val="none" w:sz="0" w:space="0" w:color="auto"/>
      </w:divBdr>
      <w:divsChild>
        <w:div w:id="1298341809">
          <w:marLeft w:val="0"/>
          <w:marRight w:val="0"/>
          <w:marTop w:val="0"/>
          <w:marBottom w:val="0"/>
          <w:divBdr>
            <w:top w:val="none" w:sz="0" w:space="0" w:color="auto"/>
            <w:left w:val="none" w:sz="0" w:space="0" w:color="auto"/>
            <w:bottom w:val="none" w:sz="0" w:space="0" w:color="auto"/>
            <w:right w:val="none" w:sz="0" w:space="0" w:color="auto"/>
          </w:divBdr>
          <w:divsChild>
            <w:div w:id="293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24961">
      <w:bodyDiv w:val="1"/>
      <w:marLeft w:val="0"/>
      <w:marRight w:val="0"/>
      <w:marTop w:val="0"/>
      <w:marBottom w:val="0"/>
      <w:divBdr>
        <w:top w:val="none" w:sz="0" w:space="0" w:color="auto"/>
        <w:left w:val="none" w:sz="0" w:space="0" w:color="auto"/>
        <w:bottom w:val="none" w:sz="0" w:space="0" w:color="auto"/>
        <w:right w:val="none" w:sz="0" w:space="0" w:color="auto"/>
      </w:divBdr>
    </w:div>
    <w:div w:id="271397739">
      <w:bodyDiv w:val="1"/>
      <w:marLeft w:val="0"/>
      <w:marRight w:val="0"/>
      <w:marTop w:val="0"/>
      <w:marBottom w:val="0"/>
      <w:divBdr>
        <w:top w:val="none" w:sz="0" w:space="0" w:color="auto"/>
        <w:left w:val="none" w:sz="0" w:space="0" w:color="auto"/>
        <w:bottom w:val="none" w:sz="0" w:space="0" w:color="auto"/>
        <w:right w:val="none" w:sz="0" w:space="0" w:color="auto"/>
      </w:divBdr>
      <w:divsChild>
        <w:div w:id="141123534">
          <w:marLeft w:val="0"/>
          <w:marRight w:val="0"/>
          <w:marTop w:val="0"/>
          <w:marBottom w:val="0"/>
          <w:divBdr>
            <w:top w:val="none" w:sz="0" w:space="0" w:color="auto"/>
            <w:left w:val="none" w:sz="0" w:space="0" w:color="auto"/>
            <w:bottom w:val="none" w:sz="0" w:space="0" w:color="auto"/>
            <w:right w:val="none" w:sz="0" w:space="0" w:color="auto"/>
          </w:divBdr>
        </w:div>
      </w:divsChild>
    </w:div>
    <w:div w:id="285041562">
      <w:bodyDiv w:val="1"/>
      <w:marLeft w:val="0"/>
      <w:marRight w:val="0"/>
      <w:marTop w:val="0"/>
      <w:marBottom w:val="0"/>
      <w:divBdr>
        <w:top w:val="none" w:sz="0" w:space="0" w:color="auto"/>
        <w:left w:val="none" w:sz="0" w:space="0" w:color="auto"/>
        <w:bottom w:val="none" w:sz="0" w:space="0" w:color="auto"/>
        <w:right w:val="none" w:sz="0" w:space="0" w:color="auto"/>
      </w:divBdr>
      <w:divsChild>
        <w:div w:id="443889276">
          <w:marLeft w:val="0"/>
          <w:marRight w:val="0"/>
          <w:marTop w:val="0"/>
          <w:marBottom w:val="0"/>
          <w:divBdr>
            <w:top w:val="none" w:sz="0" w:space="0" w:color="auto"/>
            <w:left w:val="none" w:sz="0" w:space="0" w:color="auto"/>
            <w:bottom w:val="none" w:sz="0" w:space="0" w:color="auto"/>
            <w:right w:val="none" w:sz="0" w:space="0" w:color="auto"/>
          </w:divBdr>
          <w:divsChild>
            <w:div w:id="310212004">
              <w:marLeft w:val="0"/>
              <w:marRight w:val="0"/>
              <w:marTop w:val="0"/>
              <w:marBottom w:val="0"/>
              <w:divBdr>
                <w:top w:val="none" w:sz="0" w:space="0" w:color="auto"/>
                <w:left w:val="none" w:sz="0" w:space="0" w:color="auto"/>
                <w:bottom w:val="none" w:sz="0" w:space="0" w:color="auto"/>
                <w:right w:val="none" w:sz="0" w:space="0" w:color="auto"/>
              </w:divBdr>
            </w:div>
            <w:div w:id="765273302">
              <w:marLeft w:val="0"/>
              <w:marRight w:val="0"/>
              <w:marTop w:val="0"/>
              <w:marBottom w:val="0"/>
              <w:divBdr>
                <w:top w:val="none" w:sz="0" w:space="0" w:color="auto"/>
                <w:left w:val="none" w:sz="0" w:space="0" w:color="auto"/>
                <w:bottom w:val="none" w:sz="0" w:space="0" w:color="auto"/>
                <w:right w:val="none" w:sz="0" w:space="0" w:color="auto"/>
              </w:divBdr>
            </w:div>
            <w:div w:id="2059427217">
              <w:marLeft w:val="0"/>
              <w:marRight w:val="0"/>
              <w:marTop w:val="0"/>
              <w:marBottom w:val="0"/>
              <w:divBdr>
                <w:top w:val="none" w:sz="0" w:space="0" w:color="auto"/>
                <w:left w:val="none" w:sz="0" w:space="0" w:color="auto"/>
                <w:bottom w:val="none" w:sz="0" w:space="0" w:color="auto"/>
                <w:right w:val="none" w:sz="0" w:space="0" w:color="auto"/>
              </w:divBdr>
            </w:div>
          </w:divsChild>
        </w:div>
        <w:div w:id="1019969192">
          <w:marLeft w:val="0"/>
          <w:marRight w:val="0"/>
          <w:marTop w:val="0"/>
          <w:marBottom w:val="0"/>
          <w:divBdr>
            <w:top w:val="none" w:sz="0" w:space="0" w:color="auto"/>
            <w:left w:val="none" w:sz="0" w:space="0" w:color="auto"/>
            <w:bottom w:val="none" w:sz="0" w:space="0" w:color="auto"/>
            <w:right w:val="none" w:sz="0" w:space="0" w:color="auto"/>
          </w:divBdr>
          <w:divsChild>
            <w:div w:id="326175653">
              <w:marLeft w:val="0"/>
              <w:marRight w:val="0"/>
              <w:marTop w:val="0"/>
              <w:marBottom w:val="0"/>
              <w:divBdr>
                <w:top w:val="none" w:sz="0" w:space="0" w:color="auto"/>
                <w:left w:val="none" w:sz="0" w:space="0" w:color="auto"/>
                <w:bottom w:val="none" w:sz="0" w:space="0" w:color="auto"/>
                <w:right w:val="none" w:sz="0" w:space="0" w:color="auto"/>
              </w:divBdr>
            </w:div>
            <w:div w:id="8454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62857">
      <w:bodyDiv w:val="1"/>
      <w:marLeft w:val="0"/>
      <w:marRight w:val="0"/>
      <w:marTop w:val="0"/>
      <w:marBottom w:val="0"/>
      <w:divBdr>
        <w:top w:val="none" w:sz="0" w:space="0" w:color="auto"/>
        <w:left w:val="none" w:sz="0" w:space="0" w:color="auto"/>
        <w:bottom w:val="none" w:sz="0" w:space="0" w:color="auto"/>
        <w:right w:val="none" w:sz="0" w:space="0" w:color="auto"/>
      </w:divBdr>
      <w:divsChild>
        <w:div w:id="2087263735">
          <w:marLeft w:val="0"/>
          <w:marRight w:val="0"/>
          <w:marTop w:val="0"/>
          <w:marBottom w:val="0"/>
          <w:divBdr>
            <w:top w:val="none" w:sz="0" w:space="0" w:color="auto"/>
            <w:left w:val="none" w:sz="0" w:space="0" w:color="auto"/>
            <w:bottom w:val="none" w:sz="0" w:space="0" w:color="auto"/>
            <w:right w:val="none" w:sz="0" w:space="0" w:color="auto"/>
          </w:divBdr>
        </w:div>
      </w:divsChild>
    </w:div>
    <w:div w:id="309403684">
      <w:bodyDiv w:val="1"/>
      <w:marLeft w:val="0"/>
      <w:marRight w:val="0"/>
      <w:marTop w:val="0"/>
      <w:marBottom w:val="0"/>
      <w:divBdr>
        <w:top w:val="none" w:sz="0" w:space="0" w:color="auto"/>
        <w:left w:val="none" w:sz="0" w:space="0" w:color="auto"/>
        <w:bottom w:val="none" w:sz="0" w:space="0" w:color="auto"/>
        <w:right w:val="none" w:sz="0" w:space="0" w:color="auto"/>
      </w:divBdr>
    </w:div>
    <w:div w:id="315378379">
      <w:bodyDiv w:val="1"/>
      <w:marLeft w:val="0"/>
      <w:marRight w:val="0"/>
      <w:marTop w:val="0"/>
      <w:marBottom w:val="0"/>
      <w:divBdr>
        <w:top w:val="none" w:sz="0" w:space="0" w:color="auto"/>
        <w:left w:val="none" w:sz="0" w:space="0" w:color="auto"/>
        <w:bottom w:val="none" w:sz="0" w:space="0" w:color="auto"/>
        <w:right w:val="none" w:sz="0" w:space="0" w:color="auto"/>
      </w:divBdr>
      <w:divsChild>
        <w:div w:id="1249775363">
          <w:marLeft w:val="0"/>
          <w:marRight w:val="0"/>
          <w:marTop w:val="0"/>
          <w:marBottom w:val="0"/>
          <w:divBdr>
            <w:top w:val="none" w:sz="0" w:space="0" w:color="auto"/>
            <w:left w:val="none" w:sz="0" w:space="0" w:color="auto"/>
            <w:bottom w:val="none" w:sz="0" w:space="0" w:color="auto"/>
            <w:right w:val="none" w:sz="0" w:space="0" w:color="auto"/>
          </w:divBdr>
          <w:divsChild>
            <w:div w:id="120540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575910">
      <w:bodyDiv w:val="1"/>
      <w:marLeft w:val="0"/>
      <w:marRight w:val="0"/>
      <w:marTop w:val="0"/>
      <w:marBottom w:val="0"/>
      <w:divBdr>
        <w:top w:val="none" w:sz="0" w:space="0" w:color="auto"/>
        <w:left w:val="none" w:sz="0" w:space="0" w:color="auto"/>
        <w:bottom w:val="none" w:sz="0" w:space="0" w:color="auto"/>
        <w:right w:val="none" w:sz="0" w:space="0" w:color="auto"/>
      </w:divBdr>
      <w:divsChild>
        <w:div w:id="1052534144">
          <w:marLeft w:val="0"/>
          <w:marRight w:val="0"/>
          <w:marTop w:val="0"/>
          <w:marBottom w:val="0"/>
          <w:divBdr>
            <w:top w:val="none" w:sz="0" w:space="0" w:color="auto"/>
            <w:left w:val="none" w:sz="0" w:space="0" w:color="auto"/>
            <w:bottom w:val="none" w:sz="0" w:space="0" w:color="auto"/>
            <w:right w:val="none" w:sz="0" w:space="0" w:color="auto"/>
          </w:divBdr>
        </w:div>
      </w:divsChild>
    </w:div>
    <w:div w:id="317079287">
      <w:bodyDiv w:val="1"/>
      <w:marLeft w:val="0"/>
      <w:marRight w:val="0"/>
      <w:marTop w:val="0"/>
      <w:marBottom w:val="0"/>
      <w:divBdr>
        <w:top w:val="none" w:sz="0" w:space="0" w:color="auto"/>
        <w:left w:val="none" w:sz="0" w:space="0" w:color="auto"/>
        <w:bottom w:val="none" w:sz="0" w:space="0" w:color="auto"/>
        <w:right w:val="none" w:sz="0" w:space="0" w:color="auto"/>
      </w:divBdr>
    </w:div>
    <w:div w:id="321159129">
      <w:bodyDiv w:val="1"/>
      <w:marLeft w:val="0"/>
      <w:marRight w:val="0"/>
      <w:marTop w:val="0"/>
      <w:marBottom w:val="0"/>
      <w:divBdr>
        <w:top w:val="none" w:sz="0" w:space="0" w:color="auto"/>
        <w:left w:val="none" w:sz="0" w:space="0" w:color="auto"/>
        <w:bottom w:val="none" w:sz="0" w:space="0" w:color="auto"/>
        <w:right w:val="none" w:sz="0" w:space="0" w:color="auto"/>
      </w:divBdr>
    </w:div>
    <w:div w:id="350421240">
      <w:bodyDiv w:val="1"/>
      <w:marLeft w:val="0"/>
      <w:marRight w:val="0"/>
      <w:marTop w:val="0"/>
      <w:marBottom w:val="0"/>
      <w:divBdr>
        <w:top w:val="none" w:sz="0" w:space="0" w:color="auto"/>
        <w:left w:val="none" w:sz="0" w:space="0" w:color="auto"/>
        <w:bottom w:val="none" w:sz="0" w:space="0" w:color="auto"/>
        <w:right w:val="none" w:sz="0" w:space="0" w:color="auto"/>
      </w:divBdr>
    </w:div>
    <w:div w:id="367796861">
      <w:bodyDiv w:val="1"/>
      <w:marLeft w:val="0"/>
      <w:marRight w:val="0"/>
      <w:marTop w:val="0"/>
      <w:marBottom w:val="0"/>
      <w:divBdr>
        <w:top w:val="none" w:sz="0" w:space="0" w:color="auto"/>
        <w:left w:val="none" w:sz="0" w:space="0" w:color="auto"/>
        <w:bottom w:val="none" w:sz="0" w:space="0" w:color="auto"/>
        <w:right w:val="none" w:sz="0" w:space="0" w:color="auto"/>
      </w:divBdr>
    </w:div>
    <w:div w:id="374932192">
      <w:bodyDiv w:val="1"/>
      <w:marLeft w:val="0"/>
      <w:marRight w:val="0"/>
      <w:marTop w:val="0"/>
      <w:marBottom w:val="0"/>
      <w:divBdr>
        <w:top w:val="none" w:sz="0" w:space="0" w:color="auto"/>
        <w:left w:val="none" w:sz="0" w:space="0" w:color="auto"/>
        <w:bottom w:val="none" w:sz="0" w:space="0" w:color="auto"/>
        <w:right w:val="none" w:sz="0" w:space="0" w:color="auto"/>
      </w:divBdr>
    </w:div>
    <w:div w:id="396361926">
      <w:bodyDiv w:val="1"/>
      <w:marLeft w:val="0"/>
      <w:marRight w:val="0"/>
      <w:marTop w:val="0"/>
      <w:marBottom w:val="0"/>
      <w:divBdr>
        <w:top w:val="none" w:sz="0" w:space="0" w:color="auto"/>
        <w:left w:val="none" w:sz="0" w:space="0" w:color="auto"/>
        <w:bottom w:val="none" w:sz="0" w:space="0" w:color="auto"/>
        <w:right w:val="none" w:sz="0" w:space="0" w:color="auto"/>
      </w:divBdr>
    </w:div>
    <w:div w:id="398018023">
      <w:bodyDiv w:val="1"/>
      <w:marLeft w:val="0"/>
      <w:marRight w:val="0"/>
      <w:marTop w:val="0"/>
      <w:marBottom w:val="0"/>
      <w:divBdr>
        <w:top w:val="none" w:sz="0" w:space="0" w:color="auto"/>
        <w:left w:val="none" w:sz="0" w:space="0" w:color="auto"/>
        <w:bottom w:val="none" w:sz="0" w:space="0" w:color="auto"/>
        <w:right w:val="none" w:sz="0" w:space="0" w:color="auto"/>
      </w:divBdr>
      <w:divsChild>
        <w:div w:id="825121949">
          <w:marLeft w:val="0"/>
          <w:marRight w:val="0"/>
          <w:marTop w:val="0"/>
          <w:marBottom w:val="0"/>
          <w:divBdr>
            <w:top w:val="none" w:sz="0" w:space="0" w:color="auto"/>
            <w:left w:val="none" w:sz="0" w:space="0" w:color="auto"/>
            <w:bottom w:val="none" w:sz="0" w:space="0" w:color="auto"/>
            <w:right w:val="none" w:sz="0" w:space="0" w:color="auto"/>
          </w:divBdr>
        </w:div>
      </w:divsChild>
    </w:div>
    <w:div w:id="401488852">
      <w:bodyDiv w:val="1"/>
      <w:marLeft w:val="0"/>
      <w:marRight w:val="0"/>
      <w:marTop w:val="0"/>
      <w:marBottom w:val="0"/>
      <w:divBdr>
        <w:top w:val="none" w:sz="0" w:space="0" w:color="auto"/>
        <w:left w:val="none" w:sz="0" w:space="0" w:color="auto"/>
        <w:bottom w:val="none" w:sz="0" w:space="0" w:color="auto"/>
        <w:right w:val="none" w:sz="0" w:space="0" w:color="auto"/>
      </w:divBdr>
    </w:div>
    <w:div w:id="425157528">
      <w:bodyDiv w:val="1"/>
      <w:marLeft w:val="0"/>
      <w:marRight w:val="0"/>
      <w:marTop w:val="0"/>
      <w:marBottom w:val="0"/>
      <w:divBdr>
        <w:top w:val="none" w:sz="0" w:space="0" w:color="auto"/>
        <w:left w:val="none" w:sz="0" w:space="0" w:color="auto"/>
        <w:bottom w:val="none" w:sz="0" w:space="0" w:color="auto"/>
        <w:right w:val="none" w:sz="0" w:space="0" w:color="auto"/>
      </w:divBdr>
    </w:div>
    <w:div w:id="439879236">
      <w:bodyDiv w:val="1"/>
      <w:marLeft w:val="0"/>
      <w:marRight w:val="0"/>
      <w:marTop w:val="0"/>
      <w:marBottom w:val="0"/>
      <w:divBdr>
        <w:top w:val="none" w:sz="0" w:space="0" w:color="auto"/>
        <w:left w:val="none" w:sz="0" w:space="0" w:color="auto"/>
        <w:bottom w:val="none" w:sz="0" w:space="0" w:color="auto"/>
        <w:right w:val="none" w:sz="0" w:space="0" w:color="auto"/>
      </w:divBdr>
      <w:divsChild>
        <w:div w:id="2000884334">
          <w:marLeft w:val="0"/>
          <w:marRight w:val="0"/>
          <w:marTop w:val="0"/>
          <w:marBottom w:val="0"/>
          <w:divBdr>
            <w:top w:val="none" w:sz="0" w:space="0" w:color="auto"/>
            <w:left w:val="none" w:sz="0" w:space="0" w:color="auto"/>
            <w:bottom w:val="none" w:sz="0" w:space="0" w:color="auto"/>
            <w:right w:val="none" w:sz="0" w:space="0" w:color="auto"/>
          </w:divBdr>
        </w:div>
      </w:divsChild>
    </w:div>
    <w:div w:id="449250805">
      <w:bodyDiv w:val="1"/>
      <w:marLeft w:val="0"/>
      <w:marRight w:val="0"/>
      <w:marTop w:val="0"/>
      <w:marBottom w:val="0"/>
      <w:divBdr>
        <w:top w:val="none" w:sz="0" w:space="0" w:color="auto"/>
        <w:left w:val="none" w:sz="0" w:space="0" w:color="auto"/>
        <w:bottom w:val="none" w:sz="0" w:space="0" w:color="auto"/>
        <w:right w:val="none" w:sz="0" w:space="0" w:color="auto"/>
      </w:divBdr>
      <w:divsChild>
        <w:div w:id="879123723">
          <w:marLeft w:val="0"/>
          <w:marRight w:val="0"/>
          <w:marTop w:val="0"/>
          <w:marBottom w:val="0"/>
          <w:divBdr>
            <w:top w:val="none" w:sz="0" w:space="0" w:color="auto"/>
            <w:left w:val="none" w:sz="0" w:space="0" w:color="auto"/>
            <w:bottom w:val="none" w:sz="0" w:space="0" w:color="auto"/>
            <w:right w:val="none" w:sz="0" w:space="0" w:color="auto"/>
          </w:divBdr>
          <w:divsChild>
            <w:div w:id="93417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051220">
      <w:bodyDiv w:val="1"/>
      <w:marLeft w:val="0"/>
      <w:marRight w:val="0"/>
      <w:marTop w:val="0"/>
      <w:marBottom w:val="0"/>
      <w:divBdr>
        <w:top w:val="none" w:sz="0" w:space="0" w:color="auto"/>
        <w:left w:val="none" w:sz="0" w:space="0" w:color="auto"/>
        <w:bottom w:val="none" w:sz="0" w:space="0" w:color="auto"/>
        <w:right w:val="none" w:sz="0" w:space="0" w:color="auto"/>
      </w:divBdr>
    </w:div>
    <w:div w:id="466625226">
      <w:bodyDiv w:val="1"/>
      <w:marLeft w:val="0"/>
      <w:marRight w:val="0"/>
      <w:marTop w:val="0"/>
      <w:marBottom w:val="0"/>
      <w:divBdr>
        <w:top w:val="none" w:sz="0" w:space="0" w:color="auto"/>
        <w:left w:val="none" w:sz="0" w:space="0" w:color="auto"/>
        <w:bottom w:val="none" w:sz="0" w:space="0" w:color="auto"/>
        <w:right w:val="none" w:sz="0" w:space="0" w:color="auto"/>
      </w:divBdr>
    </w:div>
    <w:div w:id="471602298">
      <w:bodyDiv w:val="1"/>
      <w:marLeft w:val="0"/>
      <w:marRight w:val="0"/>
      <w:marTop w:val="0"/>
      <w:marBottom w:val="0"/>
      <w:divBdr>
        <w:top w:val="none" w:sz="0" w:space="0" w:color="auto"/>
        <w:left w:val="none" w:sz="0" w:space="0" w:color="auto"/>
        <w:bottom w:val="none" w:sz="0" w:space="0" w:color="auto"/>
        <w:right w:val="none" w:sz="0" w:space="0" w:color="auto"/>
      </w:divBdr>
    </w:div>
    <w:div w:id="479618070">
      <w:bodyDiv w:val="1"/>
      <w:marLeft w:val="0"/>
      <w:marRight w:val="0"/>
      <w:marTop w:val="0"/>
      <w:marBottom w:val="0"/>
      <w:divBdr>
        <w:top w:val="none" w:sz="0" w:space="0" w:color="auto"/>
        <w:left w:val="none" w:sz="0" w:space="0" w:color="auto"/>
        <w:bottom w:val="none" w:sz="0" w:space="0" w:color="auto"/>
        <w:right w:val="none" w:sz="0" w:space="0" w:color="auto"/>
      </w:divBdr>
      <w:divsChild>
        <w:div w:id="1325356082">
          <w:marLeft w:val="0"/>
          <w:marRight w:val="0"/>
          <w:marTop w:val="0"/>
          <w:marBottom w:val="0"/>
          <w:divBdr>
            <w:top w:val="none" w:sz="0" w:space="0" w:color="auto"/>
            <w:left w:val="none" w:sz="0" w:space="0" w:color="auto"/>
            <w:bottom w:val="none" w:sz="0" w:space="0" w:color="auto"/>
            <w:right w:val="none" w:sz="0" w:space="0" w:color="auto"/>
          </w:divBdr>
        </w:div>
      </w:divsChild>
    </w:div>
    <w:div w:id="486241565">
      <w:bodyDiv w:val="1"/>
      <w:marLeft w:val="0"/>
      <w:marRight w:val="0"/>
      <w:marTop w:val="0"/>
      <w:marBottom w:val="0"/>
      <w:divBdr>
        <w:top w:val="none" w:sz="0" w:space="0" w:color="auto"/>
        <w:left w:val="none" w:sz="0" w:space="0" w:color="auto"/>
        <w:bottom w:val="none" w:sz="0" w:space="0" w:color="auto"/>
        <w:right w:val="none" w:sz="0" w:space="0" w:color="auto"/>
      </w:divBdr>
      <w:divsChild>
        <w:div w:id="2133094118">
          <w:marLeft w:val="0"/>
          <w:marRight w:val="0"/>
          <w:marTop w:val="0"/>
          <w:marBottom w:val="0"/>
          <w:divBdr>
            <w:top w:val="none" w:sz="0" w:space="0" w:color="auto"/>
            <w:left w:val="none" w:sz="0" w:space="0" w:color="auto"/>
            <w:bottom w:val="none" w:sz="0" w:space="0" w:color="auto"/>
            <w:right w:val="none" w:sz="0" w:space="0" w:color="auto"/>
          </w:divBdr>
        </w:div>
      </w:divsChild>
    </w:div>
    <w:div w:id="488013561">
      <w:bodyDiv w:val="1"/>
      <w:marLeft w:val="0"/>
      <w:marRight w:val="0"/>
      <w:marTop w:val="0"/>
      <w:marBottom w:val="0"/>
      <w:divBdr>
        <w:top w:val="none" w:sz="0" w:space="0" w:color="auto"/>
        <w:left w:val="none" w:sz="0" w:space="0" w:color="auto"/>
        <w:bottom w:val="none" w:sz="0" w:space="0" w:color="auto"/>
        <w:right w:val="none" w:sz="0" w:space="0" w:color="auto"/>
      </w:divBdr>
    </w:div>
    <w:div w:id="488643048">
      <w:bodyDiv w:val="1"/>
      <w:marLeft w:val="0"/>
      <w:marRight w:val="0"/>
      <w:marTop w:val="0"/>
      <w:marBottom w:val="0"/>
      <w:divBdr>
        <w:top w:val="none" w:sz="0" w:space="0" w:color="auto"/>
        <w:left w:val="none" w:sz="0" w:space="0" w:color="auto"/>
        <w:bottom w:val="none" w:sz="0" w:space="0" w:color="auto"/>
        <w:right w:val="none" w:sz="0" w:space="0" w:color="auto"/>
      </w:divBdr>
    </w:div>
    <w:div w:id="493642369">
      <w:bodyDiv w:val="1"/>
      <w:marLeft w:val="0"/>
      <w:marRight w:val="0"/>
      <w:marTop w:val="0"/>
      <w:marBottom w:val="0"/>
      <w:divBdr>
        <w:top w:val="none" w:sz="0" w:space="0" w:color="auto"/>
        <w:left w:val="none" w:sz="0" w:space="0" w:color="auto"/>
        <w:bottom w:val="none" w:sz="0" w:space="0" w:color="auto"/>
        <w:right w:val="none" w:sz="0" w:space="0" w:color="auto"/>
      </w:divBdr>
      <w:divsChild>
        <w:div w:id="1562016580">
          <w:marLeft w:val="0"/>
          <w:marRight w:val="0"/>
          <w:marTop w:val="0"/>
          <w:marBottom w:val="0"/>
          <w:divBdr>
            <w:top w:val="none" w:sz="0" w:space="0" w:color="auto"/>
            <w:left w:val="none" w:sz="0" w:space="0" w:color="auto"/>
            <w:bottom w:val="none" w:sz="0" w:space="0" w:color="auto"/>
            <w:right w:val="none" w:sz="0" w:space="0" w:color="auto"/>
          </w:divBdr>
        </w:div>
      </w:divsChild>
    </w:div>
    <w:div w:id="507453337">
      <w:bodyDiv w:val="1"/>
      <w:marLeft w:val="0"/>
      <w:marRight w:val="0"/>
      <w:marTop w:val="0"/>
      <w:marBottom w:val="0"/>
      <w:divBdr>
        <w:top w:val="none" w:sz="0" w:space="0" w:color="auto"/>
        <w:left w:val="none" w:sz="0" w:space="0" w:color="auto"/>
        <w:bottom w:val="none" w:sz="0" w:space="0" w:color="auto"/>
        <w:right w:val="none" w:sz="0" w:space="0" w:color="auto"/>
      </w:divBdr>
    </w:div>
    <w:div w:id="518936489">
      <w:bodyDiv w:val="1"/>
      <w:marLeft w:val="0"/>
      <w:marRight w:val="0"/>
      <w:marTop w:val="0"/>
      <w:marBottom w:val="0"/>
      <w:divBdr>
        <w:top w:val="none" w:sz="0" w:space="0" w:color="auto"/>
        <w:left w:val="none" w:sz="0" w:space="0" w:color="auto"/>
        <w:bottom w:val="none" w:sz="0" w:space="0" w:color="auto"/>
        <w:right w:val="none" w:sz="0" w:space="0" w:color="auto"/>
      </w:divBdr>
      <w:divsChild>
        <w:div w:id="1892034610">
          <w:marLeft w:val="0"/>
          <w:marRight w:val="0"/>
          <w:marTop w:val="0"/>
          <w:marBottom w:val="0"/>
          <w:divBdr>
            <w:top w:val="none" w:sz="0" w:space="0" w:color="auto"/>
            <w:left w:val="none" w:sz="0" w:space="0" w:color="auto"/>
            <w:bottom w:val="none" w:sz="0" w:space="0" w:color="auto"/>
            <w:right w:val="none" w:sz="0" w:space="0" w:color="auto"/>
          </w:divBdr>
        </w:div>
      </w:divsChild>
    </w:div>
    <w:div w:id="536623642">
      <w:bodyDiv w:val="1"/>
      <w:marLeft w:val="0"/>
      <w:marRight w:val="0"/>
      <w:marTop w:val="0"/>
      <w:marBottom w:val="0"/>
      <w:divBdr>
        <w:top w:val="none" w:sz="0" w:space="0" w:color="auto"/>
        <w:left w:val="none" w:sz="0" w:space="0" w:color="auto"/>
        <w:bottom w:val="none" w:sz="0" w:space="0" w:color="auto"/>
        <w:right w:val="none" w:sz="0" w:space="0" w:color="auto"/>
      </w:divBdr>
    </w:div>
    <w:div w:id="545265394">
      <w:bodyDiv w:val="1"/>
      <w:marLeft w:val="0"/>
      <w:marRight w:val="0"/>
      <w:marTop w:val="0"/>
      <w:marBottom w:val="0"/>
      <w:divBdr>
        <w:top w:val="none" w:sz="0" w:space="0" w:color="auto"/>
        <w:left w:val="none" w:sz="0" w:space="0" w:color="auto"/>
        <w:bottom w:val="none" w:sz="0" w:space="0" w:color="auto"/>
        <w:right w:val="none" w:sz="0" w:space="0" w:color="auto"/>
      </w:divBdr>
      <w:divsChild>
        <w:div w:id="625240319">
          <w:marLeft w:val="0"/>
          <w:marRight w:val="0"/>
          <w:marTop w:val="0"/>
          <w:marBottom w:val="0"/>
          <w:divBdr>
            <w:top w:val="none" w:sz="0" w:space="0" w:color="auto"/>
            <w:left w:val="none" w:sz="0" w:space="0" w:color="auto"/>
            <w:bottom w:val="none" w:sz="0" w:space="0" w:color="auto"/>
            <w:right w:val="none" w:sz="0" w:space="0" w:color="auto"/>
          </w:divBdr>
        </w:div>
      </w:divsChild>
    </w:div>
    <w:div w:id="562567555">
      <w:bodyDiv w:val="1"/>
      <w:marLeft w:val="0"/>
      <w:marRight w:val="0"/>
      <w:marTop w:val="0"/>
      <w:marBottom w:val="0"/>
      <w:divBdr>
        <w:top w:val="none" w:sz="0" w:space="0" w:color="auto"/>
        <w:left w:val="none" w:sz="0" w:space="0" w:color="auto"/>
        <w:bottom w:val="none" w:sz="0" w:space="0" w:color="auto"/>
        <w:right w:val="none" w:sz="0" w:space="0" w:color="auto"/>
      </w:divBdr>
    </w:div>
    <w:div w:id="579749960">
      <w:bodyDiv w:val="1"/>
      <w:marLeft w:val="0"/>
      <w:marRight w:val="0"/>
      <w:marTop w:val="0"/>
      <w:marBottom w:val="0"/>
      <w:divBdr>
        <w:top w:val="none" w:sz="0" w:space="0" w:color="auto"/>
        <w:left w:val="none" w:sz="0" w:space="0" w:color="auto"/>
        <w:bottom w:val="none" w:sz="0" w:space="0" w:color="auto"/>
        <w:right w:val="none" w:sz="0" w:space="0" w:color="auto"/>
      </w:divBdr>
    </w:div>
    <w:div w:id="585387605">
      <w:bodyDiv w:val="1"/>
      <w:marLeft w:val="0"/>
      <w:marRight w:val="0"/>
      <w:marTop w:val="0"/>
      <w:marBottom w:val="0"/>
      <w:divBdr>
        <w:top w:val="none" w:sz="0" w:space="0" w:color="auto"/>
        <w:left w:val="none" w:sz="0" w:space="0" w:color="auto"/>
        <w:bottom w:val="none" w:sz="0" w:space="0" w:color="auto"/>
        <w:right w:val="none" w:sz="0" w:space="0" w:color="auto"/>
      </w:divBdr>
    </w:div>
    <w:div w:id="587078588">
      <w:bodyDiv w:val="1"/>
      <w:marLeft w:val="0"/>
      <w:marRight w:val="0"/>
      <w:marTop w:val="0"/>
      <w:marBottom w:val="0"/>
      <w:divBdr>
        <w:top w:val="none" w:sz="0" w:space="0" w:color="auto"/>
        <w:left w:val="none" w:sz="0" w:space="0" w:color="auto"/>
        <w:bottom w:val="none" w:sz="0" w:space="0" w:color="auto"/>
        <w:right w:val="none" w:sz="0" w:space="0" w:color="auto"/>
      </w:divBdr>
    </w:div>
    <w:div w:id="589123783">
      <w:bodyDiv w:val="1"/>
      <w:marLeft w:val="0"/>
      <w:marRight w:val="0"/>
      <w:marTop w:val="0"/>
      <w:marBottom w:val="0"/>
      <w:divBdr>
        <w:top w:val="none" w:sz="0" w:space="0" w:color="auto"/>
        <w:left w:val="none" w:sz="0" w:space="0" w:color="auto"/>
        <w:bottom w:val="none" w:sz="0" w:space="0" w:color="auto"/>
        <w:right w:val="none" w:sz="0" w:space="0" w:color="auto"/>
      </w:divBdr>
      <w:divsChild>
        <w:div w:id="381905478">
          <w:marLeft w:val="0"/>
          <w:marRight w:val="0"/>
          <w:marTop w:val="0"/>
          <w:marBottom w:val="0"/>
          <w:divBdr>
            <w:top w:val="none" w:sz="0" w:space="0" w:color="auto"/>
            <w:left w:val="none" w:sz="0" w:space="0" w:color="auto"/>
            <w:bottom w:val="none" w:sz="0" w:space="0" w:color="auto"/>
            <w:right w:val="none" w:sz="0" w:space="0" w:color="auto"/>
          </w:divBdr>
        </w:div>
        <w:div w:id="393240280">
          <w:marLeft w:val="0"/>
          <w:marRight w:val="0"/>
          <w:marTop w:val="0"/>
          <w:marBottom w:val="0"/>
          <w:divBdr>
            <w:top w:val="none" w:sz="0" w:space="0" w:color="auto"/>
            <w:left w:val="none" w:sz="0" w:space="0" w:color="auto"/>
            <w:bottom w:val="none" w:sz="0" w:space="0" w:color="auto"/>
            <w:right w:val="none" w:sz="0" w:space="0" w:color="auto"/>
          </w:divBdr>
        </w:div>
        <w:div w:id="755400311">
          <w:marLeft w:val="0"/>
          <w:marRight w:val="0"/>
          <w:marTop w:val="0"/>
          <w:marBottom w:val="0"/>
          <w:divBdr>
            <w:top w:val="none" w:sz="0" w:space="0" w:color="auto"/>
            <w:left w:val="none" w:sz="0" w:space="0" w:color="auto"/>
            <w:bottom w:val="none" w:sz="0" w:space="0" w:color="auto"/>
            <w:right w:val="none" w:sz="0" w:space="0" w:color="auto"/>
          </w:divBdr>
        </w:div>
        <w:div w:id="1430350352">
          <w:marLeft w:val="0"/>
          <w:marRight w:val="0"/>
          <w:marTop w:val="0"/>
          <w:marBottom w:val="0"/>
          <w:divBdr>
            <w:top w:val="none" w:sz="0" w:space="0" w:color="auto"/>
            <w:left w:val="none" w:sz="0" w:space="0" w:color="auto"/>
            <w:bottom w:val="none" w:sz="0" w:space="0" w:color="auto"/>
            <w:right w:val="none" w:sz="0" w:space="0" w:color="auto"/>
          </w:divBdr>
        </w:div>
      </w:divsChild>
    </w:div>
    <w:div w:id="606042502">
      <w:bodyDiv w:val="1"/>
      <w:marLeft w:val="0"/>
      <w:marRight w:val="0"/>
      <w:marTop w:val="0"/>
      <w:marBottom w:val="0"/>
      <w:divBdr>
        <w:top w:val="none" w:sz="0" w:space="0" w:color="auto"/>
        <w:left w:val="none" w:sz="0" w:space="0" w:color="auto"/>
        <w:bottom w:val="none" w:sz="0" w:space="0" w:color="auto"/>
        <w:right w:val="none" w:sz="0" w:space="0" w:color="auto"/>
      </w:divBdr>
    </w:div>
    <w:div w:id="620235242">
      <w:bodyDiv w:val="1"/>
      <w:marLeft w:val="0"/>
      <w:marRight w:val="0"/>
      <w:marTop w:val="0"/>
      <w:marBottom w:val="0"/>
      <w:divBdr>
        <w:top w:val="none" w:sz="0" w:space="0" w:color="auto"/>
        <w:left w:val="none" w:sz="0" w:space="0" w:color="auto"/>
        <w:bottom w:val="none" w:sz="0" w:space="0" w:color="auto"/>
        <w:right w:val="none" w:sz="0" w:space="0" w:color="auto"/>
      </w:divBdr>
      <w:divsChild>
        <w:div w:id="71319674">
          <w:marLeft w:val="0"/>
          <w:marRight w:val="0"/>
          <w:marTop w:val="0"/>
          <w:marBottom w:val="0"/>
          <w:divBdr>
            <w:top w:val="none" w:sz="0" w:space="0" w:color="auto"/>
            <w:left w:val="none" w:sz="0" w:space="0" w:color="auto"/>
            <w:bottom w:val="none" w:sz="0" w:space="0" w:color="auto"/>
            <w:right w:val="none" w:sz="0" w:space="0" w:color="auto"/>
          </w:divBdr>
        </w:div>
      </w:divsChild>
    </w:div>
    <w:div w:id="630985156">
      <w:bodyDiv w:val="1"/>
      <w:marLeft w:val="0"/>
      <w:marRight w:val="0"/>
      <w:marTop w:val="0"/>
      <w:marBottom w:val="0"/>
      <w:divBdr>
        <w:top w:val="none" w:sz="0" w:space="0" w:color="auto"/>
        <w:left w:val="none" w:sz="0" w:space="0" w:color="auto"/>
        <w:bottom w:val="none" w:sz="0" w:space="0" w:color="auto"/>
        <w:right w:val="none" w:sz="0" w:space="0" w:color="auto"/>
      </w:divBdr>
      <w:divsChild>
        <w:div w:id="1437479720">
          <w:marLeft w:val="0"/>
          <w:marRight w:val="0"/>
          <w:marTop w:val="0"/>
          <w:marBottom w:val="0"/>
          <w:divBdr>
            <w:top w:val="none" w:sz="0" w:space="0" w:color="auto"/>
            <w:left w:val="none" w:sz="0" w:space="0" w:color="auto"/>
            <w:bottom w:val="none" w:sz="0" w:space="0" w:color="auto"/>
            <w:right w:val="none" w:sz="0" w:space="0" w:color="auto"/>
          </w:divBdr>
        </w:div>
      </w:divsChild>
    </w:div>
    <w:div w:id="639266572">
      <w:bodyDiv w:val="1"/>
      <w:marLeft w:val="0"/>
      <w:marRight w:val="0"/>
      <w:marTop w:val="0"/>
      <w:marBottom w:val="0"/>
      <w:divBdr>
        <w:top w:val="none" w:sz="0" w:space="0" w:color="auto"/>
        <w:left w:val="none" w:sz="0" w:space="0" w:color="auto"/>
        <w:bottom w:val="none" w:sz="0" w:space="0" w:color="auto"/>
        <w:right w:val="none" w:sz="0" w:space="0" w:color="auto"/>
      </w:divBdr>
    </w:div>
    <w:div w:id="656374528">
      <w:bodyDiv w:val="1"/>
      <w:marLeft w:val="0"/>
      <w:marRight w:val="0"/>
      <w:marTop w:val="0"/>
      <w:marBottom w:val="0"/>
      <w:divBdr>
        <w:top w:val="none" w:sz="0" w:space="0" w:color="auto"/>
        <w:left w:val="none" w:sz="0" w:space="0" w:color="auto"/>
        <w:bottom w:val="none" w:sz="0" w:space="0" w:color="auto"/>
        <w:right w:val="none" w:sz="0" w:space="0" w:color="auto"/>
      </w:divBdr>
    </w:div>
    <w:div w:id="659193744">
      <w:bodyDiv w:val="1"/>
      <w:marLeft w:val="0"/>
      <w:marRight w:val="0"/>
      <w:marTop w:val="0"/>
      <w:marBottom w:val="0"/>
      <w:divBdr>
        <w:top w:val="none" w:sz="0" w:space="0" w:color="auto"/>
        <w:left w:val="none" w:sz="0" w:space="0" w:color="auto"/>
        <w:bottom w:val="none" w:sz="0" w:space="0" w:color="auto"/>
        <w:right w:val="none" w:sz="0" w:space="0" w:color="auto"/>
      </w:divBdr>
      <w:divsChild>
        <w:div w:id="828441045">
          <w:marLeft w:val="0"/>
          <w:marRight w:val="0"/>
          <w:marTop w:val="0"/>
          <w:marBottom w:val="0"/>
          <w:divBdr>
            <w:top w:val="none" w:sz="0" w:space="0" w:color="auto"/>
            <w:left w:val="none" w:sz="0" w:space="0" w:color="auto"/>
            <w:bottom w:val="none" w:sz="0" w:space="0" w:color="auto"/>
            <w:right w:val="none" w:sz="0" w:space="0" w:color="auto"/>
          </w:divBdr>
          <w:divsChild>
            <w:div w:id="139160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03295">
      <w:bodyDiv w:val="1"/>
      <w:marLeft w:val="0"/>
      <w:marRight w:val="0"/>
      <w:marTop w:val="0"/>
      <w:marBottom w:val="0"/>
      <w:divBdr>
        <w:top w:val="none" w:sz="0" w:space="0" w:color="auto"/>
        <w:left w:val="none" w:sz="0" w:space="0" w:color="auto"/>
        <w:bottom w:val="none" w:sz="0" w:space="0" w:color="auto"/>
        <w:right w:val="none" w:sz="0" w:space="0" w:color="auto"/>
      </w:divBdr>
      <w:divsChild>
        <w:div w:id="292099678">
          <w:marLeft w:val="0"/>
          <w:marRight w:val="0"/>
          <w:marTop w:val="0"/>
          <w:marBottom w:val="0"/>
          <w:divBdr>
            <w:top w:val="none" w:sz="0" w:space="0" w:color="auto"/>
            <w:left w:val="none" w:sz="0" w:space="0" w:color="auto"/>
            <w:bottom w:val="none" w:sz="0" w:space="0" w:color="auto"/>
            <w:right w:val="none" w:sz="0" w:space="0" w:color="auto"/>
          </w:divBdr>
        </w:div>
      </w:divsChild>
    </w:div>
    <w:div w:id="682367162">
      <w:bodyDiv w:val="1"/>
      <w:marLeft w:val="0"/>
      <w:marRight w:val="0"/>
      <w:marTop w:val="0"/>
      <w:marBottom w:val="0"/>
      <w:divBdr>
        <w:top w:val="none" w:sz="0" w:space="0" w:color="auto"/>
        <w:left w:val="none" w:sz="0" w:space="0" w:color="auto"/>
        <w:bottom w:val="none" w:sz="0" w:space="0" w:color="auto"/>
        <w:right w:val="none" w:sz="0" w:space="0" w:color="auto"/>
      </w:divBdr>
    </w:div>
    <w:div w:id="687949785">
      <w:bodyDiv w:val="1"/>
      <w:marLeft w:val="0"/>
      <w:marRight w:val="0"/>
      <w:marTop w:val="0"/>
      <w:marBottom w:val="0"/>
      <w:divBdr>
        <w:top w:val="none" w:sz="0" w:space="0" w:color="auto"/>
        <w:left w:val="none" w:sz="0" w:space="0" w:color="auto"/>
        <w:bottom w:val="none" w:sz="0" w:space="0" w:color="auto"/>
        <w:right w:val="none" w:sz="0" w:space="0" w:color="auto"/>
      </w:divBdr>
      <w:divsChild>
        <w:div w:id="1493789761">
          <w:marLeft w:val="0"/>
          <w:marRight w:val="0"/>
          <w:marTop w:val="0"/>
          <w:marBottom w:val="0"/>
          <w:divBdr>
            <w:top w:val="none" w:sz="0" w:space="0" w:color="auto"/>
            <w:left w:val="none" w:sz="0" w:space="0" w:color="auto"/>
            <w:bottom w:val="none" w:sz="0" w:space="0" w:color="auto"/>
            <w:right w:val="none" w:sz="0" w:space="0" w:color="auto"/>
          </w:divBdr>
        </w:div>
      </w:divsChild>
    </w:div>
    <w:div w:id="699208517">
      <w:bodyDiv w:val="1"/>
      <w:marLeft w:val="0"/>
      <w:marRight w:val="0"/>
      <w:marTop w:val="0"/>
      <w:marBottom w:val="0"/>
      <w:divBdr>
        <w:top w:val="none" w:sz="0" w:space="0" w:color="auto"/>
        <w:left w:val="none" w:sz="0" w:space="0" w:color="auto"/>
        <w:bottom w:val="none" w:sz="0" w:space="0" w:color="auto"/>
        <w:right w:val="none" w:sz="0" w:space="0" w:color="auto"/>
      </w:divBdr>
      <w:divsChild>
        <w:div w:id="1527055742">
          <w:marLeft w:val="0"/>
          <w:marRight w:val="0"/>
          <w:marTop w:val="0"/>
          <w:marBottom w:val="0"/>
          <w:divBdr>
            <w:top w:val="none" w:sz="0" w:space="0" w:color="auto"/>
            <w:left w:val="none" w:sz="0" w:space="0" w:color="auto"/>
            <w:bottom w:val="none" w:sz="0" w:space="0" w:color="auto"/>
            <w:right w:val="none" w:sz="0" w:space="0" w:color="auto"/>
          </w:divBdr>
        </w:div>
      </w:divsChild>
    </w:div>
    <w:div w:id="701049966">
      <w:bodyDiv w:val="1"/>
      <w:marLeft w:val="0"/>
      <w:marRight w:val="0"/>
      <w:marTop w:val="0"/>
      <w:marBottom w:val="0"/>
      <w:divBdr>
        <w:top w:val="none" w:sz="0" w:space="0" w:color="auto"/>
        <w:left w:val="none" w:sz="0" w:space="0" w:color="auto"/>
        <w:bottom w:val="none" w:sz="0" w:space="0" w:color="auto"/>
        <w:right w:val="none" w:sz="0" w:space="0" w:color="auto"/>
      </w:divBdr>
    </w:div>
    <w:div w:id="709306030">
      <w:bodyDiv w:val="1"/>
      <w:marLeft w:val="0"/>
      <w:marRight w:val="0"/>
      <w:marTop w:val="0"/>
      <w:marBottom w:val="0"/>
      <w:divBdr>
        <w:top w:val="none" w:sz="0" w:space="0" w:color="auto"/>
        <w:left w:val="none" w:sz="0" w:space="0" w:color="auto"/>
        <w:bottom w:val="none" w:sz="0" w:space="0" w:color="auto"/>
        <w:right w:val="none" w:sz="0" w:space="0" w:color="auto"/>
      </w:divBdr>
    </w:div>
    <w:div w:id="712777103">
      <w:bodyDiv w:val="1"/>
      <w:marLeft w:val="0"/>
      <w:marRight w:val="0"/>
      <w:marTop w:val="0"/>
      <w:marBottom w:val="0"/>
      <w:divBdr>
        <w:top w:val="none" w:sz="0" w:space="0" w:color="auto"/>
        <w:left w:val="none" w:sz="0" w:space="0" w:color="auto"/>
        <w:bottom w:val="none" w:sz="0" w:space="0" w:color="auto"/>
        <w:right w:val="none" w:sz="0" w:space="0" w:color="auto"/>
      </w:divBdr>
      <w:divsChild>
        <w:div w:id="1217200666">
          <w:marLeft w:val="0"/>
          <w:marRight w:val="0"/>
          <w:marTop w:val="0"/>
          <w:marBottom w:val="0"/>
          <w:divBdr>
            <w:top w:val="none" w:sz="0" w:space="0" w:color="auto"/>
            <w:left w:val="none" w:sz="0" w:space="0" w:color="auto"/>
            <w:bottom w:val="none" w:sz="0" w:space="0" w:color="auto"/>
            <w:right w:val="none" w:sz="0" w:space="0" w:color="auto"/>
          </w:divBdr>
        </w:div>
      </w:divsChild>
    </w:div>
    <w:div w:id="742752150">
      <w:bodyDiv w:val="1"/>
      <w:marLeft w:val="0"/>
      <w:marRight w:val="0"/>
      <w:marTop w:val="0"/>
      <w:marBottom w:val="0"/>
      <w:divBdr>
        <w:top w:val="none" w:sz="0" w:space="0" w:color="auto"/>
        <w:left w:val="none" w:sz="0" w:space="0" w:color="auto"/>
        <w:bottom w:val="none" w:sz="0" w:space="0" w:color="auto"/>
        <w:right w:val="none" w:sz="0" w:space="0" w:color="auto"/>
      </w:divBdr>
    </w:div>
    <w:div w:id="763382303">
      <w:bodyDiv w:val="1"/>
      <w:marLeft w:val="0"/>
      <w:marRight w:val="0"/>
      <w:marTop w:val="0"/>
      <w:marBottom w:val="0"/>
      <w:divBdr>
        <w:top w:val="none" w:sz="0" w:space="0" w:color="auto"/>
        <w:left w:val="none" w:sz="0" w:space="0" w:color="auto"/>
        <w:bottom w:val="none" w:sz="0" w:space="0" w:color="auto"/>
        <w:right w:val="none" w:sz="0" w:space="0" w:color="auto"/>
      </w:divBdr>
      <w:divsChild>
        <w:div w:id="719212874">
          <w:marLeft w:val="0"/>
          <w:marRight w:val="0"/>
          <w:marTop w:val="0"/>
          <w:marBottom w:val="0"/>
          <w:divBdr>
            <w:top w:val="none" w:sz="0" w:space="0" w:color="auto"/>
            <w:left w:val="none" w:sz="0" w:space="0" w:color="auto"/>
            <w:bottom w:val="none" w:sz="0" w:space="0" w:color="auto"/>
            <w:right w:val="none" w:sz="0" w:space="0" w:color="auto"/>
          </w:divBdr>
        </w:div>
      </w:divsChild>
    </w:div>
    <w:div w:id="790326065">
      <w:bodyDiv w:val="1"/>
      <w:marLeft w:val="0"/>
      <w:marRight w:val="0"/>
      <w:marTop w:val="0"/>
      <w:marBottom w:val="0"/>
      <w:divBdr>
        <w:top w:val="none" w:sz="0" w:space="0" w:color="auto"/>
        <w:left w:val="none" w:sz="0" w:space="0" w:color="auto"/>
        <w:bottom w:val="none" w:sz="0" w:space="0" w:color="auto"/>
        <w:right w:val="none" w:sz="0" w:space="0" w:color="auto"/>
      </w:divBdr>
      <w:divsChild>
        <w:div w:id="1811560063">
          <w:marLeft w:val="0"/>
          <w:marRight w:val="0"/>
          <w:marTop w:val="0"/>
          <w:marBottom w:val="0"/>
          <w:divBdr>
            <w:top w:val="none" w:sz="0" w:space="0" w:color="auto"/>
            <w:left w:val="none" w:sz="0" w:space="0" w:color="auto"/>
            <w:bottom w:val="none" w:sz="0" w:space="0" w:color="auto"/>
            <w:right w:val="none" w:sz="0" w:space="0" w:color="auto"/>
          </w:divBdr>
        </w:div>
      </w:divsChild>
    </w:div>
    <w:div w:id="795491796">
      <w:bodyDiv w:val="1"/>
      <w:marLeft w:val="0"/>
      <w:marRight w:val="0"/>
      <w:marTop w:val="0"/>
      <w:marBottom w:val="0"/>
      <w:divBdr>
        <w:top w:val="none" w:sz="0" w:space="0" w:color="auto"/>
        <w:left w:val="none" w:sz="0" w:space="0" w:color="auto"/>
        <w:bottom w:val="none" w:sz="0" w:space="0" w:color="auto"/>
        <w:right w:val="none" w:sz="0" w:space="0" w:color="auto"/>
      </w:divBdr>
    </w:div>
    <w:div w:id="804737639">
      <w:bodyDiv w:val="1"/>
      <w:marLeft w:val="0"/>
      <w:marRight w:val="0"/>
      <w:marTop w:val="0"/>
      <w:marBottom w:val="0"/>
      <w:divBdr>
        <w:top w:val="none" w:sz="0" w:space="0" w:color="auto"/>
        <w:left w:val="none" w:sz="0" w:space="0" w:color="auto"/>
        <w:bottom w:val="none" w:sz="0" w:space="0" w:color="auto"/>
        <w:right w:val="none" w:sz="0" w:space="0" w:color="auto"/>
      </w:divBdr>
      <w:divsChild>
        <w:div w:id="1443186314">
          <w:marLeft w:val="0"/>
          <w:marRight w:val="0"/>
          <w:marTop w:val="0"/>
          <w:marBottom w:val="0"/>
          <w:divBdr>
            <w:top w:val="none" w:sz="0" w:space="0" w:color="auto"/>
            <w:left w:val="none" w:sz="0" w:space="0" w:color="auto"/>
            <w:bottom w:val="none" w:sz="0" w:space="0" w:color="auto"/>
            <w:right w:val="none" w:sz="0" w:space="0" w:color="auto"/>
          </w:divBdr>
        </w:div>
      </w:divsChild>
    </w:div>
    <w:div w:id="813182255">
      <w:bodyDiv w:val="1"/>
      <w:marLeft w:val="0"/>
      <w:marRight w:val="0"/>
      <w:marTop w:val="0"/>
      <w:marBottom w:val="0"/>
      <w:divBdr>
        <w:top w:val="none" w:sz="0" w:space="0" w:color="auto"/>
        <w:left w:val="none" w:sz="0" w:space="0" w:color="auto"/>
        <w:bottom w:val="none" w:sz="0" w:space="0" w:color="auto"/>
        <w:right w:val="none" w:sz="0" w:space="0" w:color="auto"/>
      </w:divBdr>
      <w:divsChild>
        <w:div w:id="221647596">
          <w:marLeft w:val="0"/>
          <w:marRight w:val="0"/>
          <w:marTop w:val="0"/>
          <w:marBottom w:val="0"/>
          <w:divBdr>
            <w:top w:val="none" w:sz="0" w:space="0" w:color="auto"/>
            <w:left w:val="none" w:sz="0" w:space="0" w:color="auto"/>
            <w:bottom w:val="none" w:sz="0" w:space="0" w:color="auto"/>
            <w:right w:val="none" w:sz="0" w:space="0" w:color="auto"/>
          </w:divBdr>
          <w:divsChild>
            <w:div w:id="43871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038961">
      <w:bodyDiv w:val="1"/>
      <w:marLeft w:val="0"/>
      <w:marRight w:val="0"/>
      <w:marTop w:val="0"/>
      <w:marBottom w:val="0"/>
      <w:divBdr>
        <w:top w:val="none" w:sz="0" w:space="0" w:color="auto"/>
        <w:left w:val="none" w:sz="0" w:space="0" w:color="auto"/>
        <w:bottom w:val="none" w:sz="0" w:space="0" w:color="auto"/>
        <w:right w:val="none" w:sz="0" w:space="0" w:color="auto"/>
      </w:divBdr>
      <w:divsChild>
        <w:div w:id="1213007620">
          <w:marLeft w:val="0"/>
          <w:marRight w:val="0"/>
          <w:marTop w:val="0"/>
          <w:marBottom w:val="0"/>
          <w:divBdr>
            <w:top w:val="none" w:sz="0" w:space="0" w:color="auto"/>
            <w:left w:val="none" w:sz="0" w:space="0" w:color="auto"/>
            <w:bottom w:val="none" w:sz="0" w:space="0" w:color="auto"/>
            <w:right w:val="none" w:sz="0" w:space="0" w:color="auto"/>
          </w:divBdr>
        </w:div>
      </w:divsChild>
    </w:div>
    <w:div w:id="840700404">
      <w:bodyDiv w:val="1"/>
      <w:marLeft w:val="0"/>
      <w:marRight w:val="0"/>
      <w:marTop w:val="0"/>
      <w:marBottom w:val="0"/>
      <w:divBdr>
        <w:top w:val="none" w:sz="0" w:space="0" w:color="auto"/>
        <w:left w:val="none" w:sz="0" w:space="0" w:color="auto"/>
        <w:bottom w:val="none" w:sz="0" w:space="0" w:color="auto"/>
        <w:right w:val="none" w:sz="0" w:space="0" w:color="auto"/>
      </w:divBdr>
    </w:div>
    <w:div w:id="850023384">
      <w:bodyDiv w:val="1"/>
      <w:marLeft w:val="0"/>
      <w:marRight w:val="0"/>
      <w:marTop w:val="0"/>
      <w:marBottom w:val="0"/>
      <w:divBdr>
        <w:top w:val="none" w:sz="0" w:space="0" w:color="auto"/>
        <w:left w:val="none" w:sz="0" w:space="0" w:color="auto"/>
        <w:bottom w:val="none" w:sz="0" w:space="0" w:color="auto"/>
        <w:right w:val="none" w:sz="0" w:space="0" w:color="auto"/>
      </w:divBdr>
      <w:divsChild>
        <w:div w:id="612442693">
          <w:marLeft w:val="0"/>
          <w:marRight w:val="0"/>
          <w:marTop w:val="0"/>
          <w:marBottom w:val="0"/>
          <w:divBdr>
            <w:top w:val="none" w:sz="0" w:space="0" w:color="auto"/>
            <w:left w:val="none" w:sz="0" w:space="0" w:color="auto"/>
            <w:bottom w:val="none" w:sz="0" w:space="0" w:color="auto"/>
            <w:right w:val="none" w:sz="0" w:space="0" w:color="auto"/>
          </w:divBdr>
        </w:div>
      </w:divsChild>
    </w:div>
    <w:div w:id="913395885">
      <w:bodyDiv w:val="1"/>
      <w:marLeft w:val="0"/>
      <w:marRight w:val="0"/>
      <w:marTop w:val="0"/>
      <w:marBottom w:val="0"/>
      <w:divBdr>
        <w:top w:val="none" w:sz="0" w:space="0" w:color="auto"/>
        <w:left w:val="none" w:sz="0" w:space="0" w:color="auto"/>
        <w:bottom w:val="none" w:sz="0" w:space="0" w:color="auto"/>
        <w:right w:val="none" w:sz="0" w:space="0" w:color="auto"/>
      </w:divBdr>
    </w:div>
    <w:div w:id="917128399">
      <w:bodyDiv w:val="1"/>
      <w:marLeft w:val="0"/>
      <w:marRight w:val="0"/>
      <w:marTop w:val="0"/>
      <w:marBottom w:val="0"/>
      <w:divBdr>
        <w:top w:val="none" w:sz="0" w:space="0" w:color="auto"/>
        <w:left w:val="none" w:sz="0" w:space="0" w:color="auto"/>
        <w:bottom w:val="none" w:sz="0" w:space="0" w:color="auto"/>
        <w:right w:val="none" w:sz="0" w:space="0" w:color="auto"/>
      </w:divBdr>
    </w:div>
    <w:div w:id="922570111">
      <w:bodyDiv w:val="1"/>
      <w:marLeft w:val="0"/>
      <w:marRight w:val="0"/>
      <w:marTop w:val="0"/>
      <w:marBottom w:val="0"/>
      <w:divBdr>
        <w:top w:val="none" w:sz="0" w:space="0" w:color="auto"/>
        <w:left w:val="none" w:sz="0" w:space="0" w:color="auto"/>
        <w:bottom w:val="none" w:sz="0" w:space="0" w:color="auto"/>
        <w:right w:val="none" w:sz="0" w:space="0" w:color="auto"/>
      </w:divBdr>
      <w:divsChild>
        <w:div w:id="1582789228">
          <w:marLeft w:val="0"/>
          <w:marRight w:val="0"/>
          <w:marTop w:val="0"/>
          <w:marBottom w:val="0"/>
          <w:divBdr>
            <w:top w:val="none" w:sz="0" w:space="0" w:color="auto"/>
            <w:left w:val="none" w:sz="0" w:space="0" w:color="auto"/>
            <w:bottom w:val="none" w:sz="0" w:space="0" w:color="auto"/>
            <w:right w:val="none" w:sz="0" w:space="0" w:color="auto"/>
          </w:divBdr>
        </w:div>
      </w:divsChild>
    </w:div>
    <w:div w:id="932974837">
      <w:bodyDiv w:val="1"/>
      <w:marLeft w:val="0"/>
      <w:marRight w:val="0"/>
      <w:marTop w:val="0"/>
      <w:marBottom w:val="0"/>
      <w:divBdr>
        <w:top w:val="none" w:sz="0" w:space="0" w:color="auto"/>
        <w:left w:val="none" w:sz="0" w:space="0" w:color="auto"/>
        <w:bottom w:val="none" w:sz="0" w:space="0" w:color="auto"/>
        <w:right w:val="none" w:sz="0" w:space="0" w:color="auto"/>
      </w:divBdr>
    </w:div>
    <w:div w:id="938372410">
      <w:bodyDiv w:val="1"/>
      <w:marLeft w:val="0"/>
      <w:marRight w:val="0"/>
      <w:marTop w:val="0"/>
      <w:marBottom w:val="0"/>
      <w:divBdr>
        <w:top w:val="none" w:sz="0" w:space="0" w:color="auto"/>
        <w:left w:val="none" w:sz="0" w:space="0" w:color="auto"/>
        <w:bottom w:val="none" w:sz="0" w:space="0" w:color="auto"/>
        <w:right w:val="none" w:sz="0" w:space="0" w:color="auto"/>
      </w:divBdr>
    </w:div>
    <w:div w:id="953288694">
      <w:bodyDiv w:val="1"/>
      <w:marLeft w:val="0"/>
      <w:marRight w:val="0"/>
      <w:marTop w:val="0"/>
      <w:marBottom w:val="0"/>
      <w:divBdr>
        <w:top w:val="none" w:sz="0" w:space="0" w:color="auto"/>
        <w:left w:val="none" w:sz="0" w:space="0" w:color="auto"/>
        <w:bottom w:val="none" w:sz="0" w:space="0" w:color="auto"/>
        <w:right w:val="none" w:sz="0" w:space="0" w:color="auto"/>
      </w:divBdr>
      <w:divsChild>
        <w:div w:id="123470049">
          <w:marLeft w:val="0"/>
          <w:marRight w:val="0"/>
          <w:marTop w:val="0"/>
          <w:marBottom w:val="0"/>
          <w:divBdr>
            <w:top w:val="none" w:sz="0" w:space="0" w:color="auto"/>
            <w:left w:val="none" w:sz="0" w:space="0" w:color="auto"/>
            <w:bottom w:val="none" w:sz="0" w:space="0" w:color="auto"/>
            <w:right w:val="none" w:sz="0" w:space="0" w:color="auto"/>
          </w:divBdr>
        </w:div>
      </w:divsChild>
    </w:div>
    <w:div w:id="959605771">
      <w:bodyDiv w:val="1"/>
      <w:marLeft w:val="0"/>
      <w:marRight w:val="0"/>
      <w:marTop w:val="0"/>
      <w:marBottom w:val="0"/>
      <w:divBdr>
        <w:top w:val="none" w:sz="0" w:space="0" w:color="auto"/>
        <w:left w:val="none" w:sz="0" w:space="0" w:color="auto"/>
        <w:bottom w:val="none" w:sz="0" w:space="0" w:color="auto"/>
        <w:right w:val="none" w:sz="0" w:space="0" w:color="auto"/>
      </w:divBdr>
      <w:divsChild>
        <w:div w:id="1236696558">
          <w:marLeft w:val="0"/>
          <w:marRight w:val="0"/>
          <w:marTop w:val="0"/>
          <w:marBottom w:val="0"/>
          <w:divBdr>
            <w:top w:val="none" w:sz="0" w:space="0" w:color="auto"/>
            <w:left w:val="none" w:sz="0" w:space="0" w:color="auto"/>
            <w:bottom w:val="none" w:sz="0" w:space="0" w:color="auto"/>
            <w:right w:val="none" w:sz="0" w:space="0" w:color="auto"/>
          </w:divBdr>
        </w:div>
      </w:divsChild>
    </w:div>
    <w:div w:id="965693659">
      <w:bodyDiv w:val="1"/>
      <w:marLeft w:val="0"/>
      <w:marRight w:val="0"/>
      <w:marTop w:val="0"/>
      <w:marBottom w:val="0"/>
      <w:divBdr>
        <w:top w:val="none" w:sz="0" w:space="0" w:color="auto"/>
        <w:left w:val="none" w:sz="0" w:space="0" w:color="auto"/>
        <w:bottom w:val="none" w:sz="0" w:space="0" w:color="auto"/>
        <w:right w:val="none" w:sz="0" w:space="0" w:color="auto"/>
      </w:divBdr>
    </w:div>
    <w:div w:id="998461087">
      <w:bodyDiv w:val="1"/>
      <w:marLeft w:val="0"/>
      <w:marRight w:val="0"/>
      <w:marTop w:val="0"/>
      <w:marBottom w:val="0"/>
      <w:divBdr>
        <w:top w:val="none" w:sz="0" w:space="0" w:color="auto"/>
        <w:left w:val="none" w:sz="0" w:space="0" w:color="auto"/>
        <w:bottom w:val="none" w:sz="0" w:space="0" w:color="auto"/>
        <w:right w:val="none" w:sz="0" w:space="0" w:color="auto"/>
      </w:divBdr>
    </w:div>
    <w:div w:id="999894069">
      <w:bodyDiv w:val="1"/>
      <w:marLeft w:val="0"/>
      <w:marRight w:val="0"/>
      <w:marTop w:val="0"/>
      <w:marBottom w:val="0"/>
      <w:divBdr>
        <w:top w:val="none" w:sz="0" w:space="0" w:color="auto"/>
        <w:left w:val="none" w:sz="0" w:space="0" w:color="auto"/>
        <w:bottom w:val="none" w:sz="0" w:space="0" w:color="auto"/>
        <w:right w:val="none" w:sz="0" w:space="0" w:color="auto"/>
      </w:divBdr>
      <w:divsChild>
        <w:div w:id="216866269">
          <w:marLeft w:val="0"/>
          <w:marRight w:val="0"/>
          <w:marTop w:val="0"/>
          <w:marBottom w:val="0"/>
          <w:divBdr>
            <w:top w:val="none" w:sz="0" w:space="0" w:color="auto"/>
            <w:left w:val="none" w:sz="0" w:space="0" w:color="auto"/>
            <w:bottom w:val="none" w:sz="0" w:space="0" w:color="auto"/>
            <w:right w:val="none" w:sz="0" w:space="0" w:color="auto"/>
          </w:divBdr>
        </w:div>
        <w:div w:id="929968519">
          <w:marLeft w:val="0"/>
          <w:marRight w:val="0"/>
          <w:marTop w:val="0"/>
          <w:marBottom w:val="0"/>
          <w:divBdr>
            <w:top w:val="none" w:sz="0" w:space="0" w:color="auto"/>
            <w:left w:val="none" w:sz="0" w:space="0" w:color="auto"/>
            <w:bottom w:val="none" w:sz="0" w:space="0" w:color="auto"/>
            <w:right w:val="none" w:sz="0" w:space="0" w:color="auto"/>
          </w:divBdr>
        </w:div>
      </w:divsChild>
    </w:div>
    <w:div w:id="1002009009">
      <w:bodyDiv w:val="1"/>
      <w:marLeft w:val="0"/>
      <w:marRight w:val="0"/>
      <w:marTop w:val="0"/>
      <w:marBottom w:val="0"/>
      <w:divBdr>
        <w:top w:val="none" w:sz="0" w:space="0" w:color="auto"/>
        <w:left w:val="none" w:sz="0" w:space="0" w:color="auto"/>
        <w:bottom w:val="none" w:sz="0" w:space="0" w:color="auto"/>
        <w:right w:val="none" w:sz="0" w:space="0" w:color="auto"/>
      </w:divBdr>
    </w:div>
    <w:div w:id="1006246071">
      <w:bodyDiv w:val="1"/>
      <w:marLeft w:val="0"/>
      <w:marRight w:val="0"/>
      <w:marTop w:val="0"/>
      <w:marBottom w:val="0"/>
      <w:divBdr>
        <w:top w:val="none" w:sz="0" w:space="0" w:color="auto"/>
        <w:left w:val="none" w:sz="0" w:space="0" w:color="auto"/>
        <w:bottom w:val="none" w:sz="0" w:space="0" w:color="auto"/>
        <w:right w:val="none" w:sz="0" w:space="0" w:color="auto"/>
      </w:divBdr>
    </w:div>
    <w:div w:id="1018392782">
      <w:bodyDiv w:val="1"/>
      <w:marLeft w:val="0"/>
      <w:marRight w:val="0"/>
      <w:marTop w:val="0"/>
      <w:marBottom w:val="0"/>
      <w:divBdr>
        <w:top w:val="none" w:sz="0" w:space="0" w:color="auto"/>
        <w:left w:val="none" w:sz="0" w:space="0" w:color="auto"/>
        <w:bottom w:val="none" w:sz="0" w:space="0" w:color="auto"/>
        <w:right w:val="none" w:sz="0" w:space="0" w:color="auto"/>
      </w:divBdr>
      <w:divsChild>
        <w:div w:id="1532693470">
          <w:marLeft w:val="0"/>
          <w:marRight w:val="0"/>
          <w:marTop w:val="0"/>
          <w:marBottom w:val="0"/>
          <w:divBdr>
            <w:top w:val="none" w:sz="0" w:space="0" w:color="auto"/>
            <w:left w:val="none" w:sz="0" w:space="0" w:color="auto"/>
            <w:bottom w:val="none" w:sz="0" w:space="0" w:color="auto"/>
            <w:right w:val="none" w:sz="0" w:space="0" w:color="auto"/>
          </w:divBdr>
        </w:div>
      </w:divsChild>
    </w:div>
    <w:div w:id="1026754556">
      <w:bodyDiv w:val="1"/>
      <w:marLeft w:val="0"/>
      <w:marRight w:val="0"/>
      <w:marTop w:val="0"/>
      <w:marBottom w:val="0"/>
      <w:divBdr>
        <w:top w:val="none" w:sz="0" w:space="0" w:color="auto"/>
        <w:left w:val="none" w:sz="0" w:space="0" w:color="auto"/>
        <w:bottom w:val="none" w:sz="0" w:space="0" w:color="auto"/>
        <w:right w:val="none" w:sz="0" w:space="0" w:color="auto"/>
      </w:divBdr>
    </w:div>
    <w:div w:id="1032612145">
      <w:bodyDiv w:val="1"/>
      <w:marLeft w:val="0"/>
      <w:marRight w:val="0"/>
      <w:marTop w:val="0"/>
      <w:marBottom w:val="0"/>
      <w:divBdr>
        <w:top w:val="none" w:sz="0" w:space="0" w:color="auto"/>
        <w:left w:val="none" w:sz="0" w:space="0" w:color="auto"/>
        <w:bottom w:val="none" w:sz="0" w:space="0" w:color="auto"/>
        <w:right w:val="none" w:sz="0" w:space="0" w:color="auto"/>
      </w:divBdr>
      <w:divsChild>
        <w:div w:id="1685940173">
          <w:marLeft w:val="0"/>
          <w:marRight w:val="0"/>
          <w:marTop w:val="0"/>
          <w:marBottom w:val="0"/>
          <w:divBdr>
            <w:top w:val="none" w:sz="0" w:space="0" w:color="auto"/>
            <w:left w:val="none" w:sz="0" w:space="0" w:color="auto"/>
            <w:bottom w:val="none" w:sz="0" w:space="0" w:color="auto"/>
            <w:right w:val="none" w:sz="0" w:space="0" w:color="auto"/>
          </w:divBdr>
        </w:div>
      </w:divsChild>
    </w:div>
    <w:div w:id="1044644567">
      <w:bodyDiv w:val="1"/>
      <w:marLeft w:val="0"/>
      <w:marRight w:val="0"/>
      <w:marTop w:val="0"/>
      <w:marBottom w:val="0"/>
      <w:divBdr>
        <w:top w:val="none" w:sz="0" w:space="0" w:color="auto"/>
        <w:left w:val="none" w:sz="0" w:space="0" w:color="auto"/>
        <w:bottom w:val="none" w:sz="0" w:space="0" w:color="auto"/>
        <w:right w:val="none" w:sz="0" w:space="0" w:color="auto"/>
      </w:divBdr>
      <w:divsChild>
        <w:div w:id="71705527">
          <w:marLeft w:val="0"/>
          <w:marRight w:val="0"/>
          <w:marTop w:val="0"/>
          <w:marBottom w:val="0"/>
          <w:divBdr>
            <w:top w:val="none" w:sz="0" w:space="0" w:color="auto"/>
            <w:left w:val="none" w:sz="0" w:space="0" w:color="auto"/>
            <w:bottom w:val="none" w:sz="0" w:space="0" w:color="auto"/>
            <w:right w:val="none" w:sz="0" w:space="0" w:color="auto"/>
          </w:divBdr>
        </w:div>
      </w:divsChild>
    </w:div>
    <w:div w:id="1076243116">
      <w:bodyDiv w:val="1"/>
      <w:marLeft w:val="0"/>
      <w:marRight w:val="0"/>
      <w:marTop w:val="0"/>
      <w:marBottom w:val="0"/>
      <w:divBdr>
        <w:top w:val="none" w:sz="0" w:space="0" w:color="auto"/>
        <w:left w:val="none" w:sz="0" w:space="0" w:color="auto"/>
        <w:bottom w:val="none" w:sz="0" w:space="0" w:color="auto"/>
        <w:right w:val="none" w:sz="0" w:space="0" w:color="auto"/>
      </w:divBdr>
    </w:div>
    <w:div w:id="1085959159">
      <w:bodyDiv w:val="1"/>
      <w:marLeft w:val="0"/>
      <w:marRight w:val="0"/>
      <w:marTop w:val="0"/>
      <w:marBottom w:val="0"/>
      <w:divBdr>
        <w:top w:val="none" w:sz="0" w:space="0" w:color="auto"/>
        <w:left w:val="none" w:sz="0" w:space="0" w:color="auto"/>
        <w:bottom w:val="none" w:sz="0" w:space="0" w:color="auto"/>
        <w:right w:val="none" w:sz="0" w:space="0" w:color="auto"/>
      </w:divBdr>
      <w:divsChild>
        <w:div w:id="419958440">
          <w:marLeft w:val="0"/>
          <w:marRight w:val="0"/>
          <w:marTop w:val="0"/>
          <w:marBottom w:val="0"/>
          <w:divBdr>
            <w:top w:val="none" w:sz="0" w:space="0" w:color="auto"/>
            <w:left w:val="none" w:sz="0" w:space="0" w:color="auto"/>
            <w:bottom w:val="none" w:sz="0" w:space="0" w:color="auto"/>
            <w:right w:val="none" w:sz="0" w:space="0" w:color="auto"/>
          </w:divBdr>
        </w:div>
      </w:divsChild>
    </w:div>
    <w:div w:id="1095439149">
      <w:bodyDiv w:val="1"/>
      <w:marLeft w:val="0"/>
      <w:marRight w:val="0"/>
      <w:marTop w:val="0"/>
      <w:marBottom w:val="0"/>
      <w:divBdr>
        <w:top w:val="none" w:sz="0" w:space="0" w:color="auto"/>
        <w:left w:val="none" w:sz="0" w:space="0" w:color="auto"/>
        <w:bottom w:val="none" w:sz="0" w:space="0" w:color="auto"/>
        <w:right w:val="none" w:sz="0" w:space="0" w:color="auto"/>
      </w:divBdr>
      <w:divsChild>
        <w:div w:id="1724593854">
          <w:marLeft w:val="0"/>
          <w:marRight w:val="0"/>
          <w:marTop w:val="0"/>
          <w:marBottom w:val="0"/>
          <w:divBdr>
            <w:top w:val="none" w:sz="0" w:space="0" w:color="auto"/>
            <w:left w:val="none" w:sz="0" w:space="0" w:color="auto"/>
            <w:bottom w:val="none" w:sz="0" w:space="0" w:color="auto"/>
            <w:right w:val="none" w:sz="0" w:space="0" w:color="auto"/>
          </w:divBdr>
        </w:div>
      </w:divsChild>
    </w:div>
    <w:div w:id="1109471703">
      <w:bodyDiv w:val="1"/>
      <w:marLeft w:val="0"/>
      <w:marRight w:val="0"/>
      <w:marTop w:val="0"/>
      <w:marBottom w:val="0"/>
      <w:divBdr>
        <w:top w:val="none" w:sz="0" w:space="0" w:color="auto"/>
        <w:left w:val="none" w:sz="0" w:space="0" w:color="auto"/>
        <w:bottom w:val="none" w:sz="0" w:space="0" w:color="auto"/>
        <w:right w:val="none" w:sz="0" w:space="0" w:color="auto"/>
      </w:divBdr>
    </w:div>
    <w:div w:id="1116170651">
      <w:bodyDiv w:val="1"/>
      <w:marLeft w:val="0"/>
      <w:marRight w:val="0"/>
      <w:marTop w:val="0"/>
      <w:marBottom w:val="0"/>
      <w:divBdr>
        <w:top w:val="none" w:sz="0" w:space="0" w:color="auto"/>
        <w:left w:val="none" w:sz="0" w:space="0" w:color="auto"/>
        <w:bottom w:val="none" w:sz="0" w:space="0" w:color="auto"/>
        <w:right w:val="none" w:sz="0" w:space="0" w:color="auto"/>
      </w:divBdr>
    </w:div>
    <w:div w:id="1128667139">
      <w:bodyDiv w:val="1"/>
      <w:marLeft w:val="0"/>
      <w:marRight w:val="0"/>
      <w:marTop w:val="0"/>
      <w:marBottom w:val="0"/>
      <w:divBdr>
        <w:top w:val="none" w:sz="0" w:space="0" w:color="auto"/>
        <w:left w:val="none" w:sz="0" w:space="0" w:color="auto"/>
        <w:bottom w:val="none" w:sz="0" w:space="0" w:color="auto"/>
        <w:right w:val="none" w:sz="0" w:space="0" w:color="auto"/>
      </w:divBdr>
    </w:div>
    <w:div w:id="1130443068">
      <w:bodyDiv w:val="1"/>
      <w:marLeft w:val="0"/>
      <w:marRight w:val="0"/>
      <w:marTop w:val="0"/>
      <w:marBottom w:val="0"/>
      <w:divBdr>
        <w:top w:val="none" w:sz="0" w:space="0" w:color="auto"/>
        <w:left w:val="none" w:sz="0" w:space="0" w:color="auto"/>
        <w:bottom w:val="none" w:sz="0" w:space="0" w:color="auto"/>
        <w:right w:val="none" w:sz="0" w:space="0" w:color="auto"/>
      </w:divBdr>
      <w:divsChild>
        <w:div w:id="536088265">
          <w:marLeft w:val="0"/>
          <w:marRight w:val="0"/>
          <w:marTop w:val="0"/>
          <w:marBottom w:val="0"/>
          <w:divBdr>
            <w:top w:val="none" w:sz="0" w:space="0" w:color="auto"/>
            <w:left w:val="none" w:sz="0" w:space="0" w:color="auto"/>
            <w:bottom w:val="none" w:sz="0" w:space="0" w:color="auto"/>
            <w:right w:val="none" w:sz="0" w:space="0" w:color="auto"/>
          </w:divBdr>
        </w:div>
      </w:divsChild>
    </w:div>
    <w:div w:id="1141658370">
      <w:bodyDiv w:val="1"/>
      <w:marLeft w:val="0"/>
      <w:marRight w:val="0"/>
      <w:marTop w:val="0"/>
      <w:marBottom w:val="0"/>
      <w:divBdr>
        <w:top w:val="none" w:sz="0" w:space="0" w:color="auto"/>
        <w:left w:val="none" w:sz="0" w:space="0" w:color="auto"/>
        <w:bottom w:val="none" w:sz="0" w:space="0" w:color="auto"/>
        <w:right w:val="none" w:sz="0" w:space="0" w:color="auto"/>
      </w:divBdr>
      <w:divsChild>
        <w:div w:id="292558382">
          <w:marLeft w:val="0"/>
          <w:marRight w:val="0"/>
          <w:marTop w:val="0"/>
          <w:marBottom w:val="0"/>
          <w:divBdr>
            <w:top w:val="none" w:sz="0" w:space="0" w:color="auto"/>
            <w:left w:val="none" w:sz="0" w:space="0" w:color="auto"/>
            <w:bottom w:val="none" w:sz="0" w:space="0" w:color="auto"/>
            <w:right w:val="none" w:sz="0" w:space="0" w:color="auto"/>
          </w:divBdr>
        </w:div>
        <w:div w:id="1723140745">
          <w:marLeft w:val="0"/>
          <w:marRight w:val="0"/>
          <w:marTop w:val="0"/>
          <w:marBottom w:val="0"/>
          <w:divBdr>
            <w:top w:val="none" w:sz="0" w:space="0" w:color="auto"/>
            <w:left w:val="none" w:sz="0" w:space="0" w:color="auto"/>
            <w:bottom w:val="none" w:sz="0" w:space="0" w:color="auto"/>
            <w:right w:val="none" w:sz="0" w:space="0" w:color="auto"/>
          </w:divBdr>
        </w:div>
      </w:divsChild>
    </w:div>
    <w:div w:id="1146706955">
      <w:bodyDiv w:val="1"/>
      <w:marLeft w:val="0"/>
      <w:marRight w:val="0"/>
      <w:marTop w:val="0"/>
      <w:marBottom w:val="0"/>
      <w:divBdr>
        <w:top w:val="none" w:sz="0" w:space="0" w:color="auto"/>
        <w:left w:val="none" w:sz="0" w:space="0" w:color="auto"/>
        <w:bottom w:val="none" w:sz="0" w:space="0" w:color="auto"/>
        <w:right w:val="none" w:sz="0" w:space="0" w:color="auto"/>
      </w:divBdr>
    </w:div>
    <w:div w:id="1153181392">
      <w:bodyDiv w:val="1"/>
      <w:marLeft w:val="0"/>
      <w:marRight w:val="0"/>
      <w:marTop w:val="0"/>
      <w:marBottom w:val="0"/>
      <w:divBdr>
        <w:top w:val="none" w:sz="0" w:space="0" w:color="auto"/>
        <w:left w:val="none" w:sz="0" w:space="0" w:color="auto"/>
        <w:bottom w:val="none" w:sz="0" w:space="0" w:color="auto"/>
        <w:right w:val="none" w:sz="0" w:space="0" w:color="auto"/>
      </w:divBdr>
      <w:divsChild>
        <w:div w:id="955134568">
          <w:marLeft w:val="0"/>
          <w:marRight w:val="0"/>
          <w:marTop w:val="0"/>
          <w:marBottom w:val="0"/>
          <w:divBdr>
            <w:top w:val="none" w:sz="0" w:space="0" w:color="auto"/>
            <w:left w:val="none" w:sz="0" w:space="0" w:color="auto"/>
            <w:bottom w:val="none" w:sz="0" w:space="0" w:color="auto"/>
            <w:right w:val="none" w:sz="0" w:space="0" w:color="auto"/>
          </w:divBdr>
        </w:div>
      </w:divsChild>
    </w:div>
    <w:div w:id="1154570709">
      <w:bodyDiv w:val="1"/>
      <w:marLeft w:val="0"/>
      <w:marRight w:val="0"/>
      <w:marTop w:val="0"/>
      <w:marBottom w:val="0"/>
      <w:divBdr>
        <w:top w:val="none" w:sz="0" w:space="0" w:color="auto"/>
        <w:left w:val="none" w:sz="0" w:space="0" w:color="auto"/>
        <w:bottom w:val="none" w:sz="0" w:space="0" w:color="auto"/>
        <w:right w:val="none" w:sz="0" w:space="0" w:color="auto"/>
      </w:divBdr>
      <w:divsChild>
        <w:div w:id="571542611">
          <w:marLeft w:val="0"/>
          <w:marRight w:val="0"/>
          <w:marTop w:val="0"/>
          <w:marBottom w:val="0"/>
          <w:divBdr>
            <w:top w:val="none" w:sz="0" w:space="0" w:color="auto"/>
            <w:left w:val="none" w:sz="0" w:space="0" w:color="auto"/>
            <w:bottom w:val="none" w:sz="0" w:space="0" w:color="auto"/>
            <w:right w:val="none" w:sz="0" w:space="0" w:color="auto"/>
          </w:divBdr>
        </w:div>
      </w:divsChild>
    </w:div>
    <w:div w:id="1156384146">
      <w:bodyDiv w:val="1"/>
      <w:marLeft w:val="0"/>
      <w:marRight w:val="0"/>
      <w:marTop w:val="0"/>
      <w:marBottom w:val="0"/>
      <w:divBdr>
        <w:top w:val="none" w:sz="0" w:space="0" w:color="auto"/>
        <w:left w:val="none" w:sz="0" w:space="0" w:color="auto"/>
        <w:bottom w:val="none" w:sz="0" w:space="0" w:color="auto"/>
        <w:right w:val="none" w:sz="0" w:space="0" w:color="auto"/>
      </w:divBdr>
      <w:divsChild>
        <w:div w:id="184102784">
          <w:marLeft w:val="0"/>
          <w:marRight w:val="0"/>
          <w:marTop w:val="0"/>
          <w:marBottom w:val="0"/>
          <w:divBdr>
            <w:top w:val="none" w:sz="0" w:space="0" w:color="auto"/>
            <w:left w:val="none" w:sz="0" w:space="0" w:color="auto"/>
            <w:bottom w:val="none" w:sz="0" w:space="0" w:color="auto"/>
            <w:right w:val="none" w:sz="0" w:space="0" w:color="auto"/>
          </w:divBdr>
        </w:div>
      </w:divsChild>
    </w:div>
    <w:div w:id="1157067074">
      <w:bodyDiv w:val="1"/>
      <w:marLeft w:val="0"/>
      <w:marRight w:val="0"/>
      <w:marTop w:val="0"/>
      <w:marBottom w:val="0"/>
      <w:divBdr>
        <w:top w:val="none" w:sz="0" w:space="0" w:color="auto"/>
        <w:left w:val="none" w:sz="0" w:space="0" w:color="auto"/>
        <w:bottom w:val="none" w:sz="0" w:space="0" w:color="auto"/>
        <w:right w:val="none" w:sz="0" w:space="0" w:color="auto"/>
      </w:divBdr>
      <w:divsChild>
        <w:div w:id="122579570">
          <w:marLeft w:val="0"/>
          <w:marRight w:val="0"/>
          <w:marTop w:val="0"/>
          <w:marBottom w:val="0"/>
          <w:divBdr>
            <w:top w:val="none" w:sz="0" w:space="0" w:color="auto"/>
            <w:left w:val="none" w:sz="0" w:space="0" w:color="auto"/>
            <w:bottom w:val="none" w:sz="0" w:space="0" w:color="auto"/>
            <w:right w:val="none" w:sz="0" w:space="0" w:color="auto"/>
          </w:divBdr>
        </w:div>
      </w:divsChild>
    </w:div>
    <w:div w:id="1160391826">
      <w:bodyDiv w:val="1"/>
      <w:marLeft w:val="0"/>
      <w:marRight w:val="0"/>
      <w:marTop w:val="0"/>
      <w:marBottom w:val="0"/>
      <w:divBdr>
        <w:top w:val="none" w:sz="0" w:space="0" w:color="auto"/>
        <w:left w:val="none" w:sz="0" w:space="0" w:color="auto"/>
        <w:bottom w:val="none" w:sz="0" w:space="0" w:color="auto"/>
        <w:right w:val="none" w:sz="0" w:space="0" w:color="auto"/>
      </w:divBdr>
    </w:div>
    <w:div w:id="1163667569">
      <w:bodyDiv w:val="1"/>
      <w:marLeft w:val="0"/>
      <w:marRight w:val="0"/>
      <w:marTop w:val="0"/>
      <w:marBottom w:val="0"/>
      <w:divBdr>
        <w:top w:val="none" w:sz="0" w:space="0" w:color="auto"/>
        <w:left w:val="none" w:sz="0" w:space="0" w:color="auto"/>
        <w:bottom w:val="none" w:sz="0" w:space="0" w:color="auto"/>
        <w:right w:val="none" w:sz="0" w:space="0" w:color="auto"/>
      </w:divBdr>
      <w:divsChild>
        <w:div w:id="553155111">
          <w:marLeft w:val="0"/>
          <w:marRight w:val="0"/>
          <w:marTop w:val="0"/>
          <w:marBottom w:val="0"/>
          <w:divBdr>
            <w:top w:val="none" w:sz="0" w:space="0" w:color="auto"/>
            <w:left w:val="none" w:sz="0" w:space="0" w:color="auto"/>
            <w:bottom w:val="none" w:sz="0" w:space="0" w:color="auto"/>
            <w:right w:val="none" w:sz="0" w:space="0" w:color="auto"/>
          </w:divBdr>
        </w:div>
      </w:divsChild>
    </w:div>
    <w:div w:id="1166094077">
      <w:bodyDiv w:val="1"/>
      <w:marLeft w:val="0"/>
      <w:marRight w:val="0"/>
      <w:marTop w:val="0"/>
      <w:marBottom w:val="0"/>
      <w:divBdr>
        <w:top w:val="none" w:sz="0" w:space="0" w:color="auto"/>
        <w:left w:val="none" w:sz="0" w:space="0" w:color="auto"/>
        <w:bottom w:val="none" w:sz="0" w:space="0" w:color="auto"/>
        <w:right w:val="none" w:sz="0" w:space="0" w:color="auto"/>
      </w:divBdr>
      <w:divsChild>
        <w:div w:id="554973510">
          <w:marLeft w:val="0"/>
          <w:marRight w:val="0"/>
          <w:marTop w:val="0"/>
          <w:marBottom w:val="0"/>
          <w:divBdr>
            <w:top w:val="none" w:sz="0" w:space="0" w:color="auto"/>
            <w:left w:val="none" w:sz="0" w:space="0" w:color="auto"/>
            <w:bottom w:val="none" w:sz="0" w:space="0" w:color="auto"/>
            <w:right w:val="none" w:sz="0" w:space="0" w:color="auto"/>
          </w:divBdr>
          <w:divsChild>
            <w:div w:id="197579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99182">
      <w:bodyDiv w:val="1"/>
      <w:marLeft w:val="0"/>
      <w:marRight w:val="0"/>
      <w:marTop w:val="0"/>
      <w:marBottom w:val="0"/>
      <w:divBdr>
        <w:top w:val="none" w:sz="0" w:space="0" w:color="auto"/>
        <w:left w:val="none" w:sz="0" w:space="0" w:color="auto"/>
        <w:bottom w:val="none" w:sz="0" w:space="0" w:color="auto"/>
        <w:right w:val="none" w:sz="0" w:space="0" w:color="auto"/>
      </w:divBdr>
    </w:div>
    <w:div w:id="1171289453">
      <w:bodyDiv w:val="1"/>
      <w:marLeft w:val="0"/>
      <w:marRight w:val="0"/>
      <w:marTop w:val="0"/>
      <w:marBottom w:val="0"/>
      <w:divBdr>
        <w:top w:val="none" w:sz="0" w:space="0" w:color="auto"/>
        <w:left w:val="none" w:sz="0" w:space="0" w:color="auto"/>
        <w:bottom w:val="none" w:sz="0" w:space="0" w:color="auto"/>
        <w:right w:val="none" w:sz="0" w:space="0" w:color="auto"/>
      </w:divBdr>
    </w:div>
    <w:div w:id="1177773868">
      <w:bodyDiv w:val="1"/>
      <w:marLeft w:val="0"/>
      <w:marRight w:val="0"/>
      <w:marTop w:val="0"/>
      <w:marBottom w:val="0"/>
      <w:divBdr>
        <w:top w:val="none" w:sz="0" w:space="0" w:color="auto"/>
        <w:left w:val="none" w:sz="0" w:space="0" w:color="auto"/>
        <w:bottom w:val="none" w:sz="0" w:space="0" w:color="auto"/>
        <w:right w:val="none" w:sz="0" w:space="0" w:color="auto"/>
      </w:divBdr>
      <w:divsChild>
        <w:div w:id="1859273534">
          <w:marLeft w:val="0"/>
          <w:marRight w:val="0"/>
          <w:marTop w:val="0"/>
          <w:marBottom w:val="0"/>
          <w:divBdr>
            <w:top w:val="none" w:sz="0" w:space="0" w:color="auto"/>
            <w:left w:val="none" w:sz="0" w:space="0" w:color="auto"/>
            <w:bottom w:val="none" w:sz="0" w:space="0" w:color="auto"/>
            <w:right w:val="none" w:sz="0" w:space="0" w:color="auto"/>
          </w:divBdr>
        </w:div>
      </w:divsChild>
    </w:div>
    <w:div w:id="1180199101">
      <w:bodyDiv w:val="1"/>
      <w:marLeft w:val="0"/>
      <w:marRight w:val="0"/>
      <w:marTop w:val="0"/>
      <w:marBottom w:val="0"/>
      <w:divBdr>
        <w:top w:val="none" w:sz="0" w:space="0" w:color="auto"/>
        <w:left w:val="none" w:sz="0" w:space="0" w:color="auto"/>
        <w:bottom w:val="none" w:sz="0" w:space="0" w:color="auto"/>
        <w:right w:val="none" w:sz="0" w:space="0" w:color="auto"/>
      </w:divBdr>
    </w:div>
    <w:div w:id="1180969937">
      <w:bodyDiv w:val="1"/>
      <w:marLeft w:val="0"/>
      <w:marRight w:val="0"/>
      <w:marTop w:val="0"/>
      <w:marBottom w:val="0"/>
      <w:divBdr>
        <w:top w:val="none" w:sz="0" w:space="0" w:color="auto"/>
        <w:left w:val="none" w:sz="0" w:space="0" w:color="auto"/>
        <w:bottom w:val="none" w:sz="0" w:space="0" w:color="auto"/>
        <w:right w:val="none" w:sz="0" w:space="0" w:color="auto"/>
      </w:divBdr>
      <w:divsChild>
        <w:div w:id="131365665">
          <w:marLeft w:val="0"/>
          <w:marRight w:val="0"/>
          <w:marTop w:val="0"/>
          <w:marBottom w:val="0"/>
          <w:divBdr>
            <w:top w:val="none" w:sz="0" w:space="0" w:color="auto"/>
            <w:left w:val="none" w:sz="0" w:space="0" w:color="auto"/>
            <w:bottom w:val="none" w:sz="0" w:space="0" w:color="auto"/>
            <w:right w:val="none" w:sz="0" w:space="0" w:color="auto"/>
          </w:divBdr>
          <w:divsChild>
            <w:div w:id="273447258">
              <w:marLeft w:val="0"/>
              <w:marRight w:val="0"/>
              <w:marTop w:val="0"/>
              <w:marBottom w:val="0"/>
              <w:divBdr>
                <w:top w:val="none" w:sz="0" w:space="0" w:color="auto"/>
                <w:left w:val="none" w:sz="0" w:space="0" w:color="auto"/>
                <w:bottom w:val="none" w:sz="0" w:space="0" w:color="auto"/>
                <w:right w:val="none" w:sz="0" w:space="0" w:color="auto"/>
              </w:divBdr>
            </w:div>
            <w:div w:id="582302941">
              <w:marLeft w:val="0"/>
              <w:marRight w:val="0"/>
              <w:marTop w:val="0"/>
              <w:marBottom w:val="0"/>
              <w:divBdr>
                <w:top w:val="none" w:sz="0" w:space="0" w:color="auto"/>
                <w:left w:val="none" w:sz="0" w:space="0" w:color="auto"/>
                <w:bottom w:val="none" w:sz="0" w:space="0" w:color="auto"/>
                <w:right w:val="none" w:sz="0" w:space="0" w:color="auto"/>
              </w:divBdr>
            </w:div>
            <w:div w:id="776028147">
              <w:marLeft w:val="0"/>
              <w:marRight w:val="0"/>
              <w:marTop w:val="0"/>
              <w:marBottom w:val="0"/>
              <w:divBdr>
                <w:top w:val="none" w:sz="0" w:space="0" w:color="auto"/>
                <w:left w:val="none" w:sz="0" w:space="0" w:color="auto"/>
                <w:bottom w:val="none" w:sz="0" w:space="0" w:color="auto"/>
                <w:right w:val="none" w:sz="0" w:space="0" w:color="auto"/>
              </w:divBdr>
            </w:div>
          </w:divsChild>
        </w:div>
        <w:div w:id="1679774754">
          <w:marLeft w:val="0"/>
          <w:marRight w:val="0"/>
          <w:marTop w:val="0"/>
          <w:marBottom w:val="0"/>
          <w:divBdr>
            <w:top w:val="none" w:sz="0" w:space="0" w:color="auto"/>
            <w:left w:val="none" w:sz="0" w:space="0" w:color="auto"/>
            <w:bottom w:val="none" w:sz="0" w:space="0" w:color="auto"/>
            <w:right w:val="none" w:sz="0" w:space="0" w:color="auto"/>
          </w:divBdr>
          <w:divsChild>
            <w:div w:id="1665278378">
              <w:marLeft w:val="0"/>
              <w:marRight w:val="0"/>
              <w:marTop w:val="0"/>
              <w:marBottom w:val="0"/>
              <w:divBdr>
                <w:top w:val="none" w:sz="0" w:space="0" w:color="auto"/>
                <w:left w:val="none" w:sz="0" w:space="0" w:color="auto"/>
                <w:bottom w:val="none" w:sz="0" w:space="0" w:color="auto"/>
                <w:right w:val="none" w:sz="0" w:space="0" w:color="auto"/>
              </w:divBdr>
            </w:div>
            <w:div w:id="199768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85712">
      <w:bodyDiv w:val="1"/>
      <w:marLeft w:val="0"/>
      <w:marRight w:val="0"/>
      <w:marTop w:val="0"/>
      <w:marBottom w:val="0"/>
      <w:divBdr>
        <w:top w:val="none" w:sz="0" w:space="0" w:color="auto"/>
        <w:left w:val="none" w:sz="0" w:space="0" w:color="auto"/>
        <w:bottom w:val="none" w:sz="0" w:space="0" w:color="auto"/>
        <w:right w:val="none" w:sz="0" w:space="0" w:color="auto"/>
      </w:divBdr>
      <w:divsChild>
        <w:div w:id="43061494">
          <w:marLeft w:val="0"/>
          <w:marRight w:val="0"/>
          <w:marTop w:val="0"/>
          <w:marBottom w:val="0"/>
          <w:divBdr>
            <w:top w:val="none" w:sz="0" w:space="0" w:color="auto"/>
            <w:left w:val="none" w:sz="0" w:space="0" w:color="auto"/>
            <w:bottom w:val="none" w:sz="0" w:space="0" w:color="auto"/>
            <w:right w:val="none" w:sz="0" w:space="0" w:color="auto"/>
          </w:divBdr>
        </w:div>
        <w:div w:id="288515730">
          <w:marLeft w:val="0"/>
          <w:marRight w:val="0"/>
          <w:marTop w:val="0"/>
          <w:marBottom w:val="0"/>
          <w:divBdr>
            <w:top w:val="none" w:sz="0" w:space="0" w:color="auto"/>
            <w:left w:val="none" w:sz="0" w:space="0" w:color="auto"/>
            <w:bottom w:val="none" w:sz="0" w:space="0" w:color="auto"/>
            <w:right w:val="none" w:sz="0" w:space="0" w:color="auto"/>
          </w:divBdr>
        </w:div>
      </w:divsChild>
    </w:div>
    <w:div w:id="1184898647">
      <w:bodyDiv w:val="1"/>
      <w:marLeft w:val="0"/>
      <w:marRight w:val="0"/>
      <w:marTop w:val="0"/>
      <w:marBottom w:val="0"/>
      <w:divBdr>
        <w:top w:val="none" w:sz="0" w:space="0" w:color="auto"/>
        <w:left w:val="none" w:sz="0" w:space="0" w:color="auto"/>
        <w:bottom w:val="none" w:sz="0" w:space="0" w:color="auto"/>
        <w:right w:val="none" w:sz="0" w:space="0" w:color="auto"/>
      </w:divBdr>
      <w:divsChild>
        <w:div w:id="302925297">
          <w:marLeft w:val="0"/>
          <w:marRight w:val="0"/>
          <w:marTop w:val="0"/>
          <w:marBottom w:val="0"/>
          <w:divBdr>
            <w:top w:val="none" w:sz="0" w:space="0" w:color="auto"/>
            <w:left w:val="none" w:sz="0" w:space="0" w:color="auto"/>
            <w:bottom w:val="none" w:sz="0" w:space="0" w:color="auto"/>
            <w:right w:val="none" w:sz="0" w:space="0" w:color="auto"/>
          </w:divBdr>
        </w:div>
      </w:divsChild>
    </w:div>
    <w:div w:id="1188567366">
      <w:bodyDiv w:val="1"/>
      <w:marLeft w:val="0"/>
      <w:marRight w:val="0"/>
      <w:marTop w:val="0"/>
      <w:marBottom w:val="0"/>
      <w:divBdr>
        <w:top w:val="none" w:sz="0" w:space="0" w:color="auto"/>
        <w:left w:val="none" w:sz="0" w:space="0" w:color="auto"/>
        <w:bottom w:val="none" w:sz="0" w:space="0" w:color="auto"/>
        <w:right w:val="none" w:sz="0" w:space="0" w:color="auto"/>
      </w:divBdr>
    </w:div>
    <w:div w:id="1204094567">
      <w:bodyDiv w:val="1"/>
      <w:marLeft w:val="0"/>
      <w:marRight w:val="0"/>
      <w:marTop w:val="0"/>
      <w:marBottom w:val="0"/>
      <w:divBdr>
        <w:top w:val="none" w:sz="0" w:space="0" w:color="auto"/>
        <w:left w:val="none" w:sz="0" w:space="0" w:color="auto"/>
        <w:bottom w:val="none" w:sz="0" w:space="0" w:color="auto"/>
        <w:right w:val="none" w:sz="0" w:space="0" w:color="auto"/>
      </w:divBdr>
    </w:div>
    <w:div w:id="1216742661">
      <w:bodyDiv w:val="1"/>
      <w:marLeft w:val="0"/>
      <w:marRight w:val="0"/>
      <w:marTop w:val="0"/>
      <w:marBottom w:val="0"/>
      <w:divBdr>
        <w:top w:val="none" w:sz="0" w:space="0" w:color="auto"/>
        <w:left w:val="none" w:sz="0" w:space="0" w:color="auto"/>
        <w:bottom w:val="none" w:sz="0" w:space="0" w:color="auto"/>
        <w:right w:val="none" w:sz="0" w:space="0" w:color="auto"/>
      </w:divBdr>
    </w:div>
    <w:div w:id="1223370976">
      <w:bodyDiv w:val="1"/>
      <w:marLeft w:val="0"/>
      <w:marRight w:val="0"/>
      <w:marTop w:val="0"/>
      <w:marBottom w:val="0"/>
      <w:divBdr>
        <w:top w:val="none" w:sz="0" w:space="0" w:color="auto"/>
        <w:left w:val="none" w:sz="0" w:space="0" w:color="auto"/>
        <w:bottom w:val="none" w:sz="0" w:space="0" w:color="auto"/>
        <w:right w:val="none" w:sz="0" w:space="0" w:color="auto"/>
      </w:divBdr>
    </w:div>
    <w:div w:id="1245341825">
      <w:bodyDiv w:val="1"/>
      <w:marLeft w:val="0"/>
      <w:marRight w:val="0"/>
      <w:marTop w:val="0"/>
      <w:marBottom w:val="0"/>
      <w:divBdr>
        <w:top w:val="none" w:sz="0" w:space="0" w:color="auto"/>
        <w:left w:val="none" w:sz="0" w:space="0" w:color="auto"/>
        <w:bottom w:val="none" w:sz="0" w:space="0" w:color="auto"/>
        <w:right w:val="none" w:sz="0" w:space="0" w:color="auto"/>
      </w:divBdr>
      <w:divsChild>
        <w:div w:id="1826434743">
          <w:marLeft w:val="0"/>
          <w:marRight w:val="0"/>
          <w:marTop w:val="0"/>
          <w:marBottom w:val="0"/>
          <w:divBdr>
            <w:top w:val="none" w:sz="0" w:space="0" w:color="auto"/>
            <w:left w:val="none" w:sz="0" w:space="0" w:color="auto"/>
            <w:bottom w:val="none" w:sz="0" w:space="0" w:color="auto"/>
            <w:right w:val="none" w:sz="0" w:space="0" w:color="auto"/>
          </w:divBdr>
        </w:div>
      </w:divsChild>
    </w:div>
    <w:div w:id="1260218857">
      <w:bodyDiv w:val="1"/>
      <w:marLeft w:val="0"/>
      <w:marRight w:val="0"/>
      <w:marTop w:val="0"/>
      <w:marBottom w:val="0"/>
      <w:divBdr>
        <w:top w:val="none" w:sz="0" w:space="0" w:color="auto"/>
        <w:left w:val="none" w:sz="0" w:space="0" w:color="auto"/>
        <w:bottom w:val="none" w:sz="0" w:space="0" w:color="auto"/>
        <w:right w:val="none" w:sz="0" w:space="0" w:color="auto"/>
      </w:divBdr>
    </w:div>
    <w:div w:id="1267271975">
      <w:bodyDiv w:val="1"/>
      <w:marLeft w:val="0"/>
      <w:marRight w:val="0"/>
      <w:marTop w:val="0"/>
      <w:marBottom w:val="0"/>
      <w:divBdr>
        <w:top w:val="none" w:sz="0" w:space="0" w:color="auto"/>
        <w:left w:val="none" w:sz="0" w:space="0" w:color="auto"/>
        <w:bottom w:val="none" w:sz="0" w:space="0" w:color="auto"/>
        <w:right w:val="none" w:sz="0" w:space="0" w:color="auto"/>
      </w:divBdr>
      <w:divsChild>
        <w:div w:id="1489396188">
          <w:marLeft w:val="0"/>
          <w:marRight w:val="0"/>
          <w:marTop w:val="0"/>
          <w:marBottom w:val="0"/>
          <w:divBdr>
            <w:top w:val="none" w:sz="0" w:space="0" w:color="auto"/>
            <w:left w:val="none" w:sz="0" w:space="0" w:color="auto"/>
            <w:bottom w:val="none" w:sz="0" w:space="0" w:color="auto"/>
            <w:right w:val="none" w:sz="0" w:space="0" w:color="auto"/>
          </w:divBdr>
          <w:divsChild>
            <w:div w:id="2003850822">
              <w:marLeft w:val="0"/>
              <w:marRight w:val="0"/>
              <w:marTop w:val="30"/>
              <w:marBottom w:val="30"/>
              <w:divBdr>
                <w:top w:val="none" w:sz="0" w:space="0" w:color="auto"/>
                <w:left w:val="none" w:sz="0" w:space="0" w:color="auto"/>
                <w:bottom w:val="none" w:sz="0" w:space="0" w:color="auto"/>
                <w:right w:val="none" w:sz="0" w:space="0" w:color="auto"/>
              </w:divBdr>
              <w:divsChild>
                <w:div w:id="14625425">
                  <w:marLeft w:val="0"/>
                  <w:marRight w:val="0"/>
                  <w:marTop w:val="0"/>
                  <w:marBottom w:val="0"/>
                  <w:divBdr>
                    <w:top w:val="none" w:sz="0" w:space="0" w:color="auto"/>
                    <w:left w:val="none" w:sz="0" w:space="0" w:color="auto"/>
                    <w:bottom w:val="none" w:sz="0" w:space="0" w:color="auto"/>
                    <w:right w:val="none" w:sz="0" w:space="0" w:color="auto"/>
                  </w:divBdr>
                  <w:divsChild>
                    <w:div w:id="2092504389">
                      <w:marLeft w:val="0"/>
                      <w:marRight w:val="0"/>
                      <w:marTop w:val="0"/>
                      <w:marBottom w:val="0"/>
                      <w:divBdr>
                        <w:top w:val="none" w:sz="0" w:space="0" w:color="auto"/>
                        <w:left w:val="none" w:sz="0" w:space="0" w:color="auto"/>
                        <w:bottom w:val="none" w:sz="0" w:space="0" w:color="auto"/>
                        <w:right w:val="none" w:sz="0" w:space="0" w:color="auto"/>
                      </w:divBdr>
                    </w:div>
                  </w:divsChild>
                </w:div>
                <w:div w:id="49160877">
                  <w:marLeft w:val="0"/>
                  <w:marRight w:val="0"/>
                  <w:marTop w:val="0"/>
                  <w:marBottom w:val="0"/>
                  <w:divBdr>
                    <w:top w:val="none" w:sz="0" w:space="0" w:color="auto"/>
                    <w:left w:val="none" w:sz="0" w:space="0" w:color="auto"/>
                    <w:bottom w:val="none" w:sz="0" w:space="0" w:color="auto"/>
                    <w:right w:val="none" w:sz="0" w:space="0" w:color="auto"/>
                  </w:divBdr>
                  <w:divsChild>
                    <w:div w:id="442922212">
                      <w:marLeft w:val="0"/>
                      <w:marRight w:val="0"/>
                      <w:marTop w:val="0"/>
                      <w:marBottom w:val="0"/>
                      <w:divBdr>
                        <w:top w:val="none" w:sz="0" w:space="0" w:color="auto"/>
                        <w:left w:val="none" w:sz="0" w:space="0" w:color="auto"/>
                        <w:bottom w:val="none" w:sz="0" w:space="0" w:color="auto"/>
                        <w:right w:val="none" w:sz="0" w:space="0" w:color="auto"/>
                      </w:divBdr>
                    </w:div>
                  </w:divsChild>
                </w:div>
                <w:div w:id="68776734">
                  <w:marLeft w:val="0"/>
                  <w:marRight w:val="0"/>
                  <w:marTop w:val="0"/>
                  <w:marBottom w:val="0"/>
                  <w:divBdr>
                    <w:top w:val="none" w:sz="0" w:space="0" w:color="auto"/>
                    <w:left w:val="none" w:sz="0" w:space="0" w:color="auto"/>
                    <w:bottom w:val="none" w:sz="0" w:space="0" w:color="auto"/>
                    <w:right w:val="none" w:sz="0" w:space="0" w:color="auto"/>
                  </w:divBdr>
                  <w:divsChild>
                    <w:div w:id="1363048446">
                      <w:marLeft w:val="0"/>
                      <w:marRight w:val="0"/>
                      <w:marTop w:val="0"/>
                      <w:marBottom w:val="0"/>
                      <w:divBdr>
                        <w:top w:val="none" w:sz="0" w:space="0" w:color="auto"/>
                        <w:left w:val="none" w:sz="0" w:space="0" w:color="auto"/>
                        <w:bottom w:val="none" w:sz="0" w:space="0" w:color="auto"/>
                        <w:right w:val="none" w:sz="0" w:space="0" w:color="auto"/>
                      </w:divBdr>
                    </w:div>
                  </w:divsChild>
                </w:div>
                <w:div w:id="99222608">
                  <w:marLeft w:val="0"/>
                  <w:marRight w:val="0"/>
                  <w:marTop w:val="0"/>
                  <w:marBottom w:val="0"/>
                  <w:divBdr>
                    <w:top w:val="none" w:sz="0" w:space="0" w:color="auto"/>
                    <w:left w:val="none" w:sz="0" w:space="0" w:color="auto"/>
                    <w:bottom w:val="none" w:sz="0" w:space="0" w:color="auto"/>
                    <w:right w:val="none" w:sz="0" w:space="0" w:color="auto"/>
                  </w:divBdr>
                  <w:divsChild>
                    <w:div w:id="1749881647">
                      <w:marLeft w:val="0"/>
                      <w:marRight w:val="0"/>
                      <w:marTop w:val="0"/>
                      <w:marBottom w:val="0"/>
                      <w:divBdr>
                        <w:top w:val="none" w:sz="0" w:space="0" w:color="auto"/>
                        <w:left w:val="none" w:sz="0" w:space="0" w:color="auto"/>
                        <w:bottom w:val="none" w:sz="0" w:space="0" w:color="auto"/>
                        <w:right w:val="none" w:sz="0" w:space="0" w:color="auto"/>
                      </w:divBdr>
                    </w:div>
                  </w:divsChild>
                </w:div>
                <w:div w:id="100340973">
                  <w:marLeft w:val="0"/>
                  <w:marRight w:val="0"/>
                  <w:marTop w:val="0"/>
                  <w:marBottom w:val="0"/>
                  <w:divBdr>
                    <w:top w:val="none" w:sz="0" w:space="0" w:color="auto"/>
                    <w:left w:val="none" w:sz="0" w:space="0" w:color="auto"/>
                    <w:bottom w:val="none" w:sz="0" w:space="0" w:color="auto"/>
                    <w:right w:val="none" w:sz="0" w:space="0" w:color="auto"/>
                  </w:divBdr>
                  <w:divsChild>
                    <w:div w:id="826557618">
                      <w:marLeft w:val="0"/>
                      <w:marRight w:val="0"/>
                      <w:marTop w:val="0"/>
                      <w:marBottom w:val="0"/>
                      <w:divBdr>
                        <w:top w:val="none" w:sz="0" w:space="0" w:color="auto"/>
                        <w:left w:val="none" w:sz="0" w:space="0" w:color="auto"/>
                        <w:bottom w:val="none" w:sz="0" w:space="0" w:color="auto"/>
                        <w:right w:val="none" w:sz="0" w:space="0" w:color="auto"/>
                      </w:divBdr>
                    </w:div>
                  </w:divsChild>
                </w:div>
                <w:div w:id="149441172">
                  <w:marLeft w:val="0"/>
                  <w:marRight w:val="0"/>
                  <w:marTop w:val="0"/>
                  <w:marBottom w:val="0"/>
                  <w:divBdr>
                    <w:top w:val="none" w:sz="0" w:space="0" w:color="auto"/>
                    <w:left w:val="none" w:sz="0" w:space="0" w:color="auto"/>
                    <w:bottom w:val="none" w:sz="0" w:space="0" w:color="auto"/>
                    <w:right w:val="none" w:sz="0" w:space="0" w:color="auto"/>
                  </w:divBdr>
                  <w:divsChild>
                    <w:div w:id="1957443551">
                      <w:marLeft w:val="0"/>
                      <w:marRight w:val="0"/>
                      <w:marTop w:val="0"/>
                      <w:marBottom w:val="0"/>
                      <w:divBdr>
                        <w:top w:val="none" w:sz="0" w:space="0" w:color="auto"/>
                        <w:left w:val="none" w:sz="0" w:space="0" w:color="auto"/>
                        <w:bottom w:val="none" w:sz="0" w:space="0" w:color="auto"/>
                        <w:right w:val="none" w:sz="0" w:space="0" w:color="auto"/>
                      </w:divBdr>
                    </w:div>
                  </w:divsChild>
                </w:div>
                <w:div w:id="203253711">
                  <w:marLeft w:val="0"/>
                  <w:marRight w:val="0"/>
                  <w:marTop w:val="0"/>
                  <w:marBottom w:val="0"/>
                  <w:divBdr>
                    <w:top w:val="none" w:sz="0" w:space="0" w:color="auto"/>
                    <w:left w:val="none" w:sz="0" w:space="0" w:color="auto"/>
                    <w:bottom w:val="none" w:sz="0" w:space="0" w:color="auto"/>
                    <w:right w:val="none" w:sz="0" w:space="0" w:color="auto"/>
                  </w:divBdr>
                  <w:divsChild>
                    <w:div w:id="486674523">
                      <w:marLeft w:val="0"/>
                      <w:marRight w:val="0"/>
                      <w:marTop w:val="0"/>
                      <w:marBottom w:val="0"/>
                      <w:divBdr>
                        <w:top w:val="none" w:sz="0" w:space="0" w:color="auto"/>
                        <w:left w:val="none" w:sz="0" w:space="0" w:color="auto"/>
                        <w:bottom w:val="none" w:sz="0" w:space="0" w:color="auto"/>
                        <w:right w:val="none" w:sz="0" w:space="0" w:color="auto"/>
                      </w:divBdr>
                    </w:div>
                  </w:divsChild>
                </w:div>
                <w:div w:id="224613400">
                  <w:marLeft w:val="0"/>
                  <w:marRight w:val="0"/>
                  <w:marTop w:val="0"/>
                  <w:marBottom w:val="0"/>
                  <w:divBdr>
                    <w:top w:val="none" w:sz="0" w:space="0" w:color="auto"/>
                    <w:left w:val="none" w:sz="0" w:space="0" w:color="auto"/>
                    <w:bottom w:val="none" w:sz="0" w:space="0" w:color="auto"/>
                    <w:right w:val="none" w:sz="0" w:space="0" w:color="auto"/>
                  </w:divBdr>
                  <w:divsChild>
                    <w:div w:id="1783377853">
                      <w:marLeft w:val="0"/>
                      <w:marRight w:val="0"/>
                      <w:marTop w:val="0"/>
                      <w:marBottom w:val="0"/>
                      <w:divBdr>
                        <w:top w:val="none" w:sz="0" w:space="0" w:color="auto"/>
                        <w:left w:val="none" w:sz="0" w:space="0" w:color="auto"/>
                        <w:bottom w:val="none" w:sz="0" w:space="0" w:color="auto"/>
                        <w:right w:val="none" w:sz="0" w:space="0" w:color="auto"/>
                      </w:divBdr>
                    </w:div>
                  </w:divsChild>
                </w:div>
                <w:div w:id="305866344">
                  <w:marLeft w:val="0"/>
                  <w:marRight w:val="0"/>
                  <w:marTop w:val="0"/>
                  <w:marBottom w:val="0"/>
                  <w:divBdr>
                    <w:top w:val="none" w:sz="0" w:space="0" w:color="auto"/>
                    <w:left w:val="none" w:sz="0" w:space="0" w:color="auto"/>
                    <w:bottom w:val="none" w:sz="0" w:space="0" w:color="auto"/>
                    <w:right w:val="none" w:sz="0" w:space="0" w:color="auto"/>
                  </w:divBdr>
                  <w:divsChild>
                    <w:div w:id="1072045939">
                      <w:marLeft w:val="0"/>
                      <w:marRight w:val="0"/>
                      <w:marTop w:val="0"/>
                      <w:marBottom w:val="0"/>
                      <w:divBdr>
                        <w:top w:val="none" w:sz="0" w:space="0" w:color="auto"/>
                        <w:left w:val="none" w:sz="0" w:space="0" w:color="auto"/>
                        <w:bottom w:val="none" w:sz="0" w:space="0" w:color="auto"/>
                        <w:right w:val="none" w:sz="0" w:space="0" w:color="auto"/>
                      </w:divBdr>
                    </w:div>
                  </w:divsChild>
                </w:div>
                <w:div w:id="379864145">
                  <w:marLeft w:val="0"/>
                  <w:marRight w:val="0"/>
                  <w:marTop w:val="0"/>
                  <w:marBottom w:val="0"/>
                  <w:divBdr>
                    <w:top w:val="none" w:sz="0" w:space="0" w:color="auto"/>
                    <w:left w:val="none" w:sz="0" w:space="0" w:color="auto"/>
                    <w:bottom w:val="none" w:sz="0" w:space="0" w:color="auto"/>
                    <w:right w:val="none" w:sz="0" w:space="0" w:color="auto"/>
                  </w:divBdr>
                  <w:divsChild>
                    <w:div w:id="1339843108">
                      <w:marLeft w:val="0"/>
                      <w:marRight w:val="0"/>
                      <w:marTop w:val="0"/>
                      <w:marBottom w:val="0"/>
                      <w:divBdr>
                        <w:top w:val="none" w:sz="0" w:space="0" w:color="auto"/>
                        <w:left w:val="none" w:sz="0" w:space="0" w:color="auto"/>
                        <w:bottom w:val="none" w:sz="0" w:space="0" w:color="auto"/>
                        <w:right w:val="none" w:sz="0" w:space="0" w:color="auto"/>
                      </w:divBdr>
                    </w:div>
                  </w:divsChild>
                </w:div>
                <w:div w:id="391394060">
                  <w:marLeft w:val="0"/>
                  <w:marRight w:val="0"/>
                  <w:marTop w:val="0"/>
                  <w:marBottom w:val="0"/>
                  <w:divBdr>
                    <w:top w:val="none" w:sz="0" w:space="0" w:color="auto"/>
                    <w:left w:val="none" w:sz="0" w:space="0" w:color="auto"/>
                    <w:bottom w:val="none" w:sz="0" w:space="0" w:color="auto"/>
                    <w:right w:val="none" w:sz="0" w:space="0" w:color="auto"/>
                  </w:divBdr>
                  <w:divsChild>
                    <w:div w:id="1045326759">
                      <w:marLeft w:val="0"/>
                      <w:marRight w:val="0"/>
                      <w:marTop w:val="0"/>
                      <w:marBottom w:val="0"/>
                      <w:divBdr>
                        <w:top w:val="none" w:sz="0" w:space="0" w:color="auto"/>
                        <w:left w:val="none" w:sz="0" w:space="0" w:color="auto"/>
                        <w:bottom w:val="none" w:sz="0" w:space="0" w:color="auto"/>
                        <w:right w:val="none" w:sz="0" w:space="0" w:color="auto"/>
                      </w:divBdr>
                    </w:div>
                  </w:divsChild>
                </w:div>
                <w:div w:id="395471738">
                  <w:marLeft w:val="0"/>
                  <w:marRight w:val="0"/>
                  <w:marTop w:val="0"/>
                  <w:marBottom w:val="0"/>
                  <w:divBdr>
                    <w:top w:val="none" w:sz="0" w:space="0" w:color="auto"/>
                    <w:left w:val="none" w:sz="0" w:space="0" w:color="auto"/>
                    <w:bottom w:val="none" w:sz="0" w:space="0" w:color="auto"/>
                    <w:right w:val="none" w:sz="0" w:space="0" w:color="auto"/>
                  </w:divBdr>
                  <w:divsChild>
                    <w:div w:id="1130050157">
                      <w:marLeft w:val="0"/>
                      <w:marRight w:val="0"/>
                      <w:marTop w:val="0"/>
                      <w:marBottom w:val="0"/>
                      <w:divBdr>
                        <w:top w:val="none" w:sz="0" w:space="0" w:color="auto"/>
                        <w:left w:val="none" w:sz="0" w:space="0" w:color="auto"/>
                        <w:bottom w:val="none" w:sz="0" w:space="0" w:color="auto"/>
                        <w:right w:val="none" w:sz="0" w:space="0" w:color="auto"/>
                      </w:divBdr>
                    </w:div>
                  </w:divsChild>
                </w:div>
                <w:div w:id="406660232">
                  <w:marLeft w:val="0"/>
                  <w:marRight w:val="0"/>
                  <w:marTop w:val="0"/>
                  <w:marBottom w:val="0"/>
                  <w:divBdr>
                    <w:top w:val="none" w:sz="0" w:space="0" w:color="auto"/>
                    <w:left w:val="none" w:sz="0" w:space="0" w:color="auto"/>
                    <w:bottom w:val="none" w:sz="0" w:space="0" w:color="auto"/>
                    <w:right w:val="none" w:sz="0" w:space="0" w:color="auto"/>
                  </w:divBdr>
                  <w:divsChild>
                    <w:div w:id="2143766764">
                      <w:marLeft w:val="0"/>
                      <w:marRight w:val="0"/>
                      <w:marTop w:val="0"/>
                      <w:marBottom w:val="0"/>
                      <w:divBdr>
                        <w:top w:val="none" w:sz="0" w:space="0" w:color="auto"/>
                        <w:left w:val="none" w:sz="0" w:space="0" w:color="auto"/>
                        <w:bottom w:val="none" w:sz="0" w:space="0" w:color="auto"/>
                        <w:right w:val="none" w:sz="0" w:space="0" w:color="auto"/>
                      </w:divBdr>
                    </w:div>
                  </w:divsChild>
                </w:div>
                <w:div w:id="476075709">
                  <w:marLeft w:val="0"/>
                  <w:marRight w:val="0"/>
                  <w:marTop w:val="0"/>
                  <w:marBottom w:val="0"/>
                  <w:divBdr>
                    <w:top w:val="none" w:sz="0" w:space="0" w:color="auto"/>
                    <w:left w:val="none" w:sz="0" w:space="0" w:color="auto"/>
                    <w:bottom w:val="none" w:sz="0" w:space="0" w:color="auto"/>
                    <w:right w:val="none" w:sz="0" w:space="0" w:color="auto"/>
                  </w:divBdr>
                  <w:divsChild>
                    <w:div w:id="1900090343">
                      <w:marLeft w:val="0"/>
                      <w:marRight w:val="0"/>
                      <w:marTop w:val="0"/>
                      <w:marBottom w:val="0"/>
                      <w:divBdr>
                        <w:top w:val="none" w:sz="0" w:space="0" w:color="auto"/>
                        <w:left w:val="none" w:sz="0" w:space="0" w:color="auto"/>
                        <w:bottom w:val="none" w:sz="0" w:space="0" w:color="auto"/>
                        <w:right w:val="none" w:sz="0" w:space="0" w:color="auto"/>
                      </w:divBdr>
                    </w:div>
                  </w:divsChild>
                </w:div>
                <w:div w:id="503402081">
                  <w:marLeft w:val="0"/>
                  <w:marRight w:val="0"/>
                  <w:marTop w:val="0"/>
                  <w:marBottom w:val="0"/>
                  <w:divBdr>
                    <w:top w:val="none" w:sz="0" w:space="0" w:color="auto"/>
                    <w:left w:val="none" w:sz="0" w:space="0" w:color="auto"/>
                    <w:bottom w:val="none" w:sz="0" w:space="0" w:color="auto"/>
                    <w:right w:val="none" w:sz="0" w:space="0" w:color="auto"/>
                  </w:divBdr>
                  <w:divsChild>
                    <w:div w:id="790905241">
                      <w:marLeft w:val="0"/>
                      <w:marRight w:val="0"/>
                      <w:marTop w:val="0"/>
                      <w:marBottom w:val="0"/>
                      <w:divBdr>
                        <w:top w:val="none" w:sz="0" w:space="0" w:color="auto"/>
                        <w:left w:val="none" w:sz="0" w:space="0" w:color="auto"/>
                        <w:bottom w:val="none" w:sz="0" w:space="0" w:color="auto"/>
                        <w:right w:val="none" w:sz="0" w:space="0" w:color="auto"/>
                      </w:divBdr>
                    </w:div>
                  </w:divsChild>
                </w:div>
                <w:div w:id="542211626">
                  <w:marLeft w:val="0"/>
                  <w:marRight w:val="0"/>
                  <w:marTop w:val="0"/>
                  <w:marBottom w:val="0"/>
                  <w:divBdr>
                    <w:top w:val="none" w:sz="0" w:space="0" w:color="auto"/>
                    <w:left w:val="none" w:sz="0" w:space="0" w:color="auto"/>
                    <w:bottom w:val="none" w:sz="0" w:space="0" w:color="auto"/>
                    <w:right w:val="none" w:sz="0" w:space="0" w:color="auto"/>
                  </w:divBdr>
                  <w:divsChild>
                    <w:div w:id="645284402">
                      <w:marLeft w:val="0"/>
                      <w:marRight w:val="0"/>
                      <w:marTop w:val="0"/>
                      <w:marBottom w:val="0"/>
                      <w:divBdr>
                        <w:top w:val="none" w:sz="0" w:space="0" w:color="auto"/>
                        <w:left w:val="none" w:sz="0" w:space="0" w:color="auto"/>
                        <w:bottom w:val="none" w:sz="0" w:space="0" w:color="auto"/>
                        <w:right w:val="none" w:sz="0" w:space="0" w:color="auto"/>
                      </w:divBdr>
                    </w:div>
                  </w:divsChild>
                </w:div>
                <w:div w:id="568929144">
                  <w:marLeft w:val="0"/>
                  <w:marRight w:val="0"/>
                  <w:marTop w:val="0"/>
                  <w:marBottom w:val="0"/>
                  <w:divBdr>
                    <w:top w:val="none" w:sz="0" w:space="0" w:color="auto"/>
                    <w:left w:val="none" w:sz="0" w:space="0" w:color="auto"/>
                    <w:bottom w:val="none" w:sz="0" w:space="0" w:color="auto"/>
                    <w:right w:val="none" w:sz="0" w:space="0" w:color="auto"/>
                  </w:divBdr>
                  <w:divsChild>
                    <w:div w:id="137193520">
                      <w:marLeft w:val="0"/>
                      <w:marRight w:val="0"/>
                      <w:marTop w:val="0"/>
                      <w:marBottom w:val="0"/>
                      <w:divBdr>
                        <w:top w:val="none" w:sz="0" w:space="0" w:color="auto"/>
                        <w:left w:val="none" w:sz="0" w:space="0" w:color="auto"/>
                        <w:bottom w:val="none" w:sz="0" w:space="0" w:color="auto"/>
                        <w:right w:val="none" w:sz="0" w:space="0" w:color="auto"/>
                      </w:divBdr>
                    </w:div>
                  </w:divsChild>
                </w:div>
                <w:div w:id="632517722">
                  <w:marLeft w:val="0"/>
                  <w:marRight w:val="0"/>
                  <w:marTop w:val="0"/>
                  <w:marBottom w:val="0"/>
                  <w:divBdr>
                    <w:top w:val="none" w:sz="0" w:space="0" w:color="auto"/>
                    <w:left w:val="none" w:sz="0" w:space="0" w:color="auto"/>
                    <w:bottom w:val="none" w:sz="0" w:space="0" w:color="auto"/>
                    <w:right w:val="none" w:sz="0" w:space="0" w:color="auto"/>
                  </w:divBdr>
                  <w:divsChild>
                    <w:div w:id="166286596">
                      <w:marLeft w:val="0"/>
                      <w:marRight w:val="0"/>
                      <w:marTop w:val="0"/>
                      <w:marBottom w:val="0"/>
                      <w:divBdr>
                        <w:top w:val="none" w:sz="0" w:space="0" w:color="auto"/>
                        <w:left w:val="none" w:sz="0" w:space="0" w:color="auto"/>
                        <w:bottom w:val="none" w:sz="0" w:space="0" w:color="auto"/>
                        <w:right w:val="none" w:sz="0" w:space="0" w:color="auto"/>
                      </w:divBdr>
                    </w:div>
                  </w:divsChild>
                </w:div>
                <w:div w:id="666249417">
                  <w:marLeft w:val="0"/>
                  <w:marRight w:val="0"/>
                  <w:marTop w:val="0"/>
                  <w:marBottom w:val="0"/>
                  <w:divBdr>
                    <w:top w:val="none" w:sz="0" w:space="0" w:color="auto"/>
                    <w:left w:val="none" w:sz="0" w:space="0" w:color="auto"/>
                    <w:bottom w:val="none" w:sz="0" w:space="0" w:color="auto"/>
                    <w:right w:val="none" w:sz="0" w:space="0" w:color="auto"/>
                  </w:divBdr>
                  <w:divsChild>
                    <w:div w:id="1007899948">
                      <w:marLeft w:val="0"/>
                      <w:marRight w:val="0"/>
                      <w:marTop w:val="0"/>
                      <w:marBottom w:val="0"/>
                      <w:divBdr>
                        <w:top w:val="none" w:sz="0" w:space="0" w:color="auto"/>
                        <w:left w:val="none" w:sz="0" w:space="0" w:color="auto"/>
                        <w:bottom w:val="none" w:sz="0" w:space="0" w:color="auto"/>
                        <w:right w:val="none" w:sz="0" w:space="0" w:color="auto"/>
                      </w:divBdr>
                    </w:div>
                  </w:divsChild>
                </w:div>
                <w:div w:id="713694660">
                  <w:marLeft w:val="0"/>
                  <w:marRight w:val="0"/>
                  <w:marTop w:val="0"/>
                  <w:marBottom w:val="0"/>
                  <w:divBdr>
                    <w:top w:val="none" w:sz="0" w:space="0" w:color="auto"/>
                    <w:left w:val="none" w:sz="0" w:space="0" w:color="auto"/>
                    <w:bottom w:val="none" w:sz="0" w:space="0" w:color="auto"/>
                    <w:right w:val="none" w:sz="0" w:space="0" w:color="auto"/>
                  </w:divBdr>
                  <w:divsChild>
                    <w:div w:id="1855875924">
                      <w:marLeft w:val="0"/>
                      <w:marRight w:val="0"/>
                      <w:marTop w:val="0"/>
                      <w:marBottom w:val="0"/>
                      <w:divBdr>
                        <w:top w:val="none" w:sz="0" w:space="0" w:color="auto"/>
                        <w:left w:val="none" w:sz="0" w:space="0" w:color="auto"/>
                        <w:bottom w:val="none" w:sz="0" w:space="0" w:color="auto"/>
                        <w:right w:val="none" w:sz="0" w:space="0" w:color="auto"/>
                      </w:divBdr>
                    </w:div>
                  </w:divsChild>
                </w:div>
                <w:div w:id="751895457">
                  <w:marLeft w:val="0"/>
                  <w:marRight w:val="0"/>
                  <w:marTop w:val="0"/>
                  <w:marBottom w:val="0"/>
                  <w:divBdr>
                    <w:top w:val="none" w:sz="0" w:space="0" w:color="auto"/>
                    <w:left w:val="none" w:sz="0" w:space="0" w:color="auto"/>
                    <w:bottom w:val="none" w:sz="0" w:space="0" w:color="auto"/>
                    <w:right w:val="none" w:sz="0" w:space="0" w:color="auto"/>
                  </w:divBdr>
                  <w:divsChild>
                    <w:div w:id="1651057654">
                      <w:marLeft w:val="0"/>
                      <w:marRight w:val="0"/>
                      <w:marTop w:val="0"/>
                      <w:marBottom w:val="0"/>
                      <w:divBdr>
                        <w:top w:val="none" w:sz="0" w:space="0" w:color="auto"/>
                        <w:left w:val="none" w:sz="0" w:space="0" w:color="auto"/>
                        <w:bottom w:val="none" w:sz="0" w:space="0" w:color="auto"/>
                        <w:right w:val="none" w:sz="0" w:space="0" w:color="auto"/>
                      </w:divBdr>
                    </w:div>
                  </w:divsChild>
                </w:div>
                <w:div w:id="803936285">
                  <w:marLeft w:val="0"/>
                  <w:marRight w:val="0"/>
                  <w:marTop w:val="0"/>
                  <w:marBottom w:val="0"/>
                  <w:divBdr>
                    <w:top w:val="none" w:sz="0" w:space="0" w:color="auto"/>
                    <w:left w:val="none" w:sz="0" w:space="0" w:color="auto"/>
                    <w:bottom w:val="none" w:sz="0" w:space="0" w:color="auto"/>
                    <w:right w:val="none" w:sz="0" w:space="0" w:color="auto"/>
                  </w:divBdr>
                  <w:divsChild>
                    <w:div w:id="2099474851">
                      <w:marLeft w:val="0"/>
                      <w:marRight w:val="0"/>
                      <w:marTop w:val="0"/>
                      <w:marBottom w:val="0"/>
                      <w:divBdr>
                        <w:top w:val="none" w:sz="0" w:space="0" w:color="auto"/>
                        <w:left w:val="none" w:sz="0" w:space="0" w:color="auto"/>
                        <w:bottom w:val="none" w:sz="0" w:space="0" w:color="auto"/>
                        <w:right w:val="none" w:sz="0" w:space="0" w:color="auto"/>
                      </w:divBdr>
                    </w:div>
                  </w:divsChild>
                </w:div>
                <w:div w:id="823929698">
                  <w:marLeft w:val="0"/>
                  <w:marRight w:val="0"/>
                  <w:marTop w:val="0"/>
                  <w:marBottom w:val="0"/>
                  <w:divBdr>
                    <w:top w:val="none" w:sz="0" w:space="0" w:color="auto"/>
                    <w:left w:val="none" w:sz="0" w:space="0" w:color="auto"/>
                    <w:bottom w:val="none" w:sz="0" w:space="0" w:color="auto"/>
                    <w:right w:val="none" w:sz="0" w:space="0" w:color="auto"/>
                  </w:divBdr>
                  <w:divsChild>
                    <w:div w:id="710692944">
                      <w:marLeft w:val="0"/>
                      <w:marRight w:val="0"/>
                      <w:marTop w:val="0"/>
                      <w:marBottom w:val="0"/>
                      <w:divBdr>
                        <w:top w:val="none" w:sz="0" w:space="0" w:color="auto"/>
                        <w:left w:val="none" w:sz="0" w:space="0" w:color="auto"/>
                        <w:bottom w:val="none" w:sz="0" w:space="0" w:color="auto"/>
                        <w:right w:val="none" w:sz="0" w:space="0" w:color="auto"/>
                      </w:divBdr>
                    </w:div>
                  </w:divsChild>
                </w:div>
                <w:div w:id="881332522">
                  <w:marLeft w:val="0"/>
                  <w:marRight w:val="0"/>
                  <w:marTop w:val="0"/>
                  <w:marBottom w:val="0"/>
                  <w:divBdr>
                    <w:top w:val="none" w:sz="0" w:space="0" w:color="auto"/>
                    <w:left w:val="none" w:sz="0" w:space="0" w:color="auto"/>
                    <w:bottom w:val="none" w:sz="0" w:space="0" w:color="auto"/>
                    <w:right w:val="none" w:sz="0" w:space="0" w:color="auto"/>
                  </w:divBdr>
                  <w:divsChild>
                    <w:div w:id="1561087213">
                      <w:marLeft w:val="0"/>
                      <w:marRight w:val="0"/>
                      <w:marTop w:val="0"/>
                      <w:marBottom w:val="0"/>
                      <w:divBdr>
                        <w:top w:val="none" w:sz="0" w:space="0" w:color="auto"/>
                        <w:left w:val="none" w:sz="0" w:space="0" w:color="auto"/>
                        <w:bottom w:val="none" w:sz="0" w:space="0" w:color="auto"/>
                        <w:right w:val="none" w:sz="0" w:space="0" w:color="auto"/>
                      </w:divBdr>
                    </w:div>
                  </w:divsChild>
                </w:div>
                <w:div w:id="973365918">
                  <w:marLeft w:val="0"/>
                  <w:marRight w:val="0"/>
                  <w:marTop w:val="0"/>
                  <w:marBottom w:val="0"/>
                  <w:divBdr>
                    <w:top w:val="none" w:sz="0" w:space="0" w:color="auto"/>
                    <w:left w:val="none" w:sz="0" w:space="0" w:color="auto"/>
                    <w:bottom w:val="none" w:sz="0" w:space="0" w:color="auto"/>
                    <w:right w:val="none" w:sz="0" w:space="0" w:color="auto"/>
                  </w:divBdr>
                  <w:divsChild>
                    <w:div w:id="2118942443">
                      <w:marLeft w:val="0"/>
                      <w:marRight w:val="0"/>
                      <w:marTop w:val="0"/>
                      <w:marBottom w:val="0"/>
                      <w:divBdr>
                        <w:top w:val="none" w:sz="0" w:space="0" w:color="auto"/>
                        <w:left w:val="none" w:sz="0" w:space="0" w:color="auto"/>
                        <w:bottom w:val="none" w:sz="0" w:space="0" w:color="auto"/>
                        <w:right w:val="none" w:sz="0" w:space="0" w:color="auto"/>
                      </w:divBdr>
                    </w:div>
                  </w:divsChild>
                </w:div>
                <w:div w:id="997079035">
                  <w:marLeft w:val="0"/>
                  <w:marRight w:val="0"/>
                  <w:marTop w:val="0"/>
                  <w:marBottom w:val="0"/>
                  <w:divBdr>
                    <w:top w:val="none" w:sz="0" w:space="0" w:color="auto"/>
                    <w:left w:val="none" w:sz="0" w:space="0" w:color="auto"/>
                    <w:bottom w:val="none" w:sz="0" w:space="0" w:color="auto"/>
                    <w:right w:val="none" w:sz="0" w:space="0" w:color="auto"/>
                  </w:divBdr>
                  <w:divsChild>
                    <w:div w:id="1279532229">
                      <w:marLeft w:val="0"/>
                      <w:marRight w:val="0"/>
                      <w:marTop w:val="0"/>
                      <w:marBottom w:val="0"/>
                      <w:divBdr>
                        <w:top w:val="none" w:sz="0" w:space="0" w:color="auto"/>
                        <w:left w:val="none" w:sz="0" w:space="0" w:color="auto"/>
                        <w:bottom w:val="none" w:sz="0" w:space="0" w:color="auto"/>
                        <w:right w:val="none" w:sz="0" w:space="0" w:color="auto"/>
                      </w:divBdr>
                    </w:div>
                  </w:divsChild>
                </w:div>
                <w:div w:id="1029573631">
                  <w:marLeft w:val="0"/>
                  <w:marRight w:val="0"/>
                  <w:marTop w:val="0"/>
                  <w:marBottom w:val="0"/>
                  <w:divBdr>
                    <w:top w:val="none" w:sz="0" w:space="0" w:color="auto"/>
                    <w:left w:val="none" w:sz="0" w:space="0" w:color="auto"/>
                    <w:bottom w:val="none" w:sz="0" w:space="0" w:color="auto"/>
                    <w:right w:val="none" w:sz="0" w:space="0" w:color="auto"/>
                  </w:divBdr>
                  <w:divsChild>
                    <w:div w:id="1090008613">
                      <w:marLeft w:val="0"/>
                      <w:marRight w:val="0"/>
                      <w:marTop w:val="0"/>
                      <w:marBottom w:val="0"/>
                      <w:divBdr>
                        <w:top w:val="none" w:sz="0" w:space="0" w:color="auto"/>
                        <w:left w:val="none" w:sz="0" w:space="0" w:color="auto"/>
                        <w:bottom w:val="none" w:sz="0" w:space="0" w:color="auto"/>
                        <w:right w:val="none" w:sz="0" w:space="0" w:color="auto"/>
                      </w:divBdr>
                    </w:div>
                  </w:divsChild>
                </w:div>
                <w:div w:id="1045132886">
                  <w:marLeft w:val="0"/>
                  <w:marRight w:val="0"/>
                  <w:marTop w:val="0"/>
                  <w:marBottom w:val="0"/>
                  <w:divBdr>
                    <w:top w:val="none" w:sz="0" w:space="0" w:color="auto"/>
                    <w:left w:val="none" w:sz="0" w:space="0" w:color="auto"/>
                    <w:bottom w:val="none" w:sz="0" w:space="0" w:color="auto"/>
                    <w:right w:val="none" w:sz="0" w:space="0" w:color="auto"/>
                  </w:divBdr>
                  <w:divsChild>
                    <w:div w:id="1515612526">
                      <w:marLeft w:val="0"/>
                      <w:marRight w:val="0"/>
                      <w:marTop w:val="0"/>
                      <w:marBottom w:val="0"/>
                      <w:divBdr>
                        <w:top w:val="none" w:sz="0" w:space="0" w:color="auto"/>
                        <w:left w:val="none" w:sz="0" w:space="0" w:color="auto"/>
                        <w:bottom w:val="none" w:sz="0" w:space="0" w:color="auto"/>
                        <w:right w:val="none" w:sz="0" w:space="0" w:color="auto"/>
                      </w:divBdr>
                    </w:div>
                  </w:divsChild>
                </w:div>
                <w:div w:id="1084373208">
                  <w:marLeft w:val="0"/>
                  <w:marRight w:val="0"/>
                  <w:marTop w:val="0"/>
                  <w:marBottom w:val="0"/>
                  <w:divBdr>
                    <w:top w:val="none" w:sz="0" w:space="0" w:color="auto"/>
                    <w:left w:val="none" w:sz="0" w:space="0" w:color="auto"/>
                    <w:bottom w:val="none" w:sz="0" w:space="0" w:color="auto"/>
                    <w:right w:val="none" w:sz="0" w:space="0" w:color="auto"/>
                  </w:divBdr>
                  <w:divsChild>
                    <w:div w:id="855770237">
                      <w:marLeft w:val="0"/>
                      <w:marRight w:val="0"/>
                      <w:marTop w:val="0"/>
                      <w:marBottom w:val="0"/>
                      <w:divBdr>
                        <w:top w:val="none" w:sz="0" w:space="0" w:color="auto"/>
                        <w:left w:val="none" w:sz="0" w:space="0" w:color="auto"/>
                        <w:bottom w:val="none" w:sz="0" w:space="0" w:color="auto"/>
                        <w:right w:val="none" w:sz="0" w:space="0" w:color="auto"/>
                      </w:divBdr>
                    </w:div>
                  </w:divsChild>
                </w:div>
                <w:div w:id="1097363957">
                  <w:marLeft w:val="0"/>
                  <w:marRight w:val="0"/>
                  <w:marTop w:val="0"/>
                  <w:marBottom w:val="0"/>
                  <w:divBdr>
                    <w:top w:val="none" w:sz="0" w:space="0" w:color="auto"/>
                    <w:left w:val="none" w:sz="0" w:space="0" w:color="auto"/>
                    <w:bottom w:val="none" w:sz="0" w:space="0" w:color="auto"/>
                    <w:right w:val="none" w:sz="0" w:space="0" w:color="auto"/>
                  </w:divBdr>
                  <w:divsChild>
                    <w:div w:id="514804870">
                      <w:marLeft w:val="0"/>
                      <w:marRight w:val="0"/>
                      <w:marTop w:val="0"/>
                      <w:marBottom w:val="0"/>
                      <w:divBdr>
                        <w:top w:val="none" w:sz="0" w:space="0" w:color="auto"/>
                        <w:left w:val="none" w:sz="0" w:space="0" w:color="auto"/>
                        <w:bottom w:val="none" w:sz="0" w:space="0" w:color="auto"/>
                        <w:right w:val="none" w:sz="0" w:space="0" w:color="auto"/>
                      </w:divBdr>
                    </w:div>
                  </w:divsChild>
                </w:div>
                <w:div w:id="1102067266">
                  <w:marLeft w:val="0"/>
                  <w:marRight w:val="0"/>
                  <w:marTop w:val="0"/>
                  <w:marBottom w:val="0"/>
                  <w:divBdr>
                    <w:top w:val="none" w:sz="0" w:space="0" w:color="auto"/>
                    <w:left w:val="none" w:sz="0" w:space="0" w:color="auto"/>
                    <w:bottom w:val="none" w:sz="0" w:space="0" w:color="auto"/>
                    <w:right w:val="none" w:sz="0" w:space="0" w:color="auto"/>
                  </w:divBdr>
                  <w:divsChild>
                    <w:div w:id="1722752764">
                      <w:marLeft w:val="0"/>
                      <w:marRight w:val="0"/>
                      <w:marTop w:val="0"/>
                      <w:marBottom w:val="0"/>
                      <w:divBdr>
                        <w:top w:val="none" w:sz="0" w:space="0" w:color="auto"/>
                        <w:left w:val="none" w:sz="0" w:space="0" w:color="auto"/>
                        <w:bottom w:val="none" w:sz="0" w:space="0" w:color="auto"/>
                        <w:right w:val="none" w:sz="0" w:space="0" w:color="auto"/>
                      </w:divBdr>
                    </w:div>
                  </w:divsChild>
                </w:div>
                <w:div w:id="1110123517">
                  <w:marLeft w:val="0"/>
                  <w:marRight w:val="0"/>
                  <w:marTop w:val="0"/>
                  <w:marBottom w:val="0"/>
                  <w:divBdr>
                    <w:top w:val="none" w:sz="0" w:space="0" w:color="auto"/>
                    <w:left w:val="none" w:sz="0" w:space="0" w:color="auto"/>
                    <w:bottom w:val="none" w:sz="0" w:space="0" w:color="auto"/>
                    <w:right w:val="none" w:sz="0" w:space="0" w:color="auto"/>
                  </w:divBdr>
                  <w:divsChild>
                    <w:div w:id="1096244065">
                      <w:marLeft w:val="0"/>
                      <w:marRight w:val="0"/>
                      <w:marTop w:val="0"/>
                      <w:marBottom w:val="0"/>
                      <w:divBdr>
                        <w:top w:val="none" w:sz="0" w:space="0" w:color="auto"/>
                        <w:left w:val="none" w:sz="0" w:space="0" w:color="auto"/>
                        <w:bottom w:val="none" w:sz="0" w:space="0" w:color="auto"/>
                        <w:right w:val="none" w:sz="0" w:space="0" w:color="auto"/>
                      </w:divBdr>
                    </w:div>
                  </w:divsChild>
                </w:div>
                <w:div w:id="1122648281">
                  <w:marLeft w:val="0"/>
                  <w:marRight w:val="0"/>
                  <w:marTop w:val="0"/>
                  <w:marBottom w:val="0"/>
                  <w:divBdr>
                    <w:top w:val="none" w:sz="0" w:space="0" w:color="auto"/>
                    <w:left w:val="none" w:sz="0" w:space="0" w:color="auto"/>
                    <w:bottom w:val="none" w:sz="0" w:space="0" w:color="auto"/>
                    <w:right w:val="none" w:sz="0" w:space="0" w:color="auto"/>
                  </w:divBdr>
                  <w:divsChild>
                    <w:div w:id="7030407">
                      <w:marLeft w:val="0"/>
                      <w:marRight w:val="0"/>
                      <w:marTop w:val="0"/>
                      <w:marBottom w:val="0"/>
                      <w:divBdr>
                        <w:top w:val="none" w:sz="0" w:space="0" w:color="auto"/>
                        <w:left w:val="none" w:sz="0" w:space="0" w:color="auto"/>
                        <w:bottom w:val="none" w:sz="0" w:space="0" w:color="auto"/>
                        <w:right w:val="none" w:sz="0" w:space="0" w:color="auto"/>
                      </w:divBdr>
                    </w:div>
                  </w:divsChild>
                </w:div>
                <w:div w:id="1146514620">
                  <w:marLeft w:val="0"/>
                  <w:marRight w:val="0"/>
                  <w:marTop w:val="0"/>
                  <w:marBottom w:val="0"/>
                  <w:divBdr>
                    <w:top w:val="none" w:sz="0" w:space="0" w:color="auto"/>
                    <w:left w:val="none" w:sz="0" w:space="0" w:color="auto"/>
                    <w:bottom w:val="none" w:sz="0" w:space="0" w:color="auto"/>
                    <w:right w:val="none" w:sz="0" w:space="0" w:color="auto"/>
                  </w:divBdr>
                  <w:divsChild>
                    <w:div w:id="1293635881">
                      <w:marLeft w:val="0"/>
                      <w:marRight w:val="0"/>
                      <w:marTop w:val="0"/>
                      <w:marBottom w:val="0"/>
                      <w:divBdr>
                        <w:top w:val="none" w:sz="0" w:space="0" w:color="auto"/>
                        <w:left w:val="none" w:sz="0" w:space="0" w:color="auto"/>
                        <w:bottom w:val="none" w:sz="0" w:space="0" w:color="auto"/>
                        <w:right w:val="none" w:sz="0" w:space="0" w:color="auto"/>
                      </w:divBdr>
                    </w:div>
                  </w:divsChild>
                </w:div>
                <w:div w:id="1178039417">
                  <w:marLeft w:val="0"/>
                  <w:marRight w:val="0"/>
                  <w:marTop w:val="0"/>
                  <w:marBottom w:val="0"/>
                  <w:divBdr>
                    <w:top w:val="none" w:sz="0" w:space="0" w:color="auto"/>
                    <w:left w:val="none" w:sz="0" w:space="0" w:color="auto"/>
                    <w:bottom w:val="none" w:sz="0" w:space="0" w:color="auto"/>
                    <w:right w:val="none" w:sz="0" w:space="0" w:color="auto"/>
                  </w:divBdr>
                  <w:divsChild>
                    <w:div w:id="119612564">
                      <w:marLeft w:val="0"/>
                      <w:marRight w:val="0"/>
                      <w:marTop w:val="0"/>
                      <w:marBottom w:val="0"/>
                      <w:divBdr>
                        <w:top w:val="none" w:sz="0" w:space="0" w:color="auto"/>
                        <w:left w:val="none" w:sz="0" w:space="0" w:color="auto"/>
                        <w:bottom w:val="none" w:sz="0" w:space="0" w:color="auto"/>
                        <w:right w:val="none" w:sz="0" w:space="0" w:color="auto"/>
                      </w:divBdr>
                    </w:div>
                  </w:divsChild>
                </w:div>
                <w:div w:id="1210337380">
                  <w:marLeft w:val="0"/>
                  <w:marRight w:val="0"/>
                  <w:marTop w:val="0"/>
                  <w:marBottom w:val="0"/>
                  <w:divBdr>
                    <w:top w:val="none" w:sz="0" w:space="0" w:color="auto"/>
                    <w:left w:val="none" w:sz="0" w:space="0" w:color="auto"/>
                    <w:bottom w:val="none" w:sz="0" w:space="0" w:color="auto"/>
                    <w:right w:val="none" w:sz="0" w:space="0" w:color="auto"/>
                  </w:divBdr>
                  <w:divsChild>
                    <w:div w:id="1544901039">
                      <w:marLeft w:val="0"/>
                      <w:marRight w:val="0"/>
                      <w:marTop w:val="0"/>
                      <w:marBottom w:val="0"/>
                      <w:divBdr>
                        <w:top w:val="none" w:sz="0" w:space="0" w:color="auto"/>
                        <w:left w:val="none" w:sz="0" w:space="0" w:color="auto"/>
                        <w:bottom w:val="none" w:sz="0" w:space="0" w:color="auto"/>
                        <w:right w:val="none" w:sz="0" w:space="0" w:color="auto"/>
                      </w:divBdr>
                    </w:div>
                  </w:divsChild>
                </w:div>
                <w:div w:id="1213495146">
                  <w:marLeft w:val="0"/>
                  <w:marRight w:val="0"/>
                  <w:marTop w:val="0"/>
                  <w:marBottom w:val="0"/>
                  <w:divBdr>
                    <w:top w:val="none" w:sz="0" w:space="0" w:color="auto"/>
                    <w:left w:val="none" w:sz="0" w:space="0" w:color="auto"/>
                    <w:bottom w:val="none" w:sz="0" w:space="0" w:color="auto"/>
                    <w:right w:val="none" w:sz="0" w:space="0" w:color="auto"/>
                  </w:divBdr>
                  <w:divsChild>
                    <w:div w:id="1008093234">
                      <w:marLeft w:val="0"/>
                      <w:marRight w:val="0"/>
                      <w:marTop w:val="0"/>
                      <w:marBottom w:val="0"/>
                      <w:divBdr>
                        <w:top w:val="none" w:sz="0" w:space="0" w:color="auto"/>
                        <w:left w:val="none" w:sz="0" w:space="0" w:color="auto"/>
                        <w:bottom w:val="none" w:sz="0" w:space="0" w:color="auto"/>
                        <w:right w:val="none" w:sz="0" w:space="0" w:color="auto"/>
                      </w:divBdr>
                    </w:div>
                  </w:divsChild>
                </w:div>
                <w:div w:id="1319728174">
                  <w:marLeft w:val="0"/>
                  <w:marRight w:val="0"/>
                  <w:marTop w:val="0"/>
                  <w:marBottom w:val="0"/>
                  <w:divBdr>
                    <w:top w:val="none" w:sz="0" w:space="0" w:color="auto"/>
                    <w:left w:val="none" w:sz="0" w:space="0" w:color="auto"/>
                    <w:bottom w:val="none" w:sz="0" w:space="0" w:color="auto"/>
                    <w:right w:val="none" w:sz="0" w:space="0" w:color="auto"/>
                  </w:divBdr>
                  <w:divsChild>
                    <w:div w:id="1260944521">
                      <w:marLeft w:val="0"/>
                      <w:marRight w:val="0"/>
                      <w:marTop w:val="0"/>
                      <w:marBottom w:val="0"/>
                      <w:divBdr>
                        <w:top w:val="none" w:sz="0" w:space="0" w:color="auto"/>
                        <w:left w:val="none" w:sz="0" w:space="0" w:color="auto"/>
                        <w:bottom w:val="none" w:sz="0" w:space="0" w:color="auto"/>
                        <w:right w:val="none" w:sz="0" w:space="0" w:color="auto"/>
                      </w:divBdr>
                    </w:div>
                  </w:divsChild>
                </w:div>
                <w:div w:id="1511792539">
                  <w:marLeft w:val="0"/>
                  <w:marRight w:val="0"/>
                  <w:marTop w:val="0"/>
                  <w:marBottom w:val="0"/>
                  <w:divBdr>
                    <w:top w:val="none" w:sz="0" w:space="0" w:color="auto"/>
                    <w:left w:val="none" w:sz="0" w:space="0" w:color="auto"/>
                    <w:bottom w:val="none" w:sz="0" w:space="0" w:color="auto"/>
                    <w:right w:val="none" w:sz="0" w:space="0" w:color="auto"/>
                  </w:divBdr>
                  <w:divsChild>
                    <w:div w:id="1821919393">
                      <w:marLeft w:val="0"/>
                      <w:marRight w:val="0"/>
                      <w:marTop w:val="0"/>
                      <w:marBottom w:val="0"/>
                      <w:divBdr>
                        <w:top w:val="none" w:sz="0" w:space="0" w:color="auto"/>
                        <w:left w:val="none" w:sz="0" w:space="0" w:color="auto"/>
                        <w:bottom w:val="none" w:sz="0" w:space="0" w:color="auto"/>
                        <w:right w:val="none" w:sz="0" w:space="0" w:color="auto"/>
                      </w:divBdr>
                    </w:div>
                  </w:divsChild>
                </w:div>
                <w:div w:id="1608196384">
                  <w:marLeft w:val="0"/>
                  <w:marRight w:val="0"/>
                  <w:marTop w:val="0"/>
                  <w:marBottom w:val="0"/>
                  <w:divBdr>
                    <w:top w:val="none" w:sz="0" w:space="0" w:color="auto"/>
                    <w:left w:val="none" w:sz="0" w:space="0" w:color="auto"/>
                    <w:bottom w:val="none" w:sz="0" w:space="0" w:color="auto"/>
                    <w:right w:val="none" w:sz="0" w:space="0" w:color="auto"/>
                  </w:divBdr>
                  <w:divsChild>
                    <w:div w:id="1591308602">
                      <w:marLeft w:val="0"/>
                      <w:marRight w:val="0"/>
                      <w:marTop w:val="0"/>
                      <w:marBottom w:val="0"/>
                      <w:divBdr>
                        <w:top w:val="none" w:sz="0" w:space="0" w:color="auto"/>
                        <w:left w:val="none" w:sz="0" w:space="0" w:color="auto"/>
                        <w:bottom w:val="none" w:sz="0" w:space="0" w:color="auto"/>
                        <w:right w:val="none" w:sz="0" w:space="0" w:color="auto"/>
                      </w:divBdr>
                    </w:div>
                  </w:divsChild>
                </w:div>
                <w:div w:id="1626695705">
                  <w:marLeft w:val="0"/>
                  <w:marRight w:val="0"/>
                  <w:marTop w:val="0"/>
                  <w:marBottom w:val="0"/>
                  <w:divBdr>
                    <w:top w:val="none" w:sz="0" w:space="0" w:color="auto"/>
                    <w:left w:val="none" w:sz="0" w:space="0" w:color="auto"/>
                    <w:bottom w:val="none" w:sz="0" w:space="0" w:color="auto"/>
                    <w:right w:val="none" w:sz="0" w:space="0" w:color="auto"/>
                  </w:divBdr>
                  <w:divsChild>
                    <w:div w:id="221210704">
                      <w:marLeft w:val="0"/>
                      <w:marRight w:val="0"/>
                      <w:marTop w:val="0"/>
                      <w:marBottom w:val="0"/>
                      <w:divBdr>
                        <w:top w:val="none" w:sz="0" w:space="0" w:color="auto"/>
                        <w:left w:val="none" w:sz="0" w:space="0" w:color="auto"/>
                        <w:bottom w:val="none" w:sz="0" w:space="0" w:color="auto"/>
                        <w:right w:val="none" w:sz="0" w:space="0" w:color="auto"/>
                      </w:divBdr>
                    </w:div>
                  </w:divsChild>
                </w:div>
                <w:div w:id="1638027783">
                  <w:marLeft w:val="0"/>
                  <w:marRight w:val="0"/>
                  <w:marTop w:val="0"/>
                  <w:marBottom w:val="0"/>
                  <w:divBdr>
                    <w:top w:val="none" w:sz="0" w:space="0" w:color="auto"/>
                    <w:left w:val="none" w:sz="0" w:space="0" w:color="auto"/>
                    <w:bottom w:val="none" w:sz="0" w:space="0" w:color="auto"/>
                    <w:right w:val="none" w:sz="0" w:space="0" w:color="auto"/>
                  </w:divBdr>
                  <w:divsChild>
                    <w:div w:id="1620915610">
                      <w:marLeft w:val="0"/>
                      <w:marRight w:val="0"/>
                      <w:marTop w:val="0"/>
                      <w:marBottom w:val="0"/>
                      <w:divBdr>
                        <w:top w:val="none" w:sz="0" w:space="0" w:color="auto"/>
                        <w:left w:val="none" w:sz="0" w:space="0" w:color="auto"/>
                        <w:bottom w:val="none" w:sz="0" w:space="0" w:color="auto"/>
                        <w:right w:val="none" w:sz="0" w:space="0" w:color="auto"/>
                      </w:divBdr>
                    </w:div>
                  </w:divsChild>
                </w:div>
                <w:div w:id="1671592132">
                  <w:marLeft w:val="0"/>
                  <w:marRight w:val="0"/>
                  <w:marTop w:val="0"/>
                  <w:marBottom w:val="0"/>
                  <w:divBdr>
                    <w:top w:val="none" w:sz="0" w:space="0" w:color="auto"/>
                    <w:left w:val="none" w:sz="0" w:space="0" w:color="auto"/>
                    <w:bottom w:val="none" w:sz="0" w:space="0" w:color="auto"/>
                    <w:right w:val="none" w:sz="0" w:space="0" w:color="auto"/>
                  </w:divBdr>
                  <w:divsChild>
                    <w:div w:id="140972539">
                      <w:marLeft w:val="0"/>
                      <w:marRight w:val="0"/>
                      <w:marTop w:val="0"/>
                      <w:marBottom w:val="0"/>
                      <w:divBdr>
                        <w:top w:val="none" w:sz="0" w:space="0" w:color="auto"/>
                        <w:left w:val="none" w:sz="0" w:space="0" w:color="auto"/>
                        <w:bottom w:val="none" w:sz="0" w:space="0" w:color="auto"/>
                        <w:right w:val="none" w:sz="0" w:space="0" w:color="auto"/>
                      </w:divBdr>
                    </w:div>
                  </w:divsChild>
                </w:div>
                <w:div w:id="1689217786">
                  <w:marLeft w:val="0"/>
                  <w:marRight w:val="0"/>
                  <w:marTop w:val="0"/>
                  <w:marBottom w:val="0"/>
                  <w:divBdr>
                    <w:top w:val="none" w:sz="0" w:space="0" w:color="auto"/>
                    <w:left w:val="none" w:sz="0" w:space="0" w:color="auto"/>
                    <w:bottom w:val="none" w:sz="0" w:space="0" w:color="auto"/>
                    <w:right w:val="none" w:sz="0" w:space="0" w:color="auto"/>
                  </w:divBdr>
                  <w:divsChild>
                    <w:div w:id="1106656146">
                      <w:marLeft w:val="0"/>
                      <w:marRight w:val="0"/>
                      <w:marTop w:val="0"/>
                      <w:marBottom w:val="0"/>
                      <w:divBdr>
                        <w:top w:val="none" w:sz="0" w:space="0" w:color="auto"/>
                        <w:left w:val="none" w:sz="0" w:space="0" w:color="auto"/>
                        <w:bottom w:val="none" w:sz="0" w:space="0" w:color="auto"/>
                        <w:right w:val="none" w:sz="0" w:space="0" w:color="auto"/>
                      </w:divBdr>
                    </w:div>
                  </w:divsChild>
                </w:div>
                <w:div w:id="1789740597">
                  <w:marLeft w:val="0"/>
                  <w:marRight w:val="0"/>
                  <w:marTop w:val="0"/>
                  <w:marBottom w:val="0"/>
                  <w:divBdr>
                    <w:top w:val="none" w:sz="0" w:space="0" w:color="auto"/>
                    <w:left w:val="none" w:sz="0" w:space="0" w:color="auto"/>
                    <w:bottom w:val="none" w:sz="0" w:space="0" w:color="auto"/>
                    <w:right w:val="none" w:sz="0" w:space="0" w:color="auto"/>
                  </w:divBdr>
                  <w:divsChild>
                    <w:div w:id="309359497">
                      <w:marLeft w:val="0"/>
                      <w:marRight w:val="0"/>
                      <w:marTop w:val="0"/>
                      <w:marBottom w:val="0"/>
                      <w:divBdr>
                        <w:top w:val="none" w:sz="0" w:space="0" w:color="auto"/>
                        <w:left w:val="none" w:sz="0" w:space="0" w:color="auto"/>
                        <w:bottom w:val="none" w:sz="0" w:space="0" w:color="auto"/>
                        <w:right w:val="none" w:sz="0" w:space="0" w:color="auto"/>
                      </w:divBdr>
                    </w:div>
                  </w:divsChild>
                </w:div>
                <w:div w:id="1826778066">
                  <w:marLeft w:val="0"/>
                  <w:marRight w:val="0"/>
                  <w:marTop w:val="0"/>
                  <w:marBottom w:val="0"/>
                  <w:divBdr>
                    <w:top w:val="none" w:sz="0" w:space="0" w:color="auto"/>
                    <w:left w:val="none" w:sz="0" w:space="0" w:color="auto"/>
                    <w:bottom w:val="none" w:sz="0" w:space="0" w:color="auto"/>
                    <w:right w:val="none" w:sz="0" w:space="0" w:color="auto"/>
                  </w:divBdr>
                  <w:divsChild>
                    <w:div w:id="1369380398">
                      <w:marLeft w:val="0"/>
                      <w:marRight w:val="0"/>
                      <w:marTop w:val="0"/>
                      <w:marBottom w:val="0"/>
                      <w:divBdr>
                        <w:top w:val="none" w:sz="0" w:space="0" w:color="auto"/>
                        <w:left w:val="none" w:sz="0" w:space="0" w:color="auto"/>
                        <w:bottom w:val="none" w:sz="0" w:space="0" w:color="auto"/>
                        <w:right w:val="none" w:sz="0" w:space="0" w:color="auto"/>
                      </w:divBdr>
                    </w:div>
                  </w:divsChild>
                </w:div>
                <w:div w:id="1839691259">
                  <w:marLeft w:val="0"/>
                  <w:marRight w:val="0"/>
                  <w:marTop w:val="0"/>
                  <w:marBottom w:val="0"/>
                  <w:divBdr>
                    <w:top w:val="none" w:sz="0" w:space="0" w:color="auto"/>
                    <w:left w:val="none" w:sz="0" w:space="0" w:color="auto"/>
                    <w:bottom w:val="none" w:sz="0" w:space="0" w:color="auto"/>
                    <w:right w:val="none" w:sz="0" w:space="0" w:color="auto"/>
                  </w:divBdr>
                  <w:divsChild>
                    <w:div w:id="723454496">
                      <w:marLeft w:val="0"/>
                      <w:marRight w:val="0"/>
                      <w:marTop w:val="0"/>
                      <w:marBottom w:val="0"/>
                      <w:divBdr>
                        <w:top w:val="none" w:sz="0" w:space="0" w:color="auto"/>
                        <w:left w:val="none" w:sz="0" w:space="0" w:color="auto"/>
                        <w:bottom w:val="none" w:sz="0" w:space="0" w:color="auto"/>
                        <w:right w:val="none" w:sz="0" w:space="0" w:color="auto"/>
                      </w:divBdr>
                    </w:div>
                  </w:divsChild>
                </w:div>
                <w:div w:id="1879538322">
                  <w:marLeft w:val="0"/>
                  <w:marRight w:val="0"/>
                  <w:marTop w:val="0"/>
                  <w:marBottom w:val="0"/>
                  <w:divBdr>
                    <w:top w:val="none" w:sz="0" w:space="0" w:color="auto"/>
                    <w:left w:val="none" w:sz="0" w:space="0" w:color="auto"/>
                    <w:bottom w:val="none" w:sz="0" w:space="0" w:color="auto"/>
                    <w:right w:val="none" w:sz="0" w:space="0" w:color="auto"/>
                  </w:divBdr>
                  <w:divsChild>
                    <w:div w:id="2033457480">
                      <w:marLeft w:val="0"/>
                      <w:marRight w:val="0"/>
                      <w:marTop w:val="0"/>
                      <w:marBottom w:val="0"/>
                      <w:divBdr>
                        <w:top w:val="none" w:sz="0" w:space="0" w:color="auto"/>
                        <w:left w:val="none" w:sz="0" w:space="0" w:color="auto"/>
                        <w:bottom w:val="none" w:sz="0" w:space="0" w:color="auto"/>
                        <w:right w:val="none" w:sz="0" w:space="0" w:color="auto"/>
                      </w:divBdr>
                    </w:div>
                  </w:divsChild>
                </w:div>
                <w:div w:id="1901593569">
                  <w:marLeft w:val="0"/>
                  <w:marRight w:val="0"/>
                  <w:marTop w:val="0"/>
                  <w:marBottom w:val="0"/>
                  <w:divBdr>
                    <w:top w:val="none" w:sz="0" w:space="0" w:color="auto"/>
                    <w:left w:val="none" w:sz="0" w:space="0" w:color="auto"/>
                    <w:bottom w:val="none" w:sz="0" w:space="0" w:color="auto"/>
                    <w:right w:val="none" w:sz="0" w:space="0" w:color="auto"/>
                  </w:divBdr>
                  <w:divsChild>
                    <w:div w:id="1037200448">
                      <w:marLeft w:val="0"/>
                      <w:marRight w:val="0"/>
                      <w:marTop w:val="0"/>
                      <w:marBottom w:val="0"/>
                      <w:divBdr>
                        <w:top w:val="none" w:sz="0" w:space="0" w:color="auto"/>
                        <w:left w:val="none" w:sz="0" w:space="0" w:color="auto"/>
                        <w:bottom w:val="none" w:sz="0" w:space="0" w:color="auto"/>
                        <w:right w:val="none" w:sz="0" w:space="0" w:color="auto"/>
                      </w:divBdr>
                    </w:div>
                  </w:divsChild>
                </w:div>
                <w:div w:id="1982348765">
                  <w:marLeft w:val="0"/>
                  <w:marRight w:val="0"/>
                  <w:marTop w:val="0"/>
                  <w:marBottom w:val="0"/>
                  <w:divBdr>
                    <w:top w:val="none" w:sz="0" w:space="0" w:color="auto"/>
                    <w:left w:val="none" w:sz="0" w:space="0" w:color="auto"/>
                    <w:bottom w:val="none" w:sz="0" w:space="0" w:color="auto"/>
                    <w:right w:val="none" w:sz="0" w:space="0" w:color="auto"/>
                  </w:divBdr>
                  <w:divsChild>
                    <w:div w:id="85880409">
                      <w:marLeft w:val="0"/>
                      <w:marRight w:val="0"/>
                      <w:marTop w:val="0"/>
                      <w:marBottom w:val="0"/>
                      <w:divBdr>
                        <w:top w:val="none" w:sz="0" w:space="0" w:color="auto"/>
                        <w:left w:val="none" w:sz="0" w:space="0" w:color="auto"/>
                        <w:bottom w:val="none" w:sz="0" w:space="0" w:color="auto"/>
                        <w:right w:val="none" w:sz="0" w:space="0" w:color="auto"/>
                      </w:divBdr>
                    </w:div>
                  </w:divsChild>
                </w:div>
                <w:div w:id="2035765260">
                  <w:marLeft w:val="0"/>
                  <w:marRight w:val="0"/>
                  <w:marTop w:val="0"/>
                  <w:marBottom w:val="0"/>
                  <w:divBdr>
                    <w:top w:val="none" w:sz="0" w:space="0" w:color="auto"/>
                    <w:left w:val="none" w:sz="0" w:space="0" w:color="auto"/>
                    <w:bottom w:val="none" w:sz="0" w:space="0" w:color="auto"/>
                    <w:right w:val="none" w:sz="0" w:space="0" w:color="auto"/>
                  </w:divBdr>
                  <w:divsChild>
                    <w:div w:id="741297217">
                      <w:marLeft w:val="0"/>
                      <w:marRight w:val="0"/>
                      <w:marTop w:val="0"/>
                      <w:marBottom w:val="0"/>
                      <w:divBdr>
                        <w:top w:val="none" w:sz="0" w:space="0" w:color="auto"/>
                        <w:left w:val="none" w:sz="0" w:space="0" w:color="auto"/>
                        <w:bottom w:val="none" w:sz="0" w:space="0" w:color="auto"/>
                        <w:right w:val="none" w:sz="0" w:space="0" w:color="auto"/>
                      </w:divBdr>
                    </w:div>
                  </w:divsChild>
                </w:div>
                <w:div w:id="2040620942">
                  <w:marLeft w:val="0"/>
                  <w:marRight w:val="0"/>
                  <w:marTop w:val="0"/>
                  <w:marBottom w:val="0"/>
                  <w:divBdr>
                    <w:top w:val="none" w:sz="0" w:space="0" w:color="auto"/>
                    <w:left w:val="none" w:sz="0" w:space="0" w:color="auto"/>
                    <w:bottom w:val="none" w:sz="0" w:space="0" w:color="auto"/>
                    <w:right w:val="none" w:sz="0" w:space="0" w:color="auto"/>
                  </w:divBdr>
                  <w:divsChild>
                    <w:div w:id="931011996">
                      <w:marLeft w:val="0"/>
                      <w:marRight w:val="0"/>
                      <w:marTop w:val="0"/>
                      <w:marBottom w:val="0"/>
                      <w:divBdr>
                        <w:top w:val="none" w:sz="0" w:space="0" w:color="auto"/>
                        <w:left w:val="none" w:sz="0" w:space="0" w:color="auto"/>
                        <w:bottom w:val="none" w:sz="0" w:space="0" w:color="auto"/>
                        <w:right w:val="none" w:sz="0" w:space="0" w:color="auto"/>
                      </w:divBdr>
                    </w:div>
                  </w:divsChild>
                </w:div>
                <w:div w:id="2042971988">
                  <w:marLeft w:val="0"/>
                  <w:marRight w:val="0"/>
                  <w:marTop w:val="0"/>
                  <w:marBottom w:val="0"/>
                  <w:divBdr>
                    <w:top w:val="none" w:sz="0" w:space="0" w:color="auto"/>
                    <w:left w:val="none" w:sz="0" w:space="0" w:color="auto"/>
                    <w:bottom w:val="none" w:sz="0" w:space="0" w:color="auto"/>
                    <w:right w:val="none" w:sz="0" w:space="0" w:color="auto"/>
                  </w:divBdr>
                  <w:divsChild>
                    <w:div w:id="1495995163">
                      <w:marLeft w:val="0"/>
                      <w:marRight w:val="0"/>
                      <w:marTop w:val="0"/>
                      <w:marBottom w:val="0"/>
                      <w:divBdr>
                        <w:top w:val="none" w:sz="0" w:space="0" w:color="auto"/>
                        <w:left w:val="none" w:sz="0" w:space="0" w:color="auto"/>
                        <w:bottom w:val="none" w:sz="0" w:space="0" w:color="auto"/>
                        <w:right w:val="none" w:sz="0" w:space="0" w:color="auto"/>
                      </w:divBdr>
                    </w:div>
                  </w:divsChild>
                </w:div>
                <w:div w:id="2107966379">
                  <w:marLeft w:val="0"/>
                  <w:marRight w:val="0"/>
                  <w:marTop w:val="0"/>
                  <w:marBottom w:val="0"/>
                  <w:divBdr>
                    <w:top w:val="none" w:sz="0" w:space="0" w:color="auto"/>
                    <w:left w:val="none" w:sz="0" w:space="0" w:color="auto"/>
                    <w:bottom w:val="none" w:sz="0" w:space="0" w:color="auto"/>
                    <w:right w:val="none" w:sz="0" w:space="0" w:color="auto"/>
                  </w:divBdr>
                  <w:divsChild>
                    <w:div w:id="339813602">
                      <w:marLeft w:val="0"/>
                      <w:marRight w:val="0"/>
                      <w:marTop w:val="0"/>
                      <w:marBottom w:val="0"/>
                      <w:divBdr>
                        <w:top w:val="none" w:sz="0" w:space="0" w:color="auto"/>
                        <w:left w:val="none" w:sz="0" w:space="0" w:color="auto"/>
                        <w:bottom w:val="none" w:sz="0" w:space="0" w:color="auto"/>
                        <w:right w:val="none" w:sz="0" w:space="0" w:color="auto"/>
                      </w:divBdr>
                    </w:div>
                  </w:divsChild>
                </w:div>
                <w:div w:id="2111780909">
                  <w:marLeft w:val="0"/>
                  <w:marRight w:val="0"/>
                  <w:marTop w:val="0"/>
                  <w:marBottom w:val="0"/>
                  <w:divBdr>
                    <w:top w:val="none" w:sz="0" w:space="0" w:color="auto"/>
                    <w:left w:val="none" w:sz="0" w:space="0" w:color="auto"/>
                    <w:bottom w:val="none" w:sz="0" w:space="0" w:color="auto"/>
                    <w:right w:val="none" w:sz="0" w:space="0" w:color="auto"/>
                  </w:divBdr>
                  <w:divsChild>
                    <w:div w:id="1325744352">
                      <w:marLeft w:val="0"/>
                      <w:marRight w:val="0"/>
                      <w:marTop w:val="0"/>
                      <w:marBottom w:val="0"/>
                      <w:divBdr>
                        <w:top w:val="none" w:sz="0" w:space="0" w:color="auto"/>
                        <w:left w:val="none" w:sz="0" w:space="0" w:color="auto"/>
                        <w:bottom w:val="none" w:sz="0" w:space="0" w:color="auto"/>
                        <w:right w:val="none" w:sz="0" w:space="0" w:color="auto"/>
                      </w:divBdr>
                    </w:div>
                  </w:divsChild>
                </w:div>
                <w:div w:id="2126384704">
                  <w:marLeft w:val="0"/>
                  <w:marRight w:val="0"/>
                  <w:marTop w:val="0"/>
                  <w:marBottom w:val="0"/>
                  <w:divBdr>
                    <w:top w:val="none" w:sz="0" w:space="0" w:color="auto"/>
                    <w:left w:val="none" w:sz="0" w:space="0" w:color="auto"/>
                    <w:bottom w:val="none" w:sz="0" w:space="0" w:color="auto"/>
                    <w:right w:val="none" w:sz="0" w:space="0" w:color="auto"/>
                  </w:divBdr>
                  <w:divsChild>
                    <w:div w:id="68216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767550">
          <w:marLeft w:val="0"/>
          <w:marRight w:val="0"/>
          <w:marTop w:val="0"/>
          <w:marBottom w:val="0"/>
          <w:divBdr>
            <w:top w:val="none" w:sz="0" w:space="0" w:color="auto"/>
            <w:left w:val="none" w:sz="0" w:space="0" w:color="auto"/>
            <w:bottom w:val="none" w:sz="0" w:space="0" w:color="auto"/>
            <w:right w:val="none" w:sz="0" w:space="0" w:color="auto"/>
          </w:divBdr>
        </w:div>
      </w:divsChild>
    </w:div>
    <w:div w:id="1274899517">
      <w:bodyDiv w:val="1"/>
      <w:marLeft w:val="0"/>
      <w:marRight w:val="0"/>
      <w:marTop w:val="0"/>
      <w:marBottom w:val="0"/>
      <w:divBdr>
        <w:top w:val="none" w:sz="0" w:space="0" w:color="auto"/>
        <w:left w:val="none" w:sz="0" w:space="0" w:color="auto"/>
        <w:bottom w:val="none" w:sz="0" w:space="0" w:color="auto"/>
        <w:right w:val="none" w:sz="0" w:space="0" w:color="auto"/>
      </w:divBdr>
      <w:divsChild>
        <w:div w:id="1937058574">
          <w:marLeft w:val="0"/>
          <w:marRight w:val="0"/>
          <w:marTop w:val="0"/>
          <w:marBottom w:val="0"/>
          <w:divBdr>
            <w:top w:val="none" w:sz="0" w:space="0" w:color="auto"/>
            <w:left w:val="none" w:sz="0" w:space="0" w:color="auto"/>
            <w:bottom w:val="none" w:sz="0" w:space="0" w:color="auto"/>
            <w:right w:val="none" w:sz="0" w:space="0" w:color="auto"/>
          </w:divBdr>
        </w:div>
      </w:divsChild>
    </w:div>
    <w:div w:id="1285504893">
      <w:bodyDiv w:val="1"/>
      <w:marLeft w:val="0"/>
      <w:marRight w:val="0"/>
      <w:marTop w:val="0"/>
      <w:marBottom w:val="0"/>
      <w:divBdr>
        <w:top w:val="none" w:sz="0" w:space="0" w:color="auto"/>
        <w:left w:val="none" w:sz="0" w:space="0" w:color="auto"/>
        <w:bottom w:val="none" w:sz="0" w:space="0" w:color="auto"/>
        <w:right w:val="none" w:sz="0" w:space="0" w:color="auto"/>
      </w:divBdr>
    </w:div>
    <w:div w:id="1287004799">
      <w:bodyDiv w:val="1"/>
      <w:marLeft w:val="0"/>
      <w:marRight w:val="0"/>
      <w:marTop w:val="0"/>
      <w:marBottom w:val="0"/>
      <w:divBdr>
        <w:top w:val="none" w:sz="0" w:space="0" w:color="auto"/>
        <w:left w:val="none" w:sz="0" w:space="0" w:color="auto"/>
        <w:bottom w:val="none" w:sz="0" w:space="0" w:color="auto"/>
        <w:right w:val="none" w:sz="0" w:space="0" w:color="auto"/>
      </w:divBdr>
      <w:divsChild>
        <w:div w:id="939721723">
          <w:marLeft w:val="0"/>
          <w:marRight w:val="0"/>
          <w:marTop w:val="0"/>
          <w:marBottom w:val="0"/>
          <w:divBdr>
            <w:top w:val="none" w:sz="0" w:space="0" w:color="auto"/>
            <w:left w:val="none" w:sz="0" w:space="0" w:color="auto"/>
            <w:bottom w:val="none" w:sz="0" w:space="0" w:color="auto"/>
            <w:right w:val="none" w:sz="0" w:space="0" w:color="auto"/>
          </w:divBdr>
        </w:div>
      </w:divsChild>
    </w:div>
    <w:div w:id="1309702143">
      <w:bodyDiv w:val="1"/>
      <w:marLeft w:val="0"/>
      <w:marRight w:val="0"/>
      <w:marTop w:val="0"/>
      <w:marBottom w:val="0"/>
      <w:divBdr>
        <w:top w:val="none" w:sz="0" w:space="0" w:color="auto"/>
        <w:left w:val="none" w:sz="0" w:space="0" w:color="auto"/>
        <w:bottom w:val="none" w:sz="0" w:space="0" w:color="auto"/>
        <w:right w:val="none" w:sz="0" w:space="0" w:color="auto"/>
      </w:divBdr>
      <w:divsChild>
        <w:div w:id="884365340">
          <w:marLeft w:val="0"/>
          <w:marRight w:val="0"/>
          <w:marTop w:val="0"/>
          <w:marBottom w:val="0"/>
          <w:divBdr>
            <w:top w:val="none" w:sz="0" w:space="0" w:color="auto"/>
            <w:left w:val="none" w:sz="0" w:space="0" w:color="auto"/>
            <w:bottom w:val="none" w:sz="0" w:space="0" w:color="auto"/>
            <w:right w:val="none" w:sz="0" w:space="0" w:color="auto"/>
          </w:divBdr>
        </w:div>
      </w:divsChild>
    </w:div>
    <w:div w:id="1321931060">
      <w:bodyDiv w:val="1"/>
      <w:marLeft w:val="0"/>
      <w:marRight w:val="0"/>
      <w:marTop w:val="0"/>
      <w:marBottom w:val="0"/>
      <w:divBdr>
        <w:top w:val="none" w:sz="0" w:space="0" w:color="auto"/>
        <w:left w:val="none" w:sz="0" w:space="0" w:color="auto"/>
        <w:bottom w:val="none" w:sz="0" w:space="0" w:color="auto"/>
        <w:right w:val="none" w:sz="0" w:space="0" w:color="auto"/>
      </w:divBdr>
      <w:divsChild>
        <w:div w:id="46955908">
          <w:marLeft w:val="0"/>
          <w:marRight w:val="0"/>
          <w:marTop w:val="0"/>
          <w:marBottom w:val="0"/>
          <w:divBdr>
            <w:top w:val="none" w:sz="0" w:space="0" w:color="auto"/>
            <w:left w:val="none" w:sz="0" w:space="0" w:color="auto"/>
            <w:bottom w:val="none" w:sz="0" w:space="0" w:color="auto"/>
            <w:right w:val="none" w:sz="0" w:space="0" w:color="auto"/>
          </w:divBdr>
        </w:div>
      </w:divsChild>
    </w:div>
    <w:div w:id="1328047539">
      <w:bodyDiv w:val="1"/>
      <w:marLeft w:val="0"/>
      <w:marRight w:val="0"/>
      <w:marTop w:val="0"/>
      <w:marBottom w:val="0"/>
      <w:divBdr>
        <w:top w:val="none" w:sz="0" w:space="0" w:color="auto"/>
        <w:left w:val="none" w:sz="0" w:space="0" w:color="auto"/>
        <w:bottom w:val="none" w:sz="0" w:space="0" w:color="auto"/>
        <w:right w:val="none" w:sz="0" w:space="0" w:color="auto"/>
      </w:divBdr>
      <w:divsChild>
        <w:div w:id="335036986">
          <w:marLeft w:val="0"/>
          <w:marRight w:val="0"/>
          <w:marTop w:val="0"/>
          <w:marBottom w:val="0"/>
          <w:divBdr>
            <w:top w:val="none" w:sz="0" w:space="0" w:color="auto"/>
            <w:left w:val="none" w:sz="0" w:space="0" w:color="auto"/>
            <w:bottom w:val="none" w:sz="0" w:space="0" w:color="auto"/>
            <w:right w:val="none" w:sz="0" w:space="0" w:color="auto"/>
          </w:divBdr>
        </w:div>
      </w:divsChild>
    </w:div>
    <w:div w:id="1332634420">
      <w:bodyDiv w:val="1"/>
      <w:marLeft w:val="0"/>
      <w:marRight w:val="0"/>
      <w:marTop w:val="0"/>
      <w:marBottom w:val="0"/>
      <w:divBdr>
        <w:top w:val="none" w:sz="0" w:space="0" w:color="auto"/>
        <w:left w:val="none" w:sz="0" w:space="0" w:color="auto"/>
        <w:bottom w:val="none" w:sz="0" w:space="0" w:color="auto"/>
        <w:right w:val="none" w:sz="0" w:space="0" w:color="auto"/>
      </w:divBdr>
    </w:div>
    <w:div w:id="1336807827">
      <w:bodyDiv w:val="1"/>
      <w:marLeft w:val="0"/>
      <w:marRight w:val="0"/>
      <w:marTop w:val="0"/>
      <w:marBottom w:val="0"/>
      <w:divBdr>
        <w:top w:val="none" w:sz="0" w:space="0" w:color="auto"/>
        <w:left w:val="none" w:sz="0" w:space="0" w:color="auto"/>
        <w:bottom w:val="none" w:sz="0" w:space="0" w:color="auto"/>
        <w:right w:val="none" w:sz="0" w:space="0" w:color="auto"/>
      </w:divBdr>
    </w:div>
    <w:div w:id="1338075280">
      <w:bodyDiv w:val="1"/>
      <w:marLeft w:val="0"/>
      <w:marRight w:val="0"/>
      <w:marTop w:val="0"/>
      <w:marBottom w:val="0"/>
      <w:divBdr>
        <w:top w:val="none" w:sz="0" w:space="0" w:color="auto"/>
        <w:left w:val="none" w:sz="0" w:space="0" w:color="auto"/>
        <w:bottom w:val="none" w:sz="0" w:space="0" w:color="auto"/>
        <w:right w:val="none" w:sz="0" w:space="0" w:color="auto"/>
      </w:divBdr>
      <w:divsChild>
        <w:div w:id="499782342">
          <w:marLeft w:val="0"/>
          <w:marRight w:val="0"/>
          <w:marTop w:val="0"/>
          <w:marBottom w:val="0"/>
          <w:divBdr>
            <w:top w:val="none" w:sz="0" w:space="0" w:color="auto"/>
            <w:left w:val="none" w:sz="0" w:space="0" w:color="auto"/>
            <w:bottom w:val="none" w:sz="0" w:space="0" w:color="auto"/>
            <w:right w:val="none" w:sz="0" w:space="0" w:color="auto"/>
          </w:divBdr>
        </w:div>
      </w:divsChild>
    </w:div>
    <w:div w:id="1345742538">
      <w:bodyDiv w:val="1"/>
      <w:marLeft w:val="0"/>
      <w:marRight w:val="0"/>
      <w:marTop w:val="0"/>
      <w:marBottom w:val="0"/>
      <w:divBdr>
        <w:top w:val="none" w:sz="0" w:space="0" w:color="auto"/>
        <w:left w:val="none" w:sz="0" w:space="0" w:color="auto"/>
        <w:bottom w:val="none" w:sz="0" w:space="0" w:color="auto"/>
        <w:right w:val="none" w:sz="0" w:space="0" w:color="auto"/>
      </w:divBdr>
    </w:div>
    <w:div w:id="1361079677">
      <w:bodyDiv w:val="1"/>
      <w:marLeft w:val="0"/>
      <w:marRight w:val="0"/>
      <w:marTop w:val="0"/>
      <w:marBottom w:val="0"/>
      <w:divBdr>
        <w:top w:val="none" w:sz="0" w:space="0" w:color="auto"/>
        <w:left w:val="none" w:sz="0" w:space="0" w:color="auto"/>
        <w:bottom w:val="none" w:sz="0" w:space="0" w:color="auto"/>
        <w:right w:val="none" w:sz="0" w:space="0" w:color="auto"/>
      </w:divBdr>
    </w:div>
    <w:div w:id="1373925521">
      <w:bodyDiv w:val="1"/>
      <w:marLeft w:val="0"/>
      <w:marRight w:val="0"/>
      <w:marTop w:val="0"/>
      <w:marBottom w:val="0"/>
      <w:divBdr>
        <w:top w:val="none" w:sz="0" w:space="0" w:color="auto"/>
        <w:left w:val="none" w:sz="0" w:space="0" w:color="auto"/>
        <w:bottom w:val="none" w:sz="0" w:space="0" w:color="auto"/>
        <w:right w:val="none" w:sz="0" w:space="0" w:color="auto"/>
      </w:divBdr>
    </w:div>
    <w:div w:id="1402826392">
      <w:bodyDiv w:val="1"/>
      <w:marLeft w:val="0"/>
      <w:marRight w:val="0"/>
      <w:marTop w:val="0"/>
      <w:marBottom w:val="0"/>
      <w:divBdr>
        <w:top w:val="none" w:sz="0" w:space="0" w:color="auto"/>
        <w:left w:val="none" w:sz="0" w:space="0" w:color="auto"/>
        <w:bottom w:val="none" w:sz="0" w:space="0" w:color="auto"/>
        <w:right w:val="none" w:sz="0" w:space="0" w:color="auto"/>
      </w:divBdr>
    </w:div>
    <w:div w:id="1418018599">
      <w:bodyDiv w:val="1"/>
      <w:marLeft w:val="0"/>
      <w:marRight w:val="0"/>
      <w:marTop w:val="0"/>
      <w:marBottom w:val="0"/>
      <w:divBdr>
        <w:top w:val="none" w:sz="0" w:space="0" w:color="auto"/>
        <w:left w:val="none" w:sz="0" w:space="0" w:color="auto"/>
        <w:bottom w:val="none" w:sz="0" w:space="0" w:color="auto"/>
        <w:right w:val="none" w:sz="0" w:space="0" w:color="auto"/>
      </w:divBdr>
    </w:div>
    <w:div w:id="1422019370">
      <w:bodyDiv w:val="1"/>
      <w:marLeft w:val="0"/>
      <w:marRight w:val="0"/>
      <w:marTop w:val="0"/>
      <w:marBottom w:val="0"/>
      <w:divBdr>
        <w:top w:val="none" w:sz="0" w:space="0" w:color="auto"/>
        <w:left w:val="none" w:sz="0" w:space="0" w:color="auto"/>
        <w:bottom w:val="none" w:sz="0" w:space="0" w:color="auto"/>
        <w:right w:val="none" w:sz="0" w:space="0" w:color="auto"/>
      </w:divBdr>
    </w:div>
    <w:div w:id="1431392184">
      <w:bodyDiv w:val="1"/>
      <w:marLeft w:val="0"/>
      <w:marRight w:val="0"/>
      <w:marTop w:val="0"/>
      <w:marBottom w:val="0"/>
      <w:divBdr>
        <w:top w:val="none" w:sz="0" w:space="0" w:color="auto"/>
        <w:left w:val="none" w:sz="0" w:space="0" w:color="auto"/>
        <w:bottom w:val="none" w:sz="0" w:space="0" w:color="auto"/>
        <w:right w:val="none" w:sz="0" w:space="0" w:color="auto"/>
      </w:divBdr>
    </w:div>
    <w:div w:id="1449008849">
      <w:bodyDiv w:val="1"/>
      <w:marLeft w:val="0"/>
      <w:marRight w:val="0"/>
      <w:marTop w:val="0"/>
      <w:marBottom w:val="0"/>
      <w:divBdr>
        <w:top w:val="none" w:sz="0" w:space="0" w:color="auto"/>
        <w:left w:val="none" w:sz="0" w:space="0" w:color="auto"/>
        <w:bottom w:val="none" w:sz="0" w:space="0" w:color="auto"/>
        <w:right w:val="none" w:sz="0" w:space="0" w:color="auto"/>
      </w:divBdr>
    </w:div>
    <w:div w:id="1450590046">
      <w:bodyDiv w:val="1"/>
      <w:marLeft w:val="0"/>
      <w:marRight w:val="0"/>
      <w:marTop w:val="0"/>
      <w:marBottom w:val="0"/>
      <w:divBdr>
        <w:top w:val="none" w:sz="0" w:space="0" w:color="auto"/>
        <w:left w:val="none" w:sz="0" w:space="0" w:color="auto"/>
        <w:bottom w:val="none" w:sz="0" w:space="0" w:color="auto"/>
        <w:right w:val="none" w:sz="0" w:space="0" w:color="auto"/>
      </w:divBdr>
    </w:div>
    <w:div w:id="1460690000">
      <w:bodyDiv w:val="1"/>
      <w:marLeft w:val="0"/>
      <w:marRight w:val="0"/>
      <w:marTop w:val="0"/>
      <w:marBottom w:val="0"/>
      <w:divBdr>
        <w:top w:val="none" w:sz="0" w:space="0" w:color="auto"/>
        <w:left w:val="none" w:sz="0" w:space="0" w:color="auto"/>
        <w:bottom w:val="none" w:sz="0" w:space="0" w:color="auto"/>
        <w:right w:val="none" w:sz="0" w:space="0" w:color="auto"/>
      </w:divBdr>
      <w:divsChild>
        <w:div w:id="1385910220">
          <w:marLeft w:val="0"/>
          <w:marRight w:val="0"/>
          <w:marTop w:val="0"/>
          <w:marBottom w:val="0"/>
          <w:divBdr>
            <w:top w:val="none" w:sz="0" w:space="0" w:color="auto"/>
            <w:left w:val="none" w:sz="0" w:space="0" w:color="auto"/>
            <w:bottom w:val="none" w:sz="0" w:space="0" w:color="auto"/>
            <w:right w:val="none" w:sz="0" w:space="0" w:color="auto"/>
          </w:divBdr>
        </w:div>
      </w:divsChild>
    </w:div>
    <w:div w:id="1463496800">
      <w:bodyDiv w:val="1"/>
      <w:marLeft w:val="0"/>
      <w:marRight w:val="0"/>
      <w:marTop w:val="0"/>
      <w:marBottom w:val="0"/>
      <w:divBdr>
        <w:top w:val="none" w:sz="0" w:space="0" w:color="auto"/>
        <w:left w:val="none" w:sz="0" w:space="0" w:color="auto"/>
        <w:bottom w:val="none" w:sz="0" w:space="0" w:color="auto"/>
        <w:right w:val="none" w:sz="0" w:space="0" w:color="auto"/>
      </w:divBdr>
      <w:divsChild>
        <w:div w:id="1548252557">
          <w:marLeft w:val="0"/>
          <w:marRight w:val="0"/>
          <w:marTop w:val="0"/>
          <w:marBottom w:val="0"/>
          <w:divBdr>
            <w:top w:val="none" w:sz="0" w:space="0" w:color="auto"/>
            <w:left w:val="none" w:sz="0" w:space="0" w:color="auto"/>
            <w:bottom w:val="none" w:sz="0" w:space="0" w:color="auto"/>
            <w:right w:val="none" w:sz="0" w:space="0" w:color="auto"/>
          </w:divBdr>
        </w:div>
      </w:divsChild>
    </w:div>
    <w:div w:id="1464233186">
      <w:bodyDiv w:val="1"/>
      <w:marLeft w:val="0"/>
      <w:marRight w:val="0"/>
      <w:marTop w:val="0"/>
      <w:marBottom w:val="0"/>
      <w:divBdr>
        <w:top w:val="none" w:sz="0" w:space="0" w:color="auto"/>
        <w:left w:val="none" w:sz="0" w:space="0" w:color="auto"/>
        <w:bottom w:val="none" w:sz="0" w:space="0" w:color="auto"/>
        <w:right w:val="none" w:sz="0" w:space="0" w:color="auto"/>
      </w:divBdr>
      <w:divsChild>
        <w:div w:id="1171068034">
          <w:marLeft w:val="0"/>
          <w:marRight w:val="0"/>
          <w:marTop w:val="0"/>
          <w:marBottom w:val="0"/>
          <w:divBdr>
            <w:top w:val="none" w:sz="0" w:space="0" w:color="auto"/>
            <w:left w:val="none" w:sz="0" w:space="0" w:color="auto"/>
            <w:bottom w:val="none" w:sz="0" w:space="0" w:color="auto"/>
            <w:right w:val="none" w:sz="0" w:space="0" w:color="auto"/>
          </w:divBdr>
        </w:div>
      </w:divsChild>
    </w:div>
    <w:div w:id="1470437390">
      <w:bodyDiv w:val="1"/>
      <w:marLeft w:val="0"/>
      <w:marRight w:val="0"/>
      <w:marTop w:val="0"/>
      <w:marBottom w:val="0"/>
      <w:divBdr>
        <w:top w:val="none" w:sz="0" w:space="0" w:color="auto"/>
        <w:left w:val="none" w:sz="0" w:space="0" w:color="auto"/>
        <w:bottom w:val="none" w:sz="0" w:space="0" w:color="auto"/>
        <w:right w:val="none" w:sz="0" w:space="0" w:color="auto"/>
      </w:divBdr>
    </w:div>
    <w:div w:id="1472214573">
      <w:bodyDiv w:val="1"/>
      <w:marLeft w:val="0"/>
      <w:marRight w:val="0"/>
      <w:marTop w:val="0"/>
      <w:marBottom w:val="0"/>
      <w:divBdr>
        <w:top w:val="none" w:sz="0" w:space="0" w:color="auto"/>
        <w:left w:val="none" w:sz="0" w:space="0" w:color="auto"/>
        <w:bottom w:val="none" w:sz="0" w:space="0" w:color="auto"/>
        <w:right w:val="none" w:sz="0" w:space="0" w:color="auto"/>
      </w:divBdr>
      <w:divsChild>
        <w:div w:id="555505539">
          <w:marLeft w:val="0"/>
          <w:marRight w:val="0"/>
          <w:marTop w:val="0"/>
          <w:marBottom w:val="0"/>
          <w:divBdr>
            <w:top w:val="none" w:sz="0" w:space="0" w:color="auto"/>
            <w:left w:val="none" w:sz="0" w:space="0" w:color="auto"/>
            <w:bottom w:val="none" w:sz="0" w:space="0" w:color="auto"/>
            <w:right w:val="none" w:sz="0" w:space="0" w:color="auto"/>
          </w:divBdr>
        </w:div>
      </w:divsChild>
    </w:div>
    <w:div w:id="1477264243">
      <w:bodyDiv w:val="1"/>
      <w:marLeft w:val="0"/>
      <w:marRight w:val="0"/>
      <w:marTop w:val="0"/>
      <w:marBottom w:val="0"/>
      <w:divBdr>
        <w:top w:val="none" w:sz="0" w:space="0" w:color="auto"/>
        <w:left w:val="none" w:sz="0" w:space="0" w:color="auto"/>
        <w:bottom w:val="none" w:sz="0" w:space="0" w:color="auto"/>
        <w:right w:val="none" w:sz="0" w:space="0" w:color="auto"/>
      </w:divBdr>
      <w:divsChild>
        <w:div w:id="979071787">
          <w:marLeft w:val="0"/>
          <w:marRight w:val="0"/>
          <w:marTop w:val="0"/>
          <w:marBottom w:val="0"/>
          <w:divBdr>
            <w:top w:val="none" w:sz="0" w:space="0" w:color="auto"/>
            <w:left w:val="none" w:sz="0" w:space="0" w:color="auto"/>
            <w:bottom w:val="none" w:sz="0" w:space="0" w:color="auto"/>
            <w:right w:val="none" w:sz="0" w:space="0" w:color="auto"/>
          </w:divBdr>
        </w:div>
      </w:divsChild>
    </w:div>
    <w:div w:id="1482187763">
      <w:bodyDiv w:val="1"/>
      <w:marLeft w:val="0"/>
      <w:marRight w:val="0"/>
      <w:marTop w:val="0"/>
      <w:marBottom w:val="0"/>
      <w:divBdr>
        <w:top w:val="none" w:sz="0" w:space="0" w:color="auto"/>
        <w:left w:val="none" w:sz="0" w:space="0" w:color="auto"/>
        <w:bottom w:val="none" w:sz="0" w:space="0" w:color="auto"/>
        <w:right w:val="none" w:sz="0" w:space="0" w:color="auto"/>
      </w:divBdr>
    </w:div>
    <w:div w:id="1490056700">
      <w:bodyDiv w:val="1"/>
      <w:marLeft w:val="0"/>
      <w:marRight w:val="0"/>
      <w:marTop w:val="0"/>
      <w:marBottom w:val="0"/>
      <w:divBdr>
        <w:top w:val="none" w:sz="0" w:space="0" w:color="auto"/>
        <w:left w:val="none" w:sz="0" w:space="0" w:color="auto"/>
        <w:bottom w:val="none" w:sz="0" w:space="0" w:color="auto"/>
        <w:right w:val="none" w:sz="0" w:space="0" w:color="auto"/>
      </w:divBdr>
    </w:div>
    <w:div w:id="1493834982">
      <w:bodyDiv w:val="1"/>
      <w:marLeft w:val="0"/>
      <w:marRight w:val="0"/>
      <w:marTop w:val="0"/>
      <w:marBottom w:val="0"/>
      <w:divBdr>
        <w:top w:val="none" w:sz="0" w:space="0" w:color="auto"/>
        <w:left w:val="none" w:sz="0" w:space="0" w:color="auto"/>
        <w:bottom w:val="none" w:sz="0" w:space="0" w:color="auto"/>
        <w:right w:val="none" w:sz="0" w:space="0" w:color="auto"/>
      </w:divBdr>
      <w:divsChild>
        <w:div w:id="912084610">
          <w:marLeft w:val="0"/>
          <w:marRight w:val="0"/>
          <w:marTop w:val="0"/>
          <w:marBottom w:val="0"/>
          <w:divBdr>
            <w:top w:val="none" w:sz="0" w:space="0" w:color="auto"/>
            <w:left w:val="none" w:sz="0" w:space="0" w:color="auto"/>
            <w:bottom w:val="none" w:sz="0" w:space="0" w:color="auto"/>
            <w:right w:val="none" w:sz="0" w:space="0" w:color="auto"/>
          </w:divBdr>
        </w:div>
        <w:div w:id="1933664235">
          <w:marLeft w:val="0"/>
          <w:marRight w:val="0"/>
          <w:marTop w:val="0"/>
          <w:marBottom w:val="0"/>
          <w:divBdr>
            <w:top w:val="none" w:sz="0" w:space="0" w:color="auto"/>
            <w:left w:val="none" w:sz="0" w:space="0" w:color="auto"/>
            <w:bottom w:val="none" w:sz="0" w:space="0" w:color="auto"/>
            <w:right w:val="none" w:sz="0" w:space="0" w:color="auto"/>
          </w:divBdr>
        </w:div>
      </w:divsChild>
    </w:div>
    <w:div w:id="1512063378">
      <w:bodyDiv w:val="1"/>
      <w:marLeft w:val="0"/>
      <w:marRight w:val="0"/>
      <w:marTop w:val="0"/>
      <w:marBottom w:val="0"/>
      <w:divBdr>
        <w:top w:val="none" w:sz="0" w:space="0" w:color="auto"/>
        <w:left w:val="none" w:sz="0" w:space="0" w:color="auto"/>
        <w:bottom w:val="none" w:sz="0" w:space="0" w:color="auto"/>
        <w:right w:val="none" w:sz="0" w:space="0" w:color="auto"/>
      </w:divBdr>
      <w:divsChild>
        <w:div w:id="1025130356">
          <w:marLeft w:val="0"/>
          <w:marRight w:val="0"/>
          <w:marTop w:val="0"/>
          <w:marBottom w:val="0"/>
          <w:divBdr>
            <w:top w:val="none" w:sz="0" w:space="0" w:color="auto"/>
            <w:left w:val="none" w:sz="0" w:space="0" w:color="auto"/>
            <w:bottom w:val="none" w:sz="0" w:space="0" w:color="auto"/>
            <w:right w:val="none" w:sz="0" w:space="0" w:color="auto"/>
          </w:divBdr>
        </w:div>
      </w:divsChild>
    </w:div>
    <w:div w:id="1513102772">
      <w:bodyDiv w:val="1"/>
      <w:marLeft w:val="0"/>
      <w:marRight w:val="0"/>
      <w:marTop w:val="0"/>
      <w:marBottom w:val="0"/>
      <w:divBdr>
        <w:top w:val="none" w:sz="0" w:space="0" w:color="auto"/>
        <w:left w:val="none" w:sz="0" w:space="0" w:color="auto"/>
        <w:bottom w:val="none" w:sz="0" w:space="0" w:color="auto"/>
        <w:right w:val="none" w:sz="0" w:space="0" w:color="auto"/>
      </w:divBdr>
    </w:div>
    <w:div w:id="1515875375">
      <w:bodyDiv w:val="1"/>
      <w:marLeft w:val="0"/>
      <w:marRight w:val="0"/>
      <w:marTop w:val="0"/>
      <w:marBottom w:val="0"/>
      <w:divBdr>
        <w:top w:val="none" w:sz="0" w:space="0" w:color="auto"/>
        <w:left w:val="none" w:sz="0" w:space="0" w:color="auto"/>
        <w:bottom w:val="none" w:sz="0" w:space="0" w:color="auto"/>
        <w:right w:val="none" w:sz="0" w:space="0" w:color="auto"/>
      </w:divBdr>
    </w:div>
    <w:div w:id="1520781366">
      <w:bodyDiv w:val="1"/>
      <w:marLeft w:val="0"/>
      <w:marRight w:val="0"/>
      <w:marTop w:val="0"/>
      <w:marBottom w:val="0"/>
      <w:divBdr>
        <w:top w:val="none" w:sz="0" w:space="0" w:color="auto"/>
        <w:left w:val="none" w:sz="0" w:space="0" w:color="auto"/>
        <w:bottom w:val="none" w:sz="0" w:space="0" w:color="auto"/>
        <w:right w:val="none" w:sz="0" w:space="0" w:color="auto"/>
      </w:divBdr>
      <w:divsChild>
        <w:div w:id="969439329">
          <w:marLeft w:val="0"/>
          <w:marRight w:val="0"/>
          <w:marTop w:val="0"/>
          <w:marBottom w:val="0"/>
          <w:divBdr>
            <w:top w:val="none" w:sz="0" w:space="0" w:color="auto"/>
            <w:left w:val="none" w:sz="0" w:space="0" w:color="auto"/>
            <w:bottom w:val="none" w:sz="0" w:space="0" w:color="auto"/>
            <w:right w:val="none" w:sz="0" w:space="0" w:color="auto"/>
          </w:divBdr>
        </w:div>
      </w:divsChild>
    </w:div>
    <w:div w:id="1535732008">
      <w:bodyDiv w:val="1"/>
      <w:marLeft w:val="0"/>
      <w:marRight w:val="0"/>
      <w:marTop w:val="0"/>
      <w:marBottom w:val="0"/>
      <w:divBdr>
        <w:top w:val="none" w:sz="0" w:space="0" w:color="auto"/>
        <w:left w:val="none" w:sz="0" w:space="0" w:color="auto"/>
        <w:bottom w:val="none" w:sz="0" w:space="0" w:color="auto"/>
        <w:right w:val="none" w:sz="0" w:space="0" w:color="auto"/>
      </w:divBdr>
    </w:div>
    <w:div w:id="1550145370">
      <w:bodyDiv w:val="1"/>
      <w:marLeft w:val="0"/>
      <w:marRight w:val="0"/>
      <w:marTop w:val="0"/>
      <w:marBottom w:val="0"/>
      <w:divBdr>
        <w:top w:val="none" w:sz="0" w:space="0" w:color="auto"/>
        <w:left w:val="none" w:sz="0" w:space="0" w:color="auto"/>
        <w:bottom w:val="none" w:sz="0" w:space="0" w:color="auto"/>
        <w:right w:val="none" w:sz="0" w:space="0" w:color="auto"/>
      </w:divBdr>
      <w:divsChild>
        <w:div w:id="467432121">
          <w:marLeft w:val="0"/>
          <w:marRight w:val="0"/>
          <w:marTop w:val="0"/>
          <w:marBottom w:val="0"/>
          <w:divBdr>
            <w:top w:val="none" w:sz="0" w:space="0" w:color="auto"/>
            <w:left w:val="none" w:sz="0" w:space="0" w:color="auto"/>
            <w:bottom w:val="none" w:sz="0" w:space="0" w:color="auto"/>
            <w:right w:val="none" w:sz="0" w:space="0" w:color="auto"/>
          </w:divBdr>
        </w:div>
      </w:divsChild>
    </w:div>
    <w:div w:id="1551921835">
      <w:bodyDiv w:val="1"/>
      <w:marLeft w:val="0"/>
      <w:marRight w:val="0"/>
      <w:marTop w:val="0"/>
      <w:marBottom w:val="0"/>
      <w:divBdr>
        <w:top w:val="none" w:sz="0" w:space="0" w:color="auto"/>
        <w:left w:val="none" w:sz="0" w:space="0" w:color="auto"/>
        <w:bottom w:val="none" w:sz="0" w:space="0" w:color="auto"/>
        <w:right w:val="none" w:sz="0" w:space="0" w:color="auto"/>
      </w:divBdr>
    </w:div>
    <w:div w:id="1564176196">
      <w:bodyDiv w:val="1"/>
      <w:marLeft w:val="0"/>
      <w:marRight w:val="0"/>
      <w:marTop w:val="0"/>
      <w:marBottom w:val="0"/>
      <w:divBdr>
        <w:top w:val="none" w:sz="0" w:space="0" w:color="auto"/>
        <w:left w:val="none" w:sz="0" w:space="0" w:color="auto"/>
        <w:bottom w:val="none" w:sz="0" w:space="0" w:color="auto"/>
        <w:right w:val="none" w:sz="0" w:space="0" w:color="auto"/>
      </w:divBdr>
      <w:divsChild>
        <w:div w:id="275647147">
          <w:marLeft w:val="0"/>
          <w:marRight w:val="0"/>
          <w:marTop w:val="0"/>
          <w:marBottom w:val="0"/>
          <w:divBdr>
            <w:top w:val="none" w:sz="0" w:space="0" w:color="auto"/>
            <w:left w:val="none" w:sz="0" w:space="0" w:color="auto"/>
            <w:bottom w:val="none" w:sz="0" w:space="0" w:color="auto"/>
            <w:right w:val="none" w:sz="0" w:space="0" w:color="auto"/>
          </w:divBdr>
        </w:div>
      </w:divsChild>
    </w:div>
    <w:div w:id="1582255162">
      <w:bodyDiv w:val="1"/>
      <w:marLeft w:val="0"/>
      <w:marRight w:val="0"/>
      <w:marTop w:val="0"/>
      <w:marBottom w:val="0"/>
      <w:divBdr>
        <w:top w:val="none" w:sz="0" w:space="0" w:color="auto"/>
        <w:left w:val="none" w:sz="0" w:space="0" w:color="auto"/>
        <w:bottom w:val="none" w:sz="0" w:space="0" w:color="auto"/>
        <w:right w:val="none" w:sz="0" w:space="0" w:color="auto"/>
      </w:divBdr>
    </w:div>
    <w:div w:id="1590693683">
      <w:bodyDiv w:val="1"/>
      <w:marLeft w:val="0"/>
      <w:marRight w:val="0"/>
      <w:marTop w:val="0"/>
      <w:marBottom w:val="0"/>
      <w:divBdr>
        <w:top w:val="none" w:sz="0" w:space="0" w:color="auto"/>
        <w:left w:val="none" w:sz="0" w:space="0" w:color="auto"/>
        <w:bottom w:val="none" w:sz="0" w:space="0" w:color="auto"/>
        <w:right w:val="none" w:sz="0" w:space="0" w:color="auto"/>
      </w:divBdr>
    </w:div>
    <w:div w:id="1617329004">
      <w:bodyDiv w:val="1"/>
      <w:marLeft w:val="0"/>
      <w:marRight w:val="0"/>
      <w:marTop w:val="0"/>
      <w:marBottom w:val="0"/>
      <w:divBdr>
        <w:top w:val="none" w:sz="0" w:space="0" w:color="auto"/>
        <w:left w:val="none" w:sz="0" w:space="0" w:color="auto"/>
        <w:bottom w:val="none" w:sz="0" w:space="0" w:color="auto"/>
        <w:right w:val="none" w:sz="0" w:space="0" w:color="auto"/>
      </w:divBdr>
    </w:div>
    <w:div w:id="1641303779">
      <w:bodyDiv w:val="1"/>
      <w:marLeft w:val="0"/>
      <w:marRight w:val="0"/>
      <w:marTop w:val="0"/>
      <w:marBottom w:val="0"/>
      <w:divBdr>
        <w:top w:val="none" w:sz="0" w:space="0" w:color="auto"/>
        <w:left w:val="none" w:sz="0" w:space="0" w:color="auto"/>
        <w:bottom w:val="none" w:sz="0" w:space="0" w:color="auto"/>
        <w:right w:val="none" w:sz="0" w:space="0" w:color="auto"/>
      </w:divBdr>
    </w:div>
    <w:div w:id="1647205069">
      <w:bodyDiv w:val="1"/>
      <w:marLeft w:val="0"/>
      <w:marRight w:val="0"/>
      <w:marTop w:val="0"/>
      <w:marBottom w:val="0"/>
      <w:divBdr>
        <w:top w:val="none" w:sz="0" w:space="0" w:color="auto"/>
        <w:left w:val="none" w:sz="0" w:space="0" w:color="auto"/>
        <w:bottom w:val="none" w:sz="0" w:space="0" w:color="auto"/>
        <w:right w:val="none" w:sz="0" w:space="0" w:color="auto"/>
      </w:divBdr>
    </w:div>
    <w:div w:id="1657220793">
      <w:bodyDiv w:val="1"/>
      <w:marLeft w:val="0"/>
      <w:marRight w:val="0"/>
      <w:marTop w:val="0"/>
      <w:marBottom w:val="0"/>
      <w:divBdr>
        <w:top w:val="none" w:sz="0" w:space="0" w:color="auto"/>
        <w:left w:val="none" w:sz="0" w:space="0" w:color="auto"/>
        <w:bottom w:val="none" w:sz="0" w:space="0" w:color="auto"/>
        <w:right w:val="none" w:sz="0" w:space="0" w:color="auto"/>
      </w:divBdr>
    </w:div>
    <w:div w:id="1689258980">
      <w:bodyDiv w:val="1"/>
      <w:marLeft w:val="0"/>
      <w:marRight w:val="0"/>
      <w:marTop w:val="0"/>
      <w:marBottom w:val="0"/>
      <w:divBdr>
        <w:top w:val="none" w:sz="0" w:space="0" w:color="auto"/>
        <w:left w:val="none" w:sz="0" w:space="0" w:color="auto"/>
        <w:bottom w:val="none" w:sz="0" w:space="0" w:color="auto"/>
        <w:right w:val="none" w:sz="0" w:space="0" w:color="auto"/>
      </w:divBdr>
    </w:div>
    <w:div w:id="1699811867">
      <w:bodyDiv w:val="1"/>
      <w:marLeft w:val="0"/>
      <w:marRight w:val="0"/>
      <w:marTop w:val="0"/>
      <w:marBottom w:val="0"/>
      <w:divBdr>
        <w:top w:val="none" w:sz="0" w:space="0" w:color="auto"/>
        <w:left w:val="none" w:sz="0" w:space="0" w:color="auto"/>
        <w:bottom w:val="none" w:sz="0" w:space="0" w:color="auto"/>
        <w:right w:val="none" w:sz="0" w:space="0" w:color="auto"/>
      </w:divBdr>
    </w:div>
    <w:div w:id="1707178746">
      <w:bodyDiv w:val="1"/>
      <w:marLeft w:val="0"/>
      <w:marRight w:val="0"/>
      <w:marTop w:val="0"/>
      <w:marBottom w:val="0"/>
      <w:divBdr>
        <w:top w:val="none" w:sz="0" w:space="0" w:color="auto"/>
        <w:left w:val="none" w:sz="0" w:space="0" w:color="auto"/>
        <w:bottom w:val="none" w:sz="0" w:space="0" w:color="auto"/>
        <w:right w:val="none" w:sz="0" w:space="0" w:color="auto"/>
      </w:divBdr>
      <w:divsChild>
        <w:div w:id="1609661268">
          <w:marLeft w:val="0"/>
          <w:marRight w:val="0"/>
          <w:marTop w:val="0"/>
          <w:marBottom w:val="0"/>
          <w:divBdr>
            <w:top w:val="none" w:sz="0" w:space="0" w:color="auto"/>
            <w:left w:val="none" w:sz="0" w:space="0" w:color="auto"/>
            <w:bottom w:val="none" w:sz="0" w:space="0" w:color="auto"/>
            <w:right w:val="none" w:sz="0" w:space="0" w:color="auto"/>
          </w:divBdr>
        </w:div>
      </w:divsChild>
    </w:div>
    <w:div w:id="1711109430">
      <w:bodyDiv w:val="1"/>
      <w:marLeft w:val="0"/>
      <w:marRight w:val="0"/>
      <w:marTop w:val="0"/>
      <w:marBottom w:val="0"/>
      <w:divBdr>
        <w:top w:val="none" w:sz="0" w:space="0" w:color="auto"/>
        <w:left w:val="none" w:sz="0" w:space="0" w:color="auto"/>
        <w:bottom w:val="none" w:sz="0" w:space="0" w:color="auto"/>
        <w:right w:val="none" w:sz="0" w:space="0" w:color="auto"/>
      </w:divBdr>
    </w:div>
    <w:div w:id="1712654552">
      <w:bodyDiv w:val="1"/>
      <w:marLeft w:val="0"/>
      <w:marRight w:val="0"/>
      <w:marTop w:val="0"/>
      <w:marBottom w:val="0"/>
      <w:divBdr>
        <w:top w:val="none" w:sz="0" w:space="0" w:color="auto"/>
        <w:left w:val="none" w:sz="0" w:space="0" w:color="auto"/>
        <w:bottom w:val="none" w:sz="0" w:space="0" w:color="auto"/>
        <w:right w:val="none" w:sz="0" w:space="0" w:color="auto"/>
      </w:divBdr>
    </w:div>
    <w:div w:id="1729452249">
      <w:bodyDiv w:val="1"/>
      <w:marLeft w:val="0"/>
      <w:marRight w:val="0"/>
      <w:marTop w:val="0"/>
      <w:marBottom w:val="0"/>
      <w:divBdr>
        <w:top w:val="none" w:sz="0" w:space="0" w:color="auto"/>
        <w:left w:val="none" w:sz="0" w:space="0" w:color="auto"/>
        <w:bottom w:val="none" w:sz="0" w:space="0" w:color="auto"/>
        <w:right w:val="none" w:sz="0" w:space="0" w:color="auto"/>
      </w:divBdr>
      <w:divsChild>
        <w:div w:id="1182361009">
          <w:marLeft w:val="0"/>
          <w:marRight w:val="0"/>
          <w:marTop w:val="0"/>
          <w:marBottom w:val="0"/>
          <w:divBdr>
            <w:top w:val="none" w:sz="0" w:space="0" w:color="auto"/>
            <w:left w:val="none" w:sz="0" w:space="0" w:color="auto"/>
            <w:bottom w:val="none" w:sz="0" w:space="0" w:color="auto"/>
            <w:right w:val="none" w:sz="0" w:space="0" w:color="auto"/>
          </w:divBdr>
        </w:div>
      </w:divsChild>
    </w:div>
    <w:div w:id="1750231670">
      <w:bodyDiv w:val="1"/>
      <w:marLeft w:val="0"/>
      <w:marRight w:val="0"/>
      <w:marTop w:val="0"/>
      <w:marBottom w:val="0"/>
      <w:divBdr>
        <w:top w:val="none" w:sz="0" w:space="0" w:color="auto"/>
        <w:left w:val="none" w:sz="0" w:space="0" w:color="auto"/>
        <w:bottom w:val="none" w:sz="0" w:space="0" w:color="auto"/>
        <w:right w:val="none" w:sz="0" w:space="0" w:color="auto"/>
      </w:divBdr>
      <w:divsChild>
        <w:div w:id="137110159">
          <w:marLeft w:val="0"/>
          <w:marRight w:val="0"/>
          <w:marTop w:val="0"/>
          <w:marBottom w:val="0"/>
          <w:divBdr>
            <w:top w:val="none" w:sz="0" w:space="0" w:color="auto"/>
            <w:left w:val="none" w:sz="0" w:space="0" w:color="auto"/>
            <w:bottom w:val="none" w:sz="0" w:space="0" w:color="auto"/>
            <w:right w:val="none" w:sz="0" w:space="0" w:color="auto"/>
          </w:divBdr>
        </w:div>
      </w:divsChild>
    </w:div>
    <w:div w:id="1759129656">
      <w:bodyDiv w:val="1"/>
      <w:marLeft w:val="0"/>
      <w:marRight w:val="0"/>
      <w:marTop w:val="0"/>
      <w:marBottom w:val="0"/>
      <w:divBdr>
        <w:top w:val="none" w:sz="0" w:space="0" w:color="auto"/>
        <w:left w:val="none" w:sz="0" w:space="0" w:color="auto"/>
        <w:bottom w:val="none" w:sz="0" w:space="0" w:color="auto"/>
        <w:right w:val="none" w:sz="0" w:space="0" w:color="auto"/>
      </w:divBdr>
    </w:div>
    <w:div w:id="1763991283">
      <w:bodyDiv w:val="1"/>
      <w:marLeft w:val="0"/>
      <w:marRight w:val="0"/>
      <w:marTop w:val="0"/>
      <w:marBottom w:val="0"/>
      <w:divBdr>
        <w:top w:val="none" w:sz="0" w:space="0" w:color="auto"/>
        <w:left w:val="none" w:sz="0" w:space="0" w:color="auto"/>
        <w:bottom w:val="none" w:sz="0" w:space="0" w:color="auto"/>
        <w:right w:val="none" w:sz="0" w:space="0" w:color="auto"/>
      </w:divBdr>
    </w:div>
    <w:div w:id="1776319320">
      <w:bodyDiv w:val="1"/>
      <w:marLeft w:val="0"/>
      <w:marRight w:val="0"/>
      <w:marTop w:val="0"/>
      <w:marBottom w:val="0"/>
      <w:divBdr>
        <w:top w:val="none" w:sz="0" w:space="0" w:color="auto"/>
        <w:left w:val="none" w:sz="0" w:space="0" w:color="auto"/>
        <w:bottom w:val="none" w:sz="0" w:space="0" w:color="auto"/>
        <w:right w:val="none" w:sz="0" w:space="0" w:color="auto"/>
      </w:divBdr>
      <w:divsChild>
        <w:div w:id="1043746467">
          <w:marLeft w:val="0"/>
          <w:marRight w:val="0"/>
          <w:marTop w:val="0"/>
          <w:marBottom w:val="0"/>
          <w:divBdr>
            <w:top w:val="none" w:sz="0" w:space="0" w:color="auto"/>
            <w:left w:val="none" w:sz="0" w:space="0" w:color="auto"/>
            <w:bottom w:val="none" w:sz="0" w:space="0" w:color="auto"/>
            <w:right w:val="none" w:sz="0" w:space="0" w:color="auto"/>
          </w:divBdr>
        </w:div>
      </w:divsChild>
    </w:div>
    <w:div w:id="1790734812">
      <w:bodyDiv w:val="1"/>
      <w:marLeft w:val="0"/>
      <w:marRight w:val="0"/>
      <w:marTop w:val="0"/>
      <w:marBottom w:val="0"/>
      <w:divBdr>
        <w:top w:val="none" w:sz="0" w:space="0" w:color="auto"/>
        <w:left w:val="none" w:sz="0" w:space="0" w:color="auto"/>
        <w:bottom w:val="none" w:sz="0" w:space="0" w:color="auto"/>
        <w:right w:val="none" w:sz="0" w:space="0" w:color="auto"/>
      </w:divBdr>
      <w:divsChild>
        <w:div w:id="585768801">
          <w:marLeft w:val="0"/>
          <w:marRight w:val="0"/>
          <w:marTop w:val="0"/>
          <w:marBottom w:val="0"/>
          <w:divBdr>
            <w:top w:val="none" w:sz="0" w:space="0" w:color="auto"/>
            <w:left w:val="none" w:sz="0" w:space="0" w:color="auto"/>
            <w:bottom w:val="none" w:sz="0" w:space="0" w:color="auto"/>
            <w:right w:val="none" w:sz="0" w:space="0" w:color="auto"/>
          </w:divBdr>
        </w:div>
      </w:divsChild>
    </w:div>
    <w:div w:id="1808281801">
      <w:bodyDiv w:val="1"/>
      <w:marLeft w:val="0"/>
      <w:marRight w:val="0"/>
      <w:marTop w:val="0"/>
      <w:marBottom w:val="0"/>
      <w:divBdr>
        <w:top w:val="none" w:sz="0" w:space="0" w:color="auto"/>
        <w:left w:val="none" w:sz="0" w:space="0" w:color="auto"/>
        <w:bottom w:val="none" w:sz="0" w:space="0" w:color="auto"/>
        <w:right w:val="none" w:sz="0" w:space="0" w:color="auto"/>
      </w:divBdr>
      <w:divsChild>
        <w:div w:id="1246841510">
          <w:marLeft w:val="0"/>
          <w:marRight w:val="0"/>
          <w:marTop w:val="0"/>
          <w:marBottom w:val="0"/>
          <w:divBdr>
            <w:top w:val="none" w:sz="0" w:space="0" w:color="auto"/>
            <w:left w:val="none" w:sz="0" w:space="0" w:color="auto"/>
            <w:bottom w:val="none" w:sz="0" w:space="0" w:color="auto"/>
            <w:right w:val="none" w:sz="0" w:space="0" w:color="auto"/>
          </w:divBdr>
        </w:div>
      </w:divsChild>
    </w:div>
    <w:div w:id="1824153368">
      <w:bodyDiv w:val="1"/>
      <w:marLeft w:val="0"/>
      <w:marRight w:val="0"/>
      <w:marTop w:val="0"/>
      <w:marBottom w:val="0"/>
      <w:divBdr>
        <w:top w:val="none" w:sz="0" w:space="0" w:color="auto"/>
        <w:left w:val="none" w:sz="0" w:space="0" w:color="auto"/>
        <w:bottom w:val="none" w:sz="0" w:space="0" w:color="auto"/>
        <w:right w:val="none" w:sz="0" w:space="0" w:color="auto"/>
      </w:divBdr>
      <w:divsChild>
        <w:div w:id="402531091">
          <w:marLeft w:val="0"/>
          <w:marRight w:val="0"/>
          <w:marTop w:val="0"/>
          <w:marBottom w:val="0"/>
          <w:divBdr>
            <w:top w:val="none" w:sz="0" w:space="0" w:color="auto"/>
            <w:left w:val="none" w:sz="0" w:space="0" w:color="auto"/>
            <w:bottom w:val="none" w:sz="0" w:space="0" w:color="auto"/>
            <w:right w:val="none" w:sz="0" w:space="0" w:color="auto"/>
          </w:divBdr>
        </w:div>
        <w:div w:id="616562721">
          <w:marLeft w:val="0"/>
          <w:marRight w:val="0"/>
          <w:marTop w:val="0"/>
          <w:marBottom w:val="0"/>
          <w:divBdr>
            <w:top w:val="none" w:sz="0" w:space="0" w:color="auto"/>
            <w:left w:val="none" w:sz="0" w:space="0" w:color="auto"/>
            <w:bottom w:val="none" w:sz="0" w:space="0" w:color="auto"/>
            <w:right w:val="none" w:sz="0" w:space="0" w:color="auto"/>
          </w:divBdr>
          <w:divsChild>
            <w:div w:id="6762090">
              <w:marLeft w:val="0"/>
              <w:marRight w:val="0"/>
              <w:marTop w:val="30"/>
              <w:marBottom w:val="30"/>
              <w:divBdr>
                <w:top w:val="none" w:sz="0" w:space="0" w:color="auto"/>
                <w:left w:val="none" w:sz="0" w:space="0" w:color="auto"/>
                <w:bottom w:val="none" w:sz="0" w:space="0" w:color="auto"/>
                <w:right w:val="none" w:sz="0" w:space="0" w:color="auto"/>
              </w:divBdr>
              <w:divsChild>
                <w:div w:id="7756539">
                  <w:marLeft w:val="0"/>
                  <w:marRight w:val="0"/>
                  <w:marTop w:val="0"/>
                  <w:marBottom w:val="0"/>
                  <w:divBdr>
                    <w:top w:val="none" w:sz="0" w:space="0" w:color="auto"/>
                    <w:left w:val="none" w:sz="0" w:space="0" w:color="auto"/>
                    <w:bottom w:val="none" w:sz="0" w:space="0" w:color="auto"/>
                    <w:right w:val="none" w:sz="0" w:space="0" w:color="auto"/>
                  </w:divBdr>
                  <w:divsChild>
                    <w:div w:id="1924947491">
                      <w:marLeft w:val="0"/>
                      <w:marRight w:val="0"/>
                      <w:marTop w:val="0"/>
                      <w:marBottom w:val="0"/>
                      <w:divBdr>
                        <w:top w:val="none" w:sz="0" w:space="0" w:color="auto"/>
                        <w:left w:val="none" w:sz="0" w:space="0" w:color="auto"/>
                        <w:bottom w:val="none" w:sz="0" w:space="0" w:color="auto"/>
                        <w:right w:val="none" w:sz="0" w:space="0" w:color="auto"/>
                      </w:divBdr>
                    </w:div>
                  </w:divsChild>
                </w:div>
                <w:div w:id="37895883">
                  <w:marLeft w:val="0"/>
                  <w:marRight w:val="0"/>
                  <w:marTop w:val="0"/>
                  <w:marBottom w:val="0"/>
                  <w:divBdr>
                    <w:top w:val="none" w:sz="0" w:space="0" w:color="auto"/>
                    <w:left w:val="none" w:sz="0" w:space="0" w:color="auto"/>
                    <w:bottom w:val="none" w:sz="0" w:space="0" w:color="auto"/>
                    <w:right w:val="none" w:sz="0" w:space="0" w:color="auto"/>
                  </w:divBdr>
                  <w:divsChild>
                    <w:div w:id="907761320">
                      <w:marLeft w:val="0"/>
                      <w:marRight w:val="0"/>
                      <w:marTop w:val="0"/>
                      <w:marBottom w:val="0"/>
                      <w:divBdr>
                        <w:top w:val="none" w:sz="0" w:space="0" w:color="auto"/>
                        <w:left w:val="none" w:sz="0" w:space="0" w:color="auto"/>
                        <w:bottom w:val="none" w:sz="0" w:space="0" w:color="auto"/>
                        <w:right w:val="none" w:sz="0" w:space="0" w:color="auto"/>
                      </w:divBdr>
                    </w:div>
                  </w:divsChild>
                </w:div>
                <w:div w:id="39209674">
                  <w:marLeft w:val="0"/>
                  <w:marRight w:val="0"/>
                  <w:marTop w:val="0"/>
                  <w:marBottom w:val="0"/>
                  <w:divBdr>
                    <w:top w:val="none" w:sz="0" w:space="0" w:color="auto"/>
                    <w:left w:val="none" w:sz="0" w:space="0" w:color="auto"/>
                    <w:bottom w:val="none" w:sz="0" w:space="0" w:color="auto"/>
                    <w:right w:val="none" w:sz="0" w:space="0" w:color="auto"/>
                  </w:divBdr>
                  <w:divsChild>
                    <w:div w:id="917447135">
                      <w:marLeft w:val="0"/>
                      <w:marRight w:val="0"/>
                      <w:marTop w:val="0"/>
                      <w:marBottom w:val="0"/>
                      <w:divBdr>
                        <w:top w:val="none" w:sz="0" w:space="0" w:color="auto"/>
                        <w:left w:val="none" w:sz="0" w:space="0" w:color="auto"/>
                        <w:bottom w:val="none" w:sz="0" w:space="0" w:color="auto"/>
                        <w:right w:val="none" w:sz="0" w:space="0" w:color="auto"/>
                      </w:divBdr>
                    </w:div>
                  </w:divsChild>
                </w:div>
                <w:div w:id="62535419">
                  <w:marLeft w:val="0"/>
                  <w:marRight w:val="0"/>
                  <w:marTop w:val="0"/>
                  <w:marBottom w:val="0"/>
                  <w:divBdr>
                    <w:top w:val="none" w:sz="0" w:space="0" w:color="auto"/>
                    <w:left w:val="none" w:sz="0" w:space="0" w:color="auto"/>
                    <w:bottom w:val="none" w:sz="0" w:space="0" w:color="auto"/>
                    <w:right w:val="none" w:sz="0" w:space="0" w:color="auto"/>
                  </w:divBdr>
                  <w:divsChild>
                    <w:div w:id="159127197">
                      <w:marLeft w:val="0"/>
                      <w:marRight w:val="0"/>
                      <w:marTop w:val="0"/>
                      <w:marBottom w:val="0"/>
                      <w:divBdr>
                        <w:top w:val="none" w:sz="0" w:space="0" w:color="auto"/>
                        <w:left w:val="none" w:sz="0" w:space="0" w:color="auto"/>
                        <w:bottom w:val="none" w:sz="0" w:space="0" w:color="auto"/>
                        <w:right w:val="none" w:sz="0" w:space="0" w:color="auto"/>
                      </w:divBdr>
                    </w:div>
                  </w:divsChild>
                </w:div>
                <w:div w:id="75632141">
                  <w:marLeft w:val="0"/>
                  <w:marRight w:val="0"/>
                  <w:marTop w:val="0"/>
                  <w:marBottom w:val="0"/>
                  <w:divBdr>
                    <w:top w:val="none" w:sz="0" w:space="0" w:color="auto"/>
                    <w:left w:val="none" w:sz="0" w:space="0" w:color="auto"/>
                    <w:bottom w:val="none" w:sz="0" w:space="0" w:color="auto"/>
                    <w:right w:val="none" w:sz="0" w:space="0" w:color="auto"/>
                  </w:divBdr>
                  <w:divsChild>
                    <w:div w:id="1559584982">
                      <w:marLeft w:val="0"/>
                      <w:marRight w:val="0"/>
                      <w:marTop w:val="0"/>
                      <w:marBottom w:val="0"/>
                      <w:divBdr>
                        <w:top w:val="none" w:sz="0" w:space="0" w:color="auto"/>
                        <w:left w:val="none" w:sz="0" w:space="0" w:color="auto"/>
                        <w:bottom w:val="none" w:sz="0" w:space="0" w:color="auto"/>
                        <w:right w:val="none" w:sz="0" w:space="0" w:color="auto"/>
                      </w:divBdr>
                    </w:div>
                  </w:divsChild>
                </w:div>
                <w:div w:id="117384784">
                  <w:marLeft w:val="0"/>
                  <w:marRight w:val="0"/>
                  <w:marTop w:val="0"/>
                  <w:marBottom w:val="0"/>
                  <w:divBdr>
                    <w:top w:val="none" w:sz="0" w:space="0" w:color="auto"/>
                    <w:left w:val="none" w:sz="0" w:space="0" w:color="auto"/>
                    <w:bottom w:val="none" w:sz="0" w:space="0" w:color="auto"/>
                    <w:right w:val="none" w:sz="0" w:space="0" w:color="auto"/>
                  </w:divBdr>
                  <w:divsChild>
                    <w:div w:id="1381704486">
                      <w:marLeft w:val="0"/>
                      <w:marRight w:val="0"/>
                      <w:marTop w:val="0"/>
                      <w:marBottom w:val="0"/>
                      <w:divBdr>
                        <w:top w:val="none" w:sz="0" w:space="0" w:color="auto"/>
                        <w:left w:val="none" w:sz="0" w:space="0" w:color="auto"/>
                        <w:bottom w:val="none" w:sz="0" w:space="0" w:color="auto"/>
                        <w:right w:val="none" w:sz="0" w:space="0" w:color="auto"/>
                      </w:divBdr>
                    </w:div>
                  </w:divsChild>
                </w:div>
                <w:div w:id="117921737">
                  <w:marLeft w:val="0"/>
                  <w:marRight w:val="0"/>
                  <w:marTop w:val="0"/>
                  <w:marBottom w:val="0"/>
                  <w:divBdr>
                    <w:top w:val="none" w:sz="0" w:space="0" w:color="auto"/>
                    <w:left w:val="none" w:sz="0" w:space="0" w:color="auto"/>
                    <w:bottom w:val="none" w:sz="0" w:space="0" w:color="auto"/>
                    <w:right w:val="none" w:sz="0" w:space="0" w:color="auto"/>
                  </w:divBdr>
                  <w:divsChild>
                    <w:div w:id="1086271668">
                      <w:marLeft w:val="0"/>
                      <w:marRight w:val="0"/>
                      <w:marTop w:val="0"/>
                      <w:marBottom w:val="0"/>
                      <w:divBdr>
                        <w:top w:val="none" w:sz="0" w:space="0" w:color="auto"/>
                        <w:left w:val="none" w:sz="0" w:space="0" w:color="auto"/>
                        <w:bottom w:val="none" w:sz="0" w:space="0" w:color="auto"/>
                        <w:right w:val="none" w:sz="0" w:space="0" w:color="auto"/>
                      </w:divBdr>
                    </w:div>
                  </w:divsChild>
                </w:div>
                <w:div w:id="120806315">
                  <w:marLeft w:val="0"/>
                  <w:marRight w:val="0"/>
                  <w:marTop w:val="0"/>
                  <w:marBottom w:val="0"/>
                  <w:divBdr>
                    <w:top w:val="none" w:sz="0" w:space="0" w:color="auto"/>
                    <w:left w:val="none" w:sz="0" w:space="0" w:color="auto"/>
                    <w:bottom w:val="none" w:sz="0" w:space="0" w:color="auto"/>
                    <w:right w:val="none" w:sz="0" w:space="0" w:color="auto"/>
                  </w:divBdr>
                  <w:divsChild>
                    <w:div w:id="1387531655">
                      <w:marLeft w:val="0"/>
                      <w:marRight w:val="0"/>
                      <w:marTop w:val="0"/>
                      <w:marBottom w:val="0"/>
                      <w:divBdr>
                        <w:top w:val="none" w:sz="0" w:space="0" w:color="auto"/>
                        <w:left w:val="none" w:sz="0" w:space="0" w:color="auto"/>
                        <w:bottom w:val="none" w:sz="0" w:space="0" w:color="auto"/>
                        <w:right w:val="none" w:sz="0" w:space="0" w:color="auto"/>
                      </w:divBdr>
                    </w:div>
                  </w:divsChild>
                </w:div>
                <w:div w:id="123818951">
                  <w:marLeft w:val="0"/>
                  <w:marRight w:val="0"/>
                  <w:marTop w:val="0"/>
                  <w:marBottom w:val="0"/>
                  <w:divBdr>
                    <w:top w:val="none" w:sz="0" w:space="0" w:color="auto"/>
                    <w:left w:val="none" w:sz="0" w:space="0" w:color="auto"/>
                    <w:bottom w:val="none" w:sz="0" w:space="0" w:color="auto"/>
                    <w:right w:val="none" w:sz="0" w:space="0" w:color="auto"/>
                  </w:divBdr>
                  <w:divsChild>
                    <w:div w:id="362749747">
                      <w:marLeft w:val="0"/>
                      <w:marRight w:val="0"/>
                      <w:marTop w:val="0"/>
                      <w:marBottom w:val="0"/>
                      <w:divBdr>
                        <w:top w:val="none" w:sz="0" w:space="0" w:color="auto"/>
                        <w:left w:val="none" w:sz="0" w:space="0" w:color="auto"/>
                        <w:bottom w:val="none" w:sz="0" w:space="0" w:color="auto"/>
                        <w:right w:val="none" w:sz="0" w:space="0" w:color="auto"/>
                      </w:divBdr>
                    </w:div>
                  </w:divsChild>
                </w:div>
                <w:div w:id="132908772">
                  <w:marLeft w:val="0"/>
                  <w:marRight w:val="0"/>
                  <w:marTop w:val="0"/>
                  <w:marBottom w:val="0"/>
                  <w:divBdr>
                    <w:top w:val="none" w:sz="0" w:space="0" w:color="auto"/>
                    <w:left w:val="none" w:sz="0" w:space="0" w:color="auto"/>
                    <w:bottom w:val="none" w:sz="0" w:space="0" w:color="auto"/>
                    <w:right w:val="none" w:sz="0" w:space="0" w:color="auto"/>
                  </w:divBdr>
                  <w:divsChild>
                    <w:div w:id="458035969">
                      <w:marLeft w:val="0"/>
                      <w:marRight w:val="0"/>
                      <w:marTop w:val="0"/>
                      <w:marBottom w:val="0"/>
                      <w:divBdr>
                        <w:top w:val="none" w:sz="0" w:space="0" w:color="auto"/>
                        <w:left w:val="none" w:sz="0" w:space="0" w:color="auto"/>
                        <w:bottom w:val="none" w:sz="0" w:space="0" w:color="auto"/>
                        <w:right w:val="none" w:sz="0" w:space="0" w:color="auto"/>
                      </w:divBdr>
                    </w:div>
                  </w:divsChild>
                </w:div>
                <w:div w:id="200754765">
                  <w:marLeft w:val="0"/>
                  <w:marRight w:val="0"/>
                  <w:marTop w:val="0"/>
                  <w:marBottom w:val="0"/>
                  <w:divBdr>
                    <w:top w:val="none" w:sz="0" w:space="0" w:color="auto"/>
                    <w:left w:val="none" w:sz="0" w:space="0" w:color="auto"/>
                    <w:bottom w:val="none" w:sz="0" w:space="0" w:color="auto"/>
                    <w:right w:val="none" w:sz="0" w:space="0" w:color="auto"/>
                  </w:divBdr>
                  <w:divsChild>
                    <w:div w:id="759645626">
                      <w:marLeft w:val="0"/>
                      <w:marRight w:val="0"/>
                      <w:marTop w:val="0"/>
                      <w:marBottom w:val="0"/>
                      <w:divBdr>
                        <w:top w:val="none" w:sz="0" w:space="0" w:color="auto"/>
                        <w:left w:val="none" w:sz="0" w:space="0" w:color="auto"/>
                        <w:bottom w:val="none" w:sz="0" w:space="0" w:color="auto"/>
                        <w:right w:val="none" w:sz="0" w:space="0" w:color="auto"/>
                      </w:divBdr>
                    </w:div>
                  </w:divsChild>
                </w:div>
                <w:div w:id="209806678">
                  <w:marLeft w:val="0"/>
                  <w:marRight w:val="0"/>
                  <w:marTop w:val="0"/>
                  <w:marBottom w:val="0"/>
                  <w:divBdr>
                    <w:top w:val="none" w:sz="0" w:space="0" w:color="auto"/>
                    <w:left w:val="none" w:sz="0" w:space="0" w:color="auto"/>
                    <w:bottom w:val="none" w:sz="0" w:space="0" w:color="auto"/>
                    <w:right w:val="none" w:sz="0" w:space="0" w:color="auto"/>
                  </w:divBdr>
                  <w:divsChild>
                    <w:div w:id="1083182114">
                      <w:marLeft w:val="0"/>
                      <w:marRight w:val="0"/>
                      <w:marTop w:val="0"/>
                      <w:marBottom w:val="0"/>
                      <w:divBdr>
                        <w:top w:val="none" w:sz="0" w:space="0" w:color="auto"/>
                        <w:left w:val="none" w:sz="0" w:space="0" w:color="auto"/>
                        <w:bottom w:val="none" w:sz="0" w:space="0" w:color="auto"/>
                        <w:right w:val="none" w:sz="0" w:space="0" w:color="auto"/>
                      </w:divBdr>
                    </w:div>
                  </w:divsChild>
                </w:div>
                <w:div w:id="273561633">
                  <w:marLeft w:val="0"/>
                  <w:marRight w:val="0"/>
                  <w:marTop w:val="0"/>
                  <w:marBottom w:val="0"/>
                  <w:divBdr>
                    <w:top w:val="none" w:sz="0" w:space="0" w:color="auto"/>
                    <w:left w:val="none" w:sz="0" w:space="0" w:color="auto"/>
                    <w:bottom w:val="none" w:sz="0" w:space="0" w:color="auto"/>
                    <w:right w:val="none" w:sz="0" w:space="0" w:color="auto"/>
                  </w:divBdr>
                  <w:divsChild>
                    <w:div w:id="244385656">
                      <w:marLeft w:val="0"/>
                      <w:marRight w:val="0"/>
                      <w:marTop w:val="0"/>
                      <w:marBottom w:val="0"/>
                      <w:divBdr>
                        <w:top w:val="none" w:sz="0" w:space="0" w:color="auto"/>
                        <w:left w:val="none" w:sz="0" w:space="0" w:color="auto"/>
                        <w:bottom w:val="none" w:sz="0" w:space="0" w:color="auto"/>
                        <w:right w:val="none" w:sz="0" w:space="0" w:color="auto"/>
                      </w:divBdr>
                    </w:div>
                  </w:divsChild>
                </w:div>
                <w:div w:id="348410448">
                  <w:marLeft w:val="0"/>
                  <w:marRight w:val="0"/>
                  <w:marTop w:val="0"/>
                  <w:marBottom w:val="0"/>
                  <w:divBdr>
                    <w:top w:val="none" w:sz="0" w:space="0" w:color="auto"/>
                    <w:left w:val="none" w:sz="0" w:space="0" w:color="auto"/>
                    <w:bottom w:val="none" w:sz="0" w:space="0" w:color="auto"/>
                    <w:right w:val="none" w:sz="0" w:space="0" w:color="auto"/>
                  </w:divBdr>
                  <w:divsChild>
                    <w:div w:id="1398671281">
                      <w:marLeft w:val="0"/>
                      <w:marRight w:val="0"/>
                      <w:marTop w:val="0"/>
                      <w:marBottom w:val="0"/>
                      <w:divBdr>
                        <w:top w:val="none" w:sz="0" w:space="0" w:color="auto"/>
                        <w:left w:val="none" w:sz="0" w:space="0" w:color="auto"/>
                        <w:bottom w:val="none" w:sz="0" w:space="0" w:color="auto"/>
                        <w:right w:val="none" w:sz="0" w:space="0" w:color="auto"/>
                      </w:divBdr>
                    </w:div>
                  </w:divsChild>
                </w:div>
                <w:div w:id="375005331">
                  <w:marLeft w:val="0"/>
                  <w:marRight w:val="0"/>
                  <w:marTop w:val="0"/>
                  <w:marBottom w:val="0"/>
                  <w:divBdr>
                    <w:top w:val="none" w:sz="0" w:space="0" w:color="auto"/>
                    <w:left w:val="none" w:sz="0" w:space="0" w:color="auto"/>
                    <w:bottom w:val="none" w:sz="0" w:space="0" w:color="auto"/>
                    <w:right w:val="none" w:sz="0" w:space="0" w:color="auto"/>
                  </w:divBdr>
                  <w:divsChild>
                    <w:div w:id="894856417">
                      <w:marLeft w:val="0"/>
                      <w:marRight w:val="0"/>
                      <w:marTop w:val="0"/>
                      <w:marBottom w:val="0"/>
                      <w:divBdr>
                        <w:top w:val="none" w:sz="0" w:space="0" w:color="auto"/>
                        <w:left w:val="none" w:sz="0" w:space="0" w:color="auto"/>
                        <w:bottom w:val="none" w:sz="0" w:space="0" w:color="auto"/>
                        <w:right w:val="none" w:sz="0" w:space="0" w:color="auto"/>
                      </w:divBdr>
                    </w:div>
                  </w:divsChild>
                </w:div>
                <w:div w:id="394205457">
                  <w:marLeft w:val="0"/>
                  <w:marRight w:val="0"/>
                  <w:marTop w:val="0"/>
                  <w:marBottom w:val="0"/>
                  <w:divBdr>
                    <w:top w:val="none" w:sz="0" w:space="0" w:color="auto"/>
                    <w:left w:val="none" w:sz="0" w:space="0" w:color="auto"/>
                    <w:bottom w:val="none" w:sz="0" w:space="0" w:color="auto"/>
                    <w:right w:val="none" w:sz="0" w:space="0" w:color="auto"/>
                  </w:divBdr>
                  <w:divsChild>
                    <w:div w:id="658461165">
                      <w:marLeft w:val="0"/>
                      <w:marRight w:val="0"/>
                      <w:marTop w:val="0"/>
                      <w:marBottom w:val="0"/>
                      <w:divBdr>
                        <w:top w:val="none" w:sz="0" w:space="0" w:color="auto"/>
                        <w:left w:val="none" w:sz="0" w:space="0" w:color="auto"/>
                        <w:bottom w:val="none" w:sz="0" w:space="0" w:color="auto"/>
                        <w:right w:val="none" w:sz="0" w:space="0" w:color="auto"/>
                      </w:divBdr>
                    </w:div>
                  </w:divsChild>
                </w:div>
                <w:div w:id="404912473">
                  <w:marLeft w:val="0"/>
                  <w:marRight w:val="0"/>
                  <w:marTop w:val="0"/>
                  <w:marBottom w:val="0"/>
                  <w:divBdr>
                    <w:top w:val="none" w:sz="0" w:space="0" w:color="auto"/>
                    <w:left w:val="none" w:sz="0" w:space="0" w:color="auto"/>
                    <w:bottom w:val="none" w:sz="0" w:space="0" w:color="auto"/>
                    <w:right w:val="none" w:sz="0" w:space="0" w:color="auto"/>
                  </w:divBdr>
                  <w:divsChild>
                    <w:div w:id="696470791">
                      <w:marLeft w:val="0"/>
                      <w:marRight w:val="0"/>
                      <w:marTop w:val="0"/>
                      <w:marBottom w:val="0"/>
                      <w:divBdr>
                        <w:top w:val="none" w:sz="0" w:space="0" w:color="auto"/>
                        <w:left w:val="none" w:sz="0" w:space="0" w:color="auto"/>
                        <w:bottom w:val="none" w:sz="0" w:space="0" w:color="auto"/>
                        <w:right w:val="none" w:sz="0" w:space="0" w:color="auto"/>
                      </w:divBdr>
                    </w:div>
                  </w:divsChild>
                </w:div>
                <w:div w:id="439765114">
                  <w:marLeft w:val="0"/>
                  <w:marRight w:val="0"/>
                  <w:marTop w:val="0"/>
                  <w:marBottom w:val="0"/>
                  <w:divBdr>
                    <w:top w:val="none" w:sz="0" w:space="0" w:color="auto"/>
                    <w:left w:val="none" w:sz="0" w:space="0" w:color="auto"/>
                    <w:bottom w:val="none" w:sz="0" w:space="0" w:color="auto"/>
                    <w:right w:val="none" w:sz="0" w:space="0" w:color="auto"/>
                  </w:divBdr>
                  <w:divsChild>
                    <w:div w:id="1704670796">
                      <w:marLeft w:val="0"/>
                      <w:marRight w:val="0"/>
                      <w:marTop w:val="0"/>
                      <w:marBottom w:val="0"/>
                      <w:divBdr>
                        <w:top w:val="none" w:sz="0" w:space="0" w:color="auto"/>
                        <w:left w:val="none" w:sz="0" w:space="0" w:color="auto"/>
                        <w:bottom w:val="none" w:sz="0" w:space="0" w:color="auto"/>
                        <w:right w:val="none" w:sz="0" w:space="0" w:color="auto"/>
                      </w:divBdr>
                    </w:div>
                  </w:divsChild>
                </w:div>
                <w:div w:id="485122867">
                  <w:marLeft w:val="0"/>
                  <w:marRight w:val="0"/>
                  <w:marTop w:val="0"/>
                  <w:marBottom w:val="0"/>
                  <w:divBdr>
                    <w:top w:val="none" w:sz="0" w:space="0" w:color="auto"/>
                    <w:left w:val="none" w:sz="0" w:space="0" w:color="auto"/>
                    <w:bottom w:val="none" w:sz="0" w:space="0" w:color="auto"/>
                    <w:right w:val="none" w:sz="0" w:space="0" w:color="auto"/>
                  </w:divBdr>
                  <w:divsChild>
                    <w:div w:id="1495028522">
                      <w:marLeft w:val="0"/>
                      <w:marRight w:val="0"/>
                      <w:marTop w:val="0"/>
                      <w:marBottom w:val="0"/>
                      <w:divBdr>
                        <w:top w:val="none" w:sz="0" w:space="0" w:color="auto"/>
                        <w:left w:val="none" w:sz="0" w:space="0" w:color="auto"/>
                        <w:bottom w:val="none" w:sz="0" w:space="0" w:color="auto"/>
                        <w:right w:val="none" w:sz="0" w:space="0" w:color="auto"/>
                      </w:divBdr>
                    </w:div>
                  </w:divsChild>
                </w:div>
                <w:div w:id="493182803">
                  <w:marLeft w:val="0"/>
                  <w:marRight w:val="0"/>
                  <w:marTop w:val="0"/>
                  <w:marBottom w:val="0"/>
                  <w:divBdr>
                    <w:top w:val="none" w:sz="0" w:space="0" w:color="auto"/>
                    <w:left w:val="none" w:sz="0" w:space="0" w:color="auto"/>
                    <w:bottom w:val="none" w:sz="0" w:space="0" w:color="auto"/>
                    <w:right w:val="none" w:sz="0" w:space="0" w:color="auto"/>
                  </w:divBdr>
                  <w:divsChild>
                    <w:div w:id="934048647">
                      <w:marLeft w:val="0"/>
                      <w:marRight w:val="0"/>
                      <w:marTop w:val="0"/>
                      <w:marBottom w:val="0"/>
                      <w:divBdr>
                        <w:top w:val="none" w:sz="0" w:space="0" w:color="auto"/>
                        <w:left w:val="none" w:sz="0" w:space="0" w:color="auto"/>
                        <w:bottom w:val="none" w:sz="0" w:space="0" w:color="auto"/>
                        <w:right w:val="none" w:sz="0" w:space="0" w:color="auto"/>
                      </w:divBdr>
                    </w:div>
                  </w:divsChild>
                </w:div>
                <w:div w:id="540361375">
                  <w:marLeft w:val="0"/>
                  <w:marRight w:val="0"/>
                  <w:marTop w:val="0"/>
                  <w:marBottom w:val="0"/>
                  <w:divBdr>
                    <w:top w:val="none" w:sz="0" w:space="0" w:color="auto"/>
                    <w:left w:val="none" w:sz="0" w:space="0" w:color="auto"/>
                    <w:bottom w:val="none" w:sz="0" w:space="0" w:color="auto"/>
                    <w:right w:val="none" w:sz="0" w:space="0" w:color="auto"/>
                  </w:divBdr>
                  <w:divsChild>
                    <w:div w:id="1825659554">
                      <w:marLeft w:val="0"/>
                      <w:marRight w:val="0"/>
                      <w:marTop w:val="0"/>
                      <w:marBottom w:val="0"/>
                      <w:divBdr>
                        <w:top w:val="none" w:sz="0" w:space="0" w:color="auto"/>
                        <w:left w:val="none" w:sz="0" w:space="0" w:color="auto"/>
                        <w:bottom w:val="none" w:sz="0" w:space="0" w:color="auto"/>
                        <w:right w:val="none" w:sz="0" w:space="0" w:color="auto"/>
                      </w:divBdr>
                    </w:div>
                  </w:divsChild>
                </w:div>
                <w:div w:id="583226795">
                  <w:marLeft w:val="0"/>
                  <w:marRight w:val="0"/>
                  <w:marTop w:val="0"/>
                  <w:marBottom w:val="0"/>
                  <w:divBdr>
                    <w:top w:val="none" w:sz="0" w:space="0" w:color="auto"/>
                    <w:left w:val="none" w:sz="0" w:space="0" w:color="auto"/>
                    <w:bottom w:val="none" w:sz="0" w:space="0" w:color="auto"/>
                    <w:right w:val="none" w:sz="0" w:space="0" w:color="auto"/>
                  </w:divBdr>
                  <w:divsChild>
                    <w:div w:id="1557663305">
                      <w:marLeft w:val="0"/>
                      <w:marRight w:val="0"/>
                      <w:marTop w:val="0"/>
                      <w:marBottom w:val="0"/>
                      <w:divBdr>
                        <w:top w:val="none" w:sz="0" w:space="0" w:color="auto"/>
                        <w:left w:val="none" w:sz="0" w:space="0" w:color="auto"/>
                        <w:bottom w:val="none" w:sz="0" w:space="0" w:color="auto"/>
                        <w:right w:val="none" w:sz="0" w:space="0" w:color="auto"/>
                      </w:divBdr>
                    </w:div>
                  </w:divsChild>
                </w:div>
                <w:div w:id="729766424">
                  <w:marLeft w:val="0"/>
                  <w:marRight w:val="0"/>
                  <w:marTop w:val="0"/>
                  <w:marBottom w:val="0"/>
                  <w:divBdr>
                    <w:top w:val="none" w:sz="0" w:space="0" w:color="auto"/>
                    <w:left w:val="none" w:sz="0" w:space="0" w:color="auto"/>
                    <w:bottom w:val="none" w:sz="0" w:space="0" w:color="auto"/>
                    <w:right w:val="none" w:sz="0" w:space="0" w:color="auto"/>
                  </w:divBdr>
                  <w:divsChild>
                    <w:div w:id="707411576">
                      <w:marLeft w:val="0"/>
                      <w:marRight w:val="0"/>
                      <w:marTop w:val="0"/>
                      <w:marBottom w:val="0"/>
                      <w:divBdr>
                        <w:top w:val="none" w:sz="0" w:space="0" w:color="auto"/>
                        <w:left w:val="none" w:sz="0" w:space="0" w:color="auto"/>
                        <w:bottom w:val="none" w:sz="0" w:space="0" w:color="auto"/>
                        <w:right w:val="none" w:sz="0" w:space="0" w:color="auto"/>
                      </w:divBdr>
                    </w:div>
                  </w:divsChild>
                </w:div>
                <w:div w:id="810634828">
                  <w:marLeft w:val="0"/>
                  <w:marRight w:val="0"/>
                  <w:marTop w:val="0"/>
                  <w:marBottom w:val="0"/>
                  <w:divBdr>
                    <w:top w:val="none" w:sz="0" w:space="0" w:color="auto"/>
                    <w:left w:val="none" w:sz="0" w:space="0" w:color="auto"/>
                    <w:bottom w:val="none" w:sz="0" w:space="0" w:color="auto"/>
                    <w:right w:val="none" w:sz="0" w:space="0" w:color="auto"/>
                  </w:divBdr>
                  <w:divsChild>
                    <w:div w:id="1902254703">
                      <w:marLeft w:val="0"/>
                      <w:marRight w:val="0"/>
                      <w:marTop w:val="0"/>
                      <w:marBottom w:val="0"/>
                      <w:divBdr>
                        <w:top w:val="none" w:sz="0" w:space="0" w:color="auto"/>
                        <w:left w:val="none" w:sz="0" w:space="0" w:color="auto"/>
                        <w:bottom w:val="none" w:sz="0" w:space="0" w:color="auto"/>
                        <w:right w:val="none" w:sz="0" w:space="0" w:color="auto"/>
                      </w:divBdr>
                    </w:div>
                  </w:divsChild>
                </w:div>
                <w:div w:id="843012868">
                  <w:marLeft w:val="0"/>
                  <w:marRight w:val="0"/>
                  <w:marTop w:val="0"/>
                  <w:marBottom w:val="0"/>
                  <w:divBdr>
                    <w:top w:val="none" w:sz="0" w:space="0" w:color="auto"/>
                    <w:left w:val="none" w:sz="0" w:space="0" w:color="auto"/>
                    <w:bottom w:val="none" w:sz="0" w:space="0" w:color="auto"/>
                    <w:right w:val="none" w:sz="0" w:space="0" w:color="auto"/>
                  </w:divBdr>
                  <w:divsChild>
                    <w:div w:id="89010190">
                      <w:marLeft w:val="0"/>
                      <w:marRight w:val="0"/>
                      <w:marTop w:val="0"/>
                      <w:marBottom w:val="0"/>
                      <w:divBdr>
                        <w:top w:val="none" w:sz="0" w:space="0" w:color="auto"/>
                        <w:left w:val="none" w:sz="0" w:space="0" w:color="auto"/>
                        <w:bottom w:val="none" w:sz="0" w:space="0" w:color="auto"/>
                        <w:right w:val="none" w:sz="0" w:space="0" w:color="auto"/>
                      </w:divBdr>
                    </w:div>
                  </w:divsChild>
                </w:div>
                <w:div w:id="893927921">
                  <w:marLeft w:val="0"/>
                  <w:marRight w:val="0"/>
                  <w:marTop w:val="0"/>
                  <w:marBottom w:val="0"/>
                  <w:divBdr>
                    <w:top w:val="none" w:sz="0" w:space="0" w:color="auto"/>
                    <w:left w:val="none" w:sz="0" w:space="0" w:color="auto"/>
                    <w:bottom w:val="none" w:sz="0" w:space="0" w:color="auto"/>
                    <w:right w:val="none" w:sz="0" w:space="0" w:color="auto"/>
                  </w:divBdr>
                  <w:divsChild>
                    <w:div w:id="450363844">
                      <w:marLeft w:val="0"/>
                      <w:marRight w:val="0"/>
                      <w:marTop w:val="0"/>
                      <w:marBottom w:val="0"/>
                      <w:divBdr>
                        <w:top w:val="none" w:sz="0" w:space="0" w:color="auto"/>
                        <w:left w:val="none" w:sz="0" w:space="0" w:color="auto"/>
                        <w:bottom w:val="none" w:sz="0" w:space="0" w:color="auto"/>
                        <w:right w:val="none" w:sz="0" w:space="0" w:color="auto"/>
                      </w:divBdr>
                    </w:div>
                  </w:divsChild>
                </w:div>
                <w:div w:id="902526495">
                  <w:marLeft w:val="0"/>
                  <w:marRight w:val="0"/>
                  <w:marTop w:val="0"/>
                  <w:marBottom w:val="0"/>
                  <w:divBdr>
                    <w:top w:val="none" w:sz="0" w:space="0" w:color="auto"/>
                    <w:left w:val="none" w:sz="0" w:space="0" w:color="auto"/>
                    <w:bottom w:val="none" w:sz="0" w:space="0" w:color="auto"/>
                    <w:right w:val="none" w:sz="0" w:space="0" w:color="auto"/>
                  </w:divBdr>
                  <w:divsChild>
                    <w:div w:id="170880466">
                      <w:marLeft w:val="0"/>
                      <w:marRight w:val="0"/>
                      <w:marTop w:val="0"/>
                      <w:marBottom w:val="0"/>
                      <w:divBdr>
                        <w:top w:val="none" w:sz="0" w:space="0" w:color="auto"/>
                        <w:left w:val="none" w:sz="0" w:space="0" w:color="auto"/>
                        <w:bottom w:val="none" w:sz="0" w:space="0" w:color="auto"/>
                        <w:right w:val="none" w:sz="0" w:space="0" w:color="auto"/>
                      </w:divBdr>
                    </w:div>
                  </w:divsChild>
                </w:div>
                <w:div w:id="903640680">
                  <w:marLeft w:val="0"/>
                  <w:marRight w:val="0"/>
                  <w:marTop w:val="0"/>
                  <w:marBottom w:val="0"/>
                  <w:divBdr>
                    <w:top w:val="none" w:sz="0" w:space="0" w:color="auto"/>
                    <w:left w:val="none" w:sz="0" w:space="0" w:color="auto"/>
                    <w:bottom w:val="none" w:sz="0" w:space="0" w:color="auto"/>
                    <w:right w:val="none" w:sz="0" w:space="0" w:color="auto"/>
                  </w:divBdr>
                  <w:divsChild>
                    <w:div w:id="547305687">
                      <w:marLeft w:val="0"/>
                      <w:marRight w:val="0"/>
                      <w:marTop w:val="0"/>
                      <w:marBottom w:val="0"/>
                      <w:divBdr>
                        <w:top w:val="none" w:sz="0" w:space="0" w:color="auto"/>
                        <w:left w:val="none" w:sz="0" w:space="0" w:color="auto"/>
                        <w:bottom w:val="none" w:sz="0" w:space="0" w:color="auto"/>
                        <w:right w:val="none" w:sz="0" w:space="0" w:color="auto"/>
                      </w:divBdr>
                    </w:div>
                  </w:divsChild>
                </w:div>
                <w:div w:id="920062467">
                  <w:marLeft w:val="0"/>
                  <w:marRight w:val="0"/>
                  <w:marTop w:val="0"/>
                  <w:marBottom w:val="0"/>
                  <w:divBdr>
                    <w:top w:val="none" w:sz="0" w:space="0" w:color="auto"/>
                    <w:left w:val="none" w:sz="0" w:space="0" w:color="auto"/>
                    <w:bottom w:val="none" w:sz="0" w:space="0" w:color="auto"/>
                    <w:right w:val="none" w:sz="0" w:space="0" w:color="auto"/>
                  </w:divBdr>
                  <w:divsChild>
                    <w:div w:id="1332223820">
                      <w:marLeft w:val="0"/>
                      <w:marRight w:val="0"/>
                      <w:marTop w:val="0"/>
                      <w:marBottom w:val="0"/>
                      <w:divBdr>
                        <w:top w:val="none" w:sz="0" w:space="0" w:color="auto"/>
                        <w:left w:val="none" w:sz="0" w:space="0" w:color="auto"/>
                        <w:bottom w:val="none" w:sz="0" w:space="0" w:color="auto"/>
                        <w:right w:val="none" w:sz="0" w:space="0" w:color="auto"/>
                      </w:divBdr>
                    </w:div>
                  </w:divsChild>
                </w:div>
                <w:div w:id="926841449">
                  <w:marLeft w:val="0"/>
                  <w:marRight w:val="0"/>
                  <w:marTop w:val="0"/>
                  <w:marBottom w:val="0"/>
                  <w:divBdr>
                    <w:top w:val="none" w:sz="0" w:space="0" w:color="auto"/>
                    <w:left w:val="none" w:sz="0" w:space="0" w:color="auto"/>
                    <w:bottom w:val="none" w:sz="0" w:space="0" w:color="auto"/>
                    <w:right w:val="none" w:sz="0" w:space="0" w:color="auto"/>
                  </w:divBdr>
                  <w:divsChild>
                    <w:div w:id="665085941">
                      <w:marLeft w:val="0"/>
                      <w:marRight w:val="0"/>
                      <w:marTop w:val="0"/>
                      <w:marBottom w:val="0"/>
                      <w:divBdr>
                        <w:top w:val="none" w:sz="0" w:space="0" w:color="auto"/>
                        <w:left w:val="none" w:sz="0" w:space="0" w:color="auto"/>
                        <w:bottom w:val="none" w:sz="0" w:space="0" w:color="auto"/>
                        <w:right w:val="none" w:sz="0" w:space="0" w:color="auto"/>
                      </w:divBdr>
                    </w:div>
                  </w:divsChild>
                </w:div>
                <w:div w:id="1022895000">
                  <w:marLeft w:val="0"/>
                  <w:marRight w:val="0"/>
                  <w:marTop w:val="0"/>
                  <w:marBottom w:val="0"/>
                  <w:divBdr>
                    <w:top w:val="none" w:sz="0" w:space="0" w:color="auto"/>
                    <w:left w:val="none" w:sz="0" w:space="0" w:color="auto"/>
                    <w:bottom w:val="none" w:sz="0" w:space="0" w:color="auto"/>
                    <w:right w:val="none" w:sz="0" w:space="0" w:color="auto"/>
                  </w:divBdr>
                  <w:divsChild>
                    <w:div w:id="39594132">
                      <w:marLeft w:val="0"/>
                      <w:marRight w:val="0"/>
                      <w:marTop w:val="0"/>
                      <w:marBottom w:val="0"/>
                      <w:divBdr>
                        <w:top w:val="none" w:sz="0" w:space="0" w:color="auto"/>
                        <w:left w:val="none" w:sz="0" w:space="0" w:color="auto"/>
                        <w:bottom w:val="none" w:sz="0" w:space="0" w:color="auto"/>
                        <w:right w:val="none" w:sz="0" w:space="0" w:color="auto"/>
                      </w:divBdr>
                    </w:div>
                  </w:divsChild>
                </w:div>
                <w:div w:id="1084103802">
                  <w:marLeft w:val="0"/>
                  <w:marRight w:val="0"/>
                  <w:marTop w:val="0"/>
                  <w:marBottom w:val="0"/>
                  <w:divBdr>
                    <w:top w:val="none" w:sz="0" w:space="0" w:color="auto"/>
                    <w:left w:val="none" w:sz="0" w:space="0" w:color="auto"/>
                    <w:bottom w:val="none" w:sz="0" w:space="0" w:color="auto"/>
                    <w:right w:val="none" w:sz="0" w:space="0" w:color="auto"/>
                  </w:divBdr>
                  <w:divsChild>
                    <w:div w:id="248463953">
                      <w:marLeft w:val="0"/>
                      <w:marRight w:val="0"/>
                      <w:marTop w:val="0"/>
                      <w:marBottom w:val="0"/>
                      <w:divBdr>
                        <w:top w:val="none" w:sz="0" w:space="0" w:color="auto"/>
                        <w:left w:val="none" w:sz="0" w:space="0" w:color="auto"/>
                        <w:bottom w:val="none" w:sz="0" w:space="0" w:color="auto"/>
                        <w:right w:val="none" w:sz="0" w:space="0" w:color="auto"/>
                      </w:divBdr>
                    </w:div>
                  </w:divsChild>
                </w:div>
                <w:div w:id="1102840906">
                  <w:marLeft w:val="0"/>
                  <w:marRight w:val="0"/>
                  <w:marTop w:val="0"/>
                  <w:marBottom w:val="0"/>
                  <w:divBdr>
                    <w:top w:val="none" w:sz="0" w:space="0" w:color="auto"/>
                    <w:left w:val="none" w:sz="0" w:space="0" w:color="auto"/>
                    <w:bottom w:val="none" w:sz="0" w:space="0" w:color="auto"/>
                    <w:right w:val="none" w:sz="0" w:space="0" w:color="auto"/>
                  </w:divBdr>
                  <w:divsChild>
                    <w:div w:id="1900283546">
                      <w:marLeft w:val="0"/>
                      <w:marRight w:val="0"/>
                      <w:marTop w:val="0"/>
                      <w:marBottom w:val="0"/>
                      <w:divBdr>
                        <w:top w:val="none" w:sz="0" w:space="0" w:color="auto"/>
                        <w:left w:val="none" w:sz="0" w:space="0" w:color="auto"/>
                        <w:bottom w:val="none" w:sz="0" w:space="0" w:color="auto"/>
                        <w:right w:val="none" w:sz="0" w:space="0" w:color="auto"/>
                      </w:divBdr>
                    </w:div>
                  </w:divsChild>
                </w:div>
                <w:div w:id="1125999598">
                  <w:marLeft w:val="0"/>
                  <w:marRight w:val="0"/>
                  <w:marTop w:val="0"/>
                  <w:marBottom w:val="0"/>
                  <w:divBdr>
                    <w:top w:val="none" w:sz="0" w:space="0" w:color="auto"/>
                    <w:left w:val="none" w:sz="0" w:space="0" w:color="auto"/>
                    <w:bottom w:val="none" w:sz="0" w:space="0" w:color="auto"/>
                    <w:right w:val="none" w:sz="0" w:space="0" w:color="auto"/>
                  </w:divBdr>
                  <w:divsChild>
                    <w:div w:id="485318411">
                      <w:marLeft w:val="0"/>
                      <w:marRight w:val="0"/>
                      <w:marTop w:val="0"/>
                      <w:marBottom w:val="0"/>
                      <w:divBdr>
                        <w:top w:val="none" w:sz="0" w:space="0" w:color="auto"/>
                        <w:left w:val="none" w:sz="0" w:space="0" w:color="auto"/>
                        <w:bottom w:val="none" w:sz="0" w:space="0" w:color="auto"/>
                        <w:right w:val="none" w:sz="0" w:space="0" w:color="auto"/>
                      </w:divBdr>
                    </w:div>
                  </w:divsChild>
                </w:div>
                <w:div w:id="1161239781">
                  <w:marLeft w:val="0"/>
                  <w:marRight w:val="0"/>
                  <w:marTop w:val="0"/>
                  <w:marBottom w:val="0"/>
                  <w:divBdr>
                    <w:top w:val="none" w:sz="0" w:space="0" w:color="auto"/>
                    <w:left w:val="none" w:sz="0" w:space="0" w:color="auto"/>
                    <w:bottom w:val="none" w:sz="0" w:space="0" w:color="auto"/>
                    <w:right w:val="none" w:sz="0" w:space="0" w:color="auto"/>
                  </w:divBdr>
                  <w:divsChild>
                    <w:div w:id="1135295100">
                      <w:marLeft w:val="0"/>
                      <w:marRight w:val="0"/>
                      <w:marTop w:val="0"/>
                      <w:marBottom w:val="0"/>
                      <w:divBdr>
                        <w:top w:val="none" w:sz="0" w:space="0" w:color="auto"/>
                        <w:left w:val="none" w:sz="0" w:space="0" w:color="auto"/>
                        <w:bottom w:val="none" w:sz="0" w:space="0" w:color="auto"/>
                        <w:right w:val="none" w:sz="0" w:space="0" w:color="auto"/>
                      </w:divBdr>
                    </w:div>
                  </w:divsChild>
                </w:div>
                <w:div w:id="1177577471">
                  <w:marLeft w:val="0"/>
                  <w:marRight w:val="0"/>
                  <w:marTop w:val="0"/>
                  <w:marBottom w:val="0"/>
                  <w:divBdr>
                    <w:top w:val="none" w:sz="0" w:space="0" w:color="auto"/>
                    <w:left w:val="none" w:sz="0" w:space="0" w:color="auto"/>
                    <w:bottom w:val="none" w:sz="0" w:space="0" w:color="auto"/>
                    <w:right w:val="none" w:sz="0" w:space="0" w:color="auto"/>
                  </w:divBdr>
                  <w:divsChild>
                    <w:div w:id="32577156">
                      <w:marLeft w:val="0"/>
                      <w:marRight w:val="0"/>
                      <w:marTop w:val="0"/>
                      <w:marBottom w:val="0"/>
                      <w:divBdr>
                        <w:top w:val="none" w:sz="0" w:space="0" w:color="auto"/>
                        <w:left w:val="none" w:sz="0" w:space="0" w:color="auto"/>
                        <w:bottom w:val="none" w:sz="0" w:space="0" w:color="auto"/>
                        <w:right w:val="none" w:sz="0" w:space="0" w:color="auto"/>
                      </w:divBdr>
                    </w:div>
                  </w:divsChild>
                </w:div>
                <w:div w:id="1200629553">
                  <w:marLeft w:val="0"/>
                  <w:marRight w:val="0"/>
                  <w:marTop w:val="0"/>
                  <w:marBottom w:val="0"/>
                  <w:divBdr>
                    <w:top w:val="none" w:sz="0" w:space="0" w:color="auto"/>
                    <w:left w:val="none" w:sz="0" w:space="0" w:color="auto"/>
                    <w:bottom w:val="none" w:sz="0" w:space="0" w:color="auto"/>
                    <w:right w:val="none" w:sz="0" w:space="0" w:color="auto"/>
                  </w:divBdr>
                  <w:divsChild>
                    <w:div w:id="1237324716">
                      <w:marLeft w:val="0"/>
                      <w:marRight w:val="0"/>
                      <w:marTop w:val="0"/>
                      <w:marBottom w:val="0"/>
                      <w:divBdr>
                        <w:top w:val="none" w:sz="0" w:space="0" w:color="auto"/>
                        <w:left w:val="none" w:sz="0" w:space="0" w:color="auto"/>
                        <w:bottom w:val="none" w:sz="0" w:space="0" w:color="auto"/>
                        <w:right w:val="none" w:sz="0" w:space="0" w:color="auto"/>
                      </w:divBdr>
                    </w:div>
                  </w:divsChild>
                </w:div>
                <w:div w:id="1243642028">
                  <w:marLeft w:val="0"/>
                  <w:marRight w:val="0"/>
                  <w:marTop w:val="0"/>
                  <w:marBottom w:val="0"/>
                  <w:divBdr>
                    <w:top w:val="none" w:sz="0" w:space="0" w:color="auto"/>
                    <w:left w:val="none" w:sz="0" w:space="0" w:color="auto"/>
                    <w:bottom w:val="none" w:sz="0" w:space="0" w:color="auto"/>
                    <w:right w:val="none" w:sz="0" w:space="0" w:color="auto"/>
                  </w:divBdr>
                  <w:divsChild>
                    <w:div w:id="94641793">
                      <w:marLeft w:val="0"/>
                      <w:marRight w:val="0"/>
                      <w:marTop w:val="0"/>
                      <w:marBottom w:val="0"/>
                      <w:divBdr>
                        <w:top w:val="none" w:sz="0" w:space="0" w:color="auto"/>
                        <w:left w:val="none" w:sz="0" w:space="0" w:color="auto"/>
                        <w:bottom w:val="none" w:sz="0" w:space="0" w:color="auto"/>
                        <w:right w:val="none" w:sz="0" w:space="0" w:color="auto"/>
                      </w:divBdr>
                    </w:div>
                  </w:divsChild>
                </w:div>
                <w:div w:id="1264412052">
                  <w:marLeft w:val="0"/>
                  <w:marRight w:val="0"/>
                  <w:marTop w:val="0"/>
                  <w:marBottom w:val="0"/>
                  <w:divBdr>
                    <w:top w:val="none" w:sz="0" w:space="0" w:color="auto"/>
                    <w:left w:val="none" w:sz="0" w:space="0" w:color="auto"/>
                    <w:bottom w:val="none" w:sz="0" w:space="0" w:color="auto"/>
                    <w:right w:val="none" w:sz="0" w:space="0" w:color="auto"/>
                  </w:divBdr>
                  <w:divsChild>
                    <w:div w:id="657852191">
                      <w:marLeft w:val="0"/>
                      <w:marRight w:val="0"/>
                      <w:marTop w:val="0"/>
                      <w:marBottom w:val="0"/>
                      <w:divBdr>
                        <w:top w:val="none" w:sz="0" w:space="0" w:color="auto"/>
                        <w:left w:val="none" w:sz="0" w:space="0" w:color="auto"/>
                        <w:bottom w:val="none" w:sz="0" w:space="0" w:color="auto"/>
                        <w:right w:val="none" w:sz="0" w:space="0" w:color="auto"/>
                      </w:divBdr>
                    </w:div>
                  </w:divsChild>
                </w:div>
                <w:div w:id="1320499750">
                  <w:marLeft w:val="0"/>
                  <w:marRight w:val="0"/>
                  <w:marTop w:val="0"/>
                  <w:marBottom w:val="0"/>
                  <w:divBdr>
                    <w:top w:val="none" w:sz="0" w:space="0" w:color="auto"/>
                    <w:left w:val="none" w:sz="0" w:space="0" w:color="auto"/>
                    <w:bottom w:val="none" w:sz="0" w:space="0" w:color="auto"/>
                    <w:right w:val="none" w:sz="0" w:space="0" w:color="auto"/>
                  </w:divBdr>
                  <w:divsChild>
                    <w:div w:id="1295722337">
                      <w:marLeft w:val="0"/>
                      <w:marRight w:val="0"/>
                      <w:marTop w:val="0"/>
                      <w:marBottom w:val="0"/>
                      <w:divBdr>
                        <w:top w:val="none" w:sz="0" w:space="0" w:color="auto"/>
                        <w:left w:val="none" w:sz="0" w:space="0" w:color="auto"/>
                        <w:bottom w:val="none" w:sz="0" w:space="0" w:color="auto"/>
                        <w:right w:val="none" w:sz="0" w:space="0" w:color="auto"/>
                      </w:divBdr>
                    </w:div>
                  </w:divsChild>
                </w:div>
                <w:div w:id="1354766365">
                  <w:marLeft w:val="0"/>
                  <w:marRight w:val="0"/>
                  <w:marTop w:val="0"/>
                  <w:marBottom w:val="0"/>
                  <w:divBdr>
                    <w:top w:val="none" w:sz="0" w:space="0" w:color="auto"/>
                    <w:left w:val="none" w:sz="0" w:space="0" w:color="auto"/>
                    <w:bottom w:val="none" w:sz="0" w:space="0" w:color="auto"/>
                    <w:right w:val="none" w:sz="0" w:space="0" w:color="auto"/>
                  </w:divBdr>
                  <w:divsChild>
                    <w:div w:id="302009735">
                      <w:marLeft w:val="0"/>
                      <w:marRight w:val="0"/>
                      <w:marTop w:val="0"/>
                      <w:marBottom w:val="0"/>
                      <w:divBdr>
                        <w:top w:val="none" w:sz="0" w:space="0" w:color="auto"/>
                        <w:left w:val="none" w:sz="0" w:space="0" w:color="auto"/>
                        <w:bottom w:val="none" w:sz="0" w:space="0" w:color="auto"/>
                        <w:right w:val="none" w:sz="0" w:space="0" w:color="auto"/>
                      </w:divBdr>
                    </w:div>
                  </w:divsChild>
                </w:div>
                <w:div w:id="1357929884">
                  <w:marLeft w:val="0"/>
                  <w:marRight w:val="0"/>
                  <w:marTop w:val="0"/>
                  <w:marBottom w:val="0"/>
                  <w:divBdr>
                    <w:top w:val="none" w:sz="0" w:space="0" w:color="auto"/>
                    <w:left w:val="none" w:sz="0" w:space="0" w:color="auto"/>
                    <w:bottom w:val="none" w:sz="0" w:space="0" w:color="auto"/>
                    <w:right w:val="none" w:sz="0" w:space="0" w:color="auto"/>
                  </w:divBdr>
                  <w:divsChild>
                    <w:div w:id="1178617346">
                      <w:marLeft w:val="0"/>
                      <w:marRight w:val="0"/>
                      <w:marTop w:val="0"/>
                      <w:marBottom w:val="0"/>
                      <w:divBdr>
                        <w:top w:val="none" w:sz="0" w:space="0" w:color="auto"/>
                        <w:left w:val="none" w:sz="0" w:space="0" w:color="auto"/>
                        <w:bottom w:val="none" w:sz="0" w:space="0" w:color="auto"/>
                        <w:right w:val="none" w:sz="0" w:space="0" w:color="auto"/>
                      </w:divBdr>
                    </w:div>
                  </w:divsChild>
                </w:div>
                <w:div w:id="1405685902">
                  <w:marLeft w:val="0"/>
                  <w:marRight w:val="0"/>
                  <w:marTop w:val="0"/>
                  <w:marBottom w:val="0"/>
                  <w:divBdr>
                    <w:top w:val="none" w:sz="0" w:space="0" w:color="auto"/>
                    <w:left w:val="none" w:sz="0" w:space="0" w:color="auto"/>
                    <w:bottom w:val="none" w:sz="0" w:space="0" w:color="auto"/>
                    <w:right w:val="none" w:sz="0" w:space="0" w:color="auto"/>
                  </w:divBdr>
                  <w:divsChild>
                    <w:div w:id="2058777023">
                      <w:marLeft w:val="0"/>
                      <w:marRight w:val="0"/>
                      <w:marTop w:val="0"/>
                      <w:marBottom w:val="0"/>
                      <w:divBdr>
                        <w:top w:val="none" w:sz="0" w:space="0" w:color="auto"/>
                        <w:left w:val="none" w:sz="0" w:space="0" w:color="auto"/>
                        <w:bottom w:val="none" w:sz="0" w:space="0" w:color="auto"/>
                        <w:right w:val="none" w:sz="0" w:space="0" w:color="auto"/>
                      </w:divBdr>
                    </w:div>
                  </w:divsChild>
                </w:div>
                <w:div w:id="1427533716">
                  <w:marLeft w:val="0"/>
                  <w:marRight w:val="0"/>
                  <w:marTop w:val="0"/>
                  <w:marBottom w:val="0"/>
                  <w:divBdr>
                    <w:top w:val="none" w:sz="0" w:space="0" w:color="auto"/>
                    <w:left w:val="none" w:sz="0" w:space="0" w:color="auto"/>
                    <w:bottom w:val="none" w:sz="0" w:space="0" w:color="auto"/>
                    <w:right w:val="none" w:sz="0" w:space="0" w:color="auto"/>
                  </w:divBdr>
                  <w:divsChild>
                    <w:div w:id="726074998">
                      <w:marLeft w:val="0"/>
                      <w:marRight w:val="0"/>
                      <w:marTop w:val="0"/>
                      <w:marBottom w:val="0"/>
                      <w:divBdr>
                        <w:top w:val="none" w:sz="0" w:space="0" w:color="auto"/>
                        <w:left w:val="none" w:sz="0" w:space="0" w:color="auto"/>
                        <w:bottom w:val="none" w:sz="0" w:space="0" w:color="auto"/>
                        <w:right w:val="none" w:sz="0" w:space="0" w:color="auto"/>
                      </w:divBdr>
                    </w:div>
                  </w:divsChild>
                </w:div>
                <w:div w:id="1502308660">
                  <w:marLeft w:val="0"/>
                  <w:marRight w:val="0"/>
                  <w:marTop w:val="0"/>
                  <w:marBottom w:val="0"/>
                  <w:divBdr>
                    <w:top w:val="none" w:sz="0" w:space="0" w:color="auto"/>
                    <w:left w:val="none" w:sz="0" w:space="0" w:color="auto"/>
                    <w:bottom w:val="none" w:sz="0" w:space="0" w:color="auto"/>
                    <w:right w:val="none" w:sz="0" w:space="0" w:color="auto"/>
                  </w:divBdr>
                  <w:divsChild>
                    <w:div w:id="408383158">
                      <w:marLeft w:val="0"/>
                      <w:marRight w:val="0"/>
                      <w:marTop w:val="0"/>
                      <w:marBottom w:val="0"/>
                      <w:divBdr>
                        <w:top w:val="none" w:sz="0" w:space="0" w:color="auto"/>
                        <w:left w:val="none" w:sz="0" w:space="0" w:color="auto"/>
                        <w:bottom w:val="none" w:sz="0" w:space="0" w:color="auto"/>
                        <w:right w:val="none" w:sz="0" w:space="0" w:color="auto"/>
                      </w:divBdr>
                    </w:div>
                  </w:divsChild>
                </w:div>
                <w:div w:id="1533108751">
                  <w:marLeft w:val="0"/>
                  <w:marRight w:val="0"/>
                  <w:marTop w:val="0"/>
                  <w:marBottom w:val="0"/>
                  <w:divBdr>
                    <w:top w:val="none" w:sz="0" w:space="0" w:color="auto"/>
                    <w:left w:val="none" w:sz="0" w:space="0" w:color="auto"/>
                    <w:bottom w:val="none" w:sz="0" w:space="0" w:color="auto"/>
                    <w:right w:val="none" w:sz="0" w:space="0" w:color="auto"/>
                  </w:divBdr>
                  <w:divsChild>
                    <w:div w:id="1792477514">
                      <w:marLeft w:val="0"/>
                      <w:marRight w:val="0"/>
                      <w:marTop w:val="0"/>
                      <w:marBottom w:val="0"/>
                      <w:divBdr>
                        <w:top w:val="none" w:sz="0" w:space="0" w:color="auto"/>
                        <w:left w:val="none" w:sz="0" w:space="0" w:color="auto"/>
                        <w:bottom w:val="none" w:sz="0" w:space="0" w:color="auto"/>
                        <w:right w:val="none" w:sz="0" w:space="0" w:color="auto"/>
                      </w:divBdr>
                    </w:div>
                  </w:divsChild>
                </w:div>
                <w:div w:id="1609577380">
                  <w:marLeft w:val="0"/>
                  <w:marRight w:val="0"/>
                  <w:marTop w:val="0"/>
                  <w:marBottom w:val="0"/>
                  <w:divBdr>
                    <w:top w:val="none" w:sz="0" w:space="0" w:color="auto"/>
                    <w:left w:val="none" w:sz="0" w:space="0" w:color="auto"/>
                    <w:bottom w:val="none" w:sz="0" w:space="0" w:color="auto"/>
                    <w:right w:val="none" w:sz="0" w:space="0" w:color="auto"/>
                  </w:divBdr>
                  <w:divsChild>
                    <w:div w:id="1328943845">
                      <w:marLeft w:val="0"/>
                      <w:marRight w:val="0"/>
                      <w:marTop w:val="0"/>
                      <w:marBottom w:val="0"/>
                      <w:divBdr>
                        <w:top w:val="none" w:sz="0" w:space="0" w:color="auto"/>
                        <w:left w:val="none" w:sz="0" w:space="0" w:color="auto"/>
                        <w:bottom w:val="none" w:sz="0" w:space="0" w:color="auto"/>
                        <w:right w:val="none" w:sz="0" w:space="0" w:color="auto"/>
                      </w:divBdr>
                    </w:div>
                  </w:divsChild>
                </w:div>
                <w:div w:id="1702440364">
                  <w:marLeft w:val="0"/>
                  <w:marRight w:val="0"/>
                  <w:marTop w:val="0"/>
                  <w:marBottom w:val="0"/>
                  <w:divBdr>
                    <w:top w:val="none" w:sz="0" w:space="0" w:color="auto"/>
                    <w:left w:val="none" w:sz="0" w:space="0" w:color="auto"/>
                    <w:bottom w:val="none" w:sz="0" w:space="0" w:color="auto"/>
                    <w:right w:val="none" w:sz="0" w:space="0" w:color="auto"/>
                  </w:divBdr>
                  <w:divsChild>
                    <w:div w:id="1176380184">
                      <w:marLeft w:val="0"/>
                      <w:marRight w:val="0"/>
                      <w:marTop w:val="0"/>
                      <w:marBottom w:val="0"/>
                      <w:divBdr>
                        <w:top w:val="none" w:sz="0" w:space="0" w:color="auto"/>
                        <w:left w:val="none" w:sz="0" w:space="0" w:color="auto"/>
                        <w:bottom w:val="none" w:sz="0" w:space="0" w:color="auto"/>
                        <w:right w:val="none" w:sz="0" w:space="0" w:color="auto"/>
                      </w:divBdr>
                    </w:div>
                  </w:divsChild>
                </w:div>
                <w:div w:id="1712922142">
                  <w:marLeft w:val="0"/>
                  <w:marRight w:val="0"/>
                  <w:marTop w:val="0"/>
                  <w:marBottom w:val="0"/>
                  <w:divBdr>
                    <w:top w:val="none" w:sz="0" w:space="0" w:color="auto"/>
                    <w:left w:val="none" w:sz="0" w:space="0" w:color="auto"/>
                    <w:bottom w:val="none" w:sz="0" w:space="0" w:color="auto"/>
                    <w:right w:val="none" w:sz="0" w:space="0" w:color="auto"/>
                  </w:divBdr>
                  <w:divsChild>
                    <w:div w:id="1064525293">
                      <w:marLeft w:val="0"/>
                      <w:marRight w:val="0"/>
                      <w:marTop w:val="0"/>
                      <w:marBottom w:val="0"/>
                      <w:divBdr>
                        <w:top w:val="none" w:sz="0" w:space="0" w:color="auto"/>
                        <w:left w:val="none" w:sz="0" w:space="0" w:color="auto"/>
                        <w:bottom w:val="none" w:sz="0" w:space="0" w:color="auto"/>
                        <w:right w:val="none" w:sz="0" w:space="0" w:color="auto"/>
                      </w:divBdr>
                    </w:div>
                  </w:divsChild>
                </w:div>
                <w:div w:id="1910847450">
                  <w:marLeft w:val="0"/>
                  <w:marRight w:val="0"/>
                  <w:marTop w:val="0"/>
                  <w:marBottom w:val="0"/>
                  <w:divBdr>
                    <w:top w:val="none" w:sz="0" w:space="0" w:color="auto"/>
                    <w:left w:val="none" w:sz="0" w:space="0" w:color="auto"/>
                    <w:bottom w:val="none" w:sz="0" w:space="0" w:color="auto"/>
                    <w:right w:val="none" w:sz="0" w:space="0" w:color="auto"/>
                  </w:divBdr>
                  <w:divsChild>
                    <w:div w:id="1228765008">
                      <w:marLeft w:val="0"/>
                      <w:marRight w:val="0"/>
                      <w:marTop w:val="0"/>
                      <w:marBottom w:val="0"/>
                      <w:divBdr>
                        <w:top w:val="none" w:sz="0" w:space="0" w:color="auto"/>
                        <w:left w:val="none" w:sz="0" w:space="0" w:color="auto"/>
                        <w:bottom w:val="none" w:sz="0" w:space="0" w:color="auto"/>
                        <w:right w:val="none" w:sz="0" w:space="0" w:color="auto"/>
                      </w:divBdr>
                    </w:div>
                  </w:divsChild>
                </w:div>
                <w:div w:id="1948653901">
                  <w:marLeft w:val="0"/>
                  <w:marRight w:val="0"/>
                  <w:marTop w:val="0"/>
                  <w:marBottom w:val="0"/>
                  <w:divBdr>
                    <w:top w:val="none" w:sz="0" w:space="0" w:color="auto"/>
                    <w:left w:val="none" w:sz="0" w:space="0" w:color="auto"/>
                    <w:bottom w:val="none" w:sz="0" w:space="0" w:color="auto"/>
                    <w:right w:val="none" w:sz="0" w:space="0" w:color="auto"/>
                  </w:divBdr>
                  <w:divsChild>
                    <w:div w:id="384917700">
                      <w:marLeft w:val="0"/>
                      <w:marRight w:val="0"/>
                      <w:marTop w:val="0"/>
                      <w:marBottom w:val="0"/>
                      <w:divBdr>
                        <w:top w:val="none" w:sz="0" w:space="0" w:color="auto"/>
                        <w:left w:val="none" w:sz="0" w:space="0" w:color="auto"/>
                        <w:bottom w:val="none" w:sz="0" w:space="0" w:color="auto"/>
                        <w:right w:val="none" w:sz="0" w:space="0" w:color="auto"/>
                      </w:divBdr>
                    </w:div>
                  </w:divsChild>
                </w:div>
                <w:div w:id="1954746196">
                  <w:marLeft w:val="0"/>
                  <w:marRight w:val="0"/>
                  <w:marTop w:val="0"/>
                  <w:marBottom w:val="0"/>
                  <w:divBdr>
                    <w:top w:val="none" w:sz="0" w:space="0" w:color="auto"/>
                    <w:left w:val="none" w:sz="0" w:space="0" w:color="auto"/>
                    <w:bottom w:val="none" w:sz="0" w:space="0" w:color="auto"/>
                    <w:right w:val="none" w:sz="0" w:space="0" w:color="auto"/>
                  </w:divBdr>
                  <w:divsChild>
                    <w:div w:id="841700317">
                      <w:marLeft w:val="0"/>
                      <w:marRight w:val="0"/>
                      <w:marTop w:val="0"/>
                      <w:marBottom w:val="0"/>
                      <w:divBdr>
                        <w:top w:val="none" w:sz="0" w:space="0" w:color="auto"/>
                        <w:left w:val="none" w:sz="0" w:space="0" w:color="auto"/>
                        <w:bottom w:val="none" w:sz="0" w:space="0" w:color="auto"/>
                        <w:right w:val="none" w:sz="0" w:space="0" w:color="auto"/>
                      </w:divBdr>
                    </w:div>
                  </w:divsChild>
                </w:div>
                <w:div w:id="1970354662">
                  <w:marLeft w:val="0"/>
                  <w:marRight w:val="0"/>
                  <w:marTop w:val="0"/>
                  <w:marBottom w:val="0"/>
                  <w:divBdr>
                    <w:top w:val="none" w:sz="0" w:space="0" w:color="auto"/>
                    <w:left w:val="none" w:sz="0" w:space="0" w:color="auto"/>
                    <w:bottom w:val="none" w:sz="0" w:space="0" w:color="auto"/>
                    <w:right w:val="none" w:sz="0" w:space="0" w:color="auto"/>
                  </w:divBdr>
                  <w:divsChild>
                    <w:div w:id="808672933">
                      <w:marLeft w:val="0"/>
                      <w:marRight w:val="0"/>
                      <w:marTop w:val="0"/>
                      <w:marBottom w:val="0"/>
                      <w:divBdr>
                        <w:top w:val="none" w:sz="0" w:space="0" w:color="auto"/>
                        <w:left w:val="none" w:sz="0" w:space="0" w:color="auto"/>
                        <w:bottom w:val="none" w:sz="0" w:space="0" w:color="auto"/>
                        <w:right w:val="none" w:sz="0" w:space="0" w:color="auto"/>
                      </w:divBdr>
                    </w:div>
                  </w:divsChild>
                </w:div>
                <w:div w:id="1988627113">
                  <w:marLeft w:val="0"/>
                  <w:marRight w:val="0"/>
                  <w:marTop w:val="0"/>
                  <w:marBottom w:val="0"/>
                  <w:divBdr>
                    <w:top w:val="none" w:sz="0" w:space="0" w:color="auto"/>
                    <w:left w:val="none" w:sz="0" w:space="0" w:color="auto"/>
                    <w:bottom w:val="none" w:sz="0" w:space="0" w:color="auto"/>
                    <w:right w:val="none" w:sz="0" w:space="0" w:color="auto"/>
                  </w:divBdr>
                  <w:divsChild>
                    <w:div w:id="1040281150">
                      <w:marLeft w:val="0"/>
                      <w:marRight w:val="0"/>
                      <w:marTop w:val="0"/>
                      <w:marBottom w:val="0"/>
                      <w:divBdr>
                        <w:top w:val="none" w:sz="0" w:space="0" w:color="auto"/>
                        <w:left w:val="none" w:sz="0" w:space="0" w:color="auto"/>
                        <w:bottom w:val="none" w:sz="0" w:space="0" w:color="auto"/>
                        <w:right w:val="none" w:sz="0" w:space="0" w:color="auto"/>
                      </w:divBdr>
                    </w:div>
                  </w:divsChild>
                </w:div>
                <w:div w:id="2107113901">
                  <w:marLeft w:val="0"/>
                  <w:marRight w:val="0"/>
                  <w:marTop w:val="0"/>
                  <w:marBottom w:val="0"/>
                  <w:divBdr>
                    <w:top w:val="none" w:sz="0" w:space="0" w:color="auto"/>
                    <w:left w:val="none" w:sz="0" w:space="0" w:color="auto"/>
                    <w:bottom w:val="none" w:sz="0" w:space="0" w:color="auto"/>
                    <w:right w:val="none" w:sz="0" w:space="0" w:color="auto"/>
                  </w:divBdr>
                  <w:divsChild>
                    <w:div w:id="1821995830">
                      <w:marLeft w:val="0"/>
                      <w:marRight w:val="0"/>
                      <w:marTop w:val="0"/>
                      <w:marBottom w:val="0"/>
                      <w:divBdr>
                        <w:top w:val="none" w:sz="0" w:space="0" w:color="auto"/>
                        <w:left w:val="none" w:sz="0" w:space="0" w:color="auto"/>
                        <w:bottom w:val="none" w:sz="0" w:space="0" w:color="auto"/>
                        <w:right w:val="none" w:sz="0" w:space="0" w:color="auto"/>
                      </w:divBdr>
                    </w:div>
                  </w:divsChild>
                </w:div>
                <w:div w:id="2127001534">
                  <w:marLeft w:val="0"/>
                  <w:marRight w:val="0"/>
                  <w:marTop w:val="0"/>
                  <w:marBottom w:val="0"/>
                  <w:divBdr>
                    <w:top w:val="none" w:sz="0" w:space="0" w:color="auto"/>
                    <w:left w:val="none" w:sz="0" w:space="0" w:color="auto"/>
                    <w:bottom w:val="none" w:sz="0" w:space="0" w:color="auto"/>
                    <w:right w:val="none" w:sz="0" w:space="0" w:color="auto"/>
                  </w:divBdr>
                  <w:divsChild>
                    <w:div w:id="204370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650361">
      <w:bodyDiv w:val="1"/>
      <w:marLeft w:val="0"/>
      <w:marRight w:val="0"/>
      <w:marTop w:val="0"/>
      <w:marBottom w:val="0"/>
      <w:divBdr>
        <w:top w:val="none" w:sz="0" w:space="0" w:color="auto"/>
        <w:left w:val="none" w:sz="0" w:space="0" w:color="auto"/>
        <w:bottom w:val="none" w:sz="0" w:space="0" w:color="auto"/>
        <w:right w:val="none" w:sz="0" w:space="0" w:color="auto"/>
      </w:divBdr>
      <w:divsChild>
        <w:div w:id="1113404222">
          <w:marLeft w:val="0"/>
          <w:marRight w:val="0"/>
          <w:marTop w:val="0"/>
          <w:marBottom w:val="0"/>
          <w:divBdr>
            <w:top w:val="none" w:sz="0" w:space="0" w:color="auto"/>
            <w:left w:val="none" w:sz="0" w:space="0" w:color="auto"/>
            <w:bottom w:val="none" w:sz="0" w:space="0" w:color="auto"/>
            <w:right w:val="none" w:sz="0" w:space="0" w:color="auto"/>
          </w:divBdr>
        </w:div>
      </w:divsChild>
    </w:div>
    <w:div w:id="1839348984">
      <w:bodyDiv w:val="1"/>
      <w:marLeft w:val="0"/>
      <w:marRight w:val="0"/>
      <w:marTop w:val="0"/>
      <w:marBottom w:val="0"/>
      <w:divBdr>
        <w:top w:val="none" w:sz="0" w:space="0" w:color="auto"/>
        <w:left w:val="none" w:sz="0" w:space="0" w:color="auto"/>
        <w:bottom w:val="none" w:sz="0" w:space="0" w:color="auto"/>
        <w:right w:val="none" w:sz="0" w:space="0" w:color="auto"/>
      </w:divBdr>
      <w:divsChild>
        <w:div w:id="829635824">
          <w:marLeft w:val="0"/>
          <w:marRight w:val="0"/>
          <w:marTop w:val="0"/>
          <w:marBottom w:val="0"/>
          <w:divBdr>
            <w:top w:val="none" w:sz="0" w:space="0" w:color="auto"/>
            <w:left w:val="none" w:sz="0" w:space="0" w:color="auto"/>
            <w:bottom w:val="none" w:sz="0" w:space="0" w:color="auto"/>
            <w:right w:val="none" w:sz="0" w:space="0" w:color="auto"/>
          </w:divBdr>
        </w:div>
      </w:divsChild>
    </w:div>
    <w:div w:id="1846242994">
      <w:bodyDiv w:val="1"/>
      <w:marLeft w:val="0"/>
      <w:marRight w:val="0"/>
      <w:marTop w:val="0"/>
      <w:marBottom w:val="0"/>
      <w:divBdr>
        <w:top w:val="none" w:sz="0" w:space="0" w:color="auto"/>
        <w:left w:val="none" w:sz="0" w:space="0" w:color="auto"/>
        <w:bottom w:val="none" w:sz="0" w:space="0" w:color="auto"/>
        <w:right w:val="none" w:sz="0" w:space="0" w:color="auto"/>
      </w:divBdr>
    </w:div>
    <w:div w:id="1864132450">
      <w:bodyDiv w:val="1"/>
      <w:marLeft w:val="0"/>
      <w:marRight w:val="0"/>
      <w:marTop w:val="0"/>
      <w:marBottom w:val="0"/>
      <w:divBdr>
        <w:top w:val="none" w:sz="0" w:space="0" w:color="auto"/>
        <w:left w:val="none" w:sz="0" w:space="0" w:color="auto"/>
        <w:bottom w:val="none" w:sz="0" w:space="0" w:color="auto"/>
        <w:right w:val="none" w:sz="0" w:space="0" w:color="auto"/>
      </w:divBdr>
      <w:divsChild>
        <w:div w:id="1624144292">
          <w:marLeft w:val="0"/>
          <w:marRight w:val="0"/>
          <w:marTop w:val="0"/>
          <w:marBottom w:val="0"/>
          <w:divBdr>
            <w:top w:val="none" w:sz="0" w:space="0" w:color="auto"/>
            <w:left w:val="none" w:sz="0" w:space="0" w:color="auto"/>
            <w:bottom w:val="none" w:sz="0" w:space="0" w:color="auto"/>
            <w:right w:val="none" w:sz="0" w:space="0" w:color="auto"/>
          </w:divBdr>
          <w:divsChild>
            <w:div w:id="118878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560203">
      <w:bodyDiv w:val="1"/>
      <w:marLeft w:val="0"/>
      <w:marRight w:val="0"/>
      <w:marTop w:val="0"/>
      <w:marBottom w:val="0"/>
      <w:divBdr>
        <w:top w:val="none" w:sz="0" w:space="0" w:color="auto"/>
        <w:left w:val="none" w:sz="0" w:space="0" w:color="auto"/>
        <w:bottom w:val="none" w:sz="0" w:space="0" w:color="auto"/>
        <w:right w:val="none" w:sz="0" w:space="0" w:color="auto"/>
      </w:divBdr>
      <w:divsChild>
        <w:div w:id="1757706678">
          <w:marLeft w:val="0"/>
          <w:marRight w:val="0"/>
          <w:marTop w:val="0"/>
          <w:marBottom w:val="0"/>
          <w:divBdr>
            <w:top w:val="none" w:sz="0" w:space="0" w:color="auto"/>
            <w:left w:val="none" w:sz="0" w:space="0" w:color="auto"/>
            <w:bottom w:val="none" w:sz="0" w:space="0" w:color="auto"/>
            <w:right w:val="none" w:sz="0" w:space="0" w:color="auto"/>
          </w:divBdr>
        </w:div>
      </w:divsChild>
    </w:div>
    <w:div w:id="1868635427">
      <w:bodyDiv w:val="1"/>
      <w:marLeft w:val="0"/>
      <w:marRight w:val="0"/>
      <w:marTop w:val="0"/>
      <w:marBottom w:val="0"/>
      <w:divBdr>
        <w:top w:val="none" w:sz="0" w:space="0" w:color="auto"/>
        <w:left w:val="none" w:sz="0" w:space="0" w:color="auto"/>
        <w:bottom w:val="none" w:sz="0" w:space="0" w:color="auto"/>
        <w:right w:val="none" w:sz="0" w:space="0" w:color="auto"/>
      </w:divBdr>
    </w:div>
    <w:div w:id="1881435362">
      <w:bodyDiv w:val="1"/>
      <w:marLeft w:val="0"/>
      <w:marRight w:val="0"/>
      <w:marTop w:val="0"/>
      <w:marBottom w:val="0"/>
      <w:divBdr>
        <w:top w:val="none" w:sz="0" w:space="0" w:color="auto"/>
        <w:left w:val="none" w:sz="0" w:space="0" w:color="auto"/>
        <w:bottom w:val="none" w:sz="0" w:space="0" w:color="auto"/>
        <w:right w:val="none" w:sz="0" w:space="0" w:color="auto"/>
      </w:divBdr>
      <w:divsChild>
        <w:div w:id="617755357">
          <w:marLeft w:val="0"/>
          <w:marRight w:val="0"/>
          <w:marTop w:val="0"/>
          <w:marBottom w:val="0"/>
          <w:divBdr>
            <w:top w:val="none" w:sz="0" w:space="0" w:color="auto"/>
            <w:left w:val="none" w:sz="0" w:space="0" w:color="auto"/>
            <w:bottom w:val="none" w:sz="0" w:space="0" w:color="auto"/>
            <w:right w:val="none" w:sz="0" w:space="0" w:color="auto"/>
          </w:divBdr>
          <w:divsChild>
            <w:div w:id="76527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364219">
      <w:bodyDiv w:val="1"/>
      <w:marLeft w:val="0"/>
      <w:marRight w:val="0"/>
      <w:marTop w:val="0"/>
      <w:marBottom w:val="0"/>
      <w:divBdr>
        <w:top w:val="none" w:sz="0" w:space="0" w:color="auto"/>
        <w:left w:val="none" w:sz="0" w:space="0" w:color="auto"/>
        <w:bottom w:val="none" w:sz="0" w:space="0" w:color="auto"/>
        <w:right w:val="none" w:sz="0" w:space="0" w:color="auto"/>
      </w:divBdr>
    </w:div>
    <w:div w:id="1896045117">
      <w:bodyDiv w:val="1"/>
      <w:marLeft w:val="0"/>
      <w:marRight w:val="0"/>
      <w:marTop w:val="0"/>
      <w:marBottom w:val="0"/>
      <w:divBdr>
        <w:top w:val="none" w:sz="0" w:space="0" w:color="auto"/>
        <w:left w:val="none" w:sz="0" w:space="0" w:color="auto"/>
        <w:bottom w:val="none" w:sz="0" w:space="0" w:color="auto"/>
        <w:right w:val="none" w:sz="0" w:space="0" w:color="auto"/>
      </w:divBdr>
      <w:divsChild>
        <w:div w:id="1880900138">
          <w:marLeft w:val="0"/>
          <w:marRight w:val="0"/>
          <w:marTop w:val="0"/>
          <w:marBottom w:val="0"/>
          <w:divBdr>
            <w:top w:val="none" w:sz="0" w:space="0" w:color="auto"/>
            <w:left w:val="none" w:sz="0" w:space="0" w:color="auto"/>
            <w:bottom w:val="none" w:sz="0" w:space="0" w:color="auto"/>
            <w:right w:val="none" w:sz="0" w:space="0" w:color="auto"/>
          </w:divBdr>
        </w:div>
      </w:divsChild>
    </w:div>
    <w:div w:id="1901938613">
      <w:bodyDiv w:val="1"/>
      <w:marLeft w:val="0"/>
      <w:marRight w:val="0"/>
      <w:marTop w:val="0"/>
      <w:marBottom w:val="0"/>
      <w:divBdr>
        <w:top w:val="none" w:sz="0" w:space="0" w:color="auto"/>
        <w:left w:val="none" w:sz="0" w:space="0" w:color="auto"/>
        <w:bottom w:val="none" w:sz="0" w:space="0" w:color="auto"/>
        <w:right w:val="none" w:sz="0" w:space="0" w:color="auto"/>
      </w:divBdr>
      <w:divsChild>
        <w:div w:id="386339654">
          <w:marLeft w:val="0"/>
          <w:marRight w:val="0"/>
          <w:marTop w:val="0"/>
          <w:marBottom w:val="0"/>
          <w:divBdr>
            <w:top w:val="none" w:sz="0" w:space="0" w:color="auto"/>
            <w:left w:val="none" w:sz="0" w:space="0" w:color="auto"/>
            <w:bottom w:val="none" w:sz="0" w:space="0" w:color="auto"/>
            <w:right w:val="none" w:sz="0" w:space="0" w:color="auto"/>
          </w:divBdr>
        </w:div>
      </w:divsChild>
    </w:div>
    <w:div w:id="1907296670">
      <w:bodyDiv w:val="1"/>
      <w:marLeft w:val="0"/>
      <w:marRight w:val="0"/>
      <w:marTop w:val="0"/>
      <w:marBottom w:val="0"/>
      <w:divBdr>
        <w:top w:val="none" w:sz="0" w:space="0" w:color="auto"/>
        <w:left w:val="none" w:sz="0" w:space="0" w:color="auto"/>
        <w:bottom w:val="none" w:sz="0" w:space="0" w:color="auto"/>
        <w:right w:val="none" w:sz="0" w:space="0" w:color="auto"/>
      </w:divBdr>
      <w:divsChild>
        <w:div w:id="1958413552">
          <w:marLeft w:val="0"/>
          <w:marRight w:val="0"/>
          <w:marTop w:val="0"/>
          <w:marBottom w:val="0"/>
          <w:divBdr>
            <w:top w:val="none" w:sz="0" w:space="0" w:color="auto"/>
            <w:left w:val="none" w:sz="0" w:space="0" w:color="auto"/>
            <w:bottom w:val="none" w:sz="0" w:space="0" w:color="auto"/>
            <w:right w:val="none" w:sz="0" w:space="0" w:color="auto"/>
          </w:divBdr>
        </w:div>
      </w:divsChild>
    </w:div>
    <w:div w:id="1920022450">
      <w:bodyDiv w:val="1"/>
      <w:marLeft w:val="0"/>
      <w:marRight w:val="0"/>
      <w:marTop w:val="0"/>
      <w:marBottom w:val="0"/>
      <w:divBdr>
        <w:top w:val="none" w:sz="0" w:space="0" w:color="auto"/>
        <w:left w:val="none" w:sz="0" w:space="0" w:color="auto"/>
        <w:bottom w:val="none" w:sz="0" w:space="0" w:color="auto"/>
        <w:right w:val="none" w:sz="0" w:space="0" w:color="auto"/>
      </w:divBdr>
    </w:div>
    <w:div w:id="1927957781">
      <w:bodyDiv w:val="1"/>
      <w:marLeft w:val="0"/>
      <w:marRight w:val="0"/>
      <w:marTop w:val="0"/>
      <w:marBottom w:val="0"/>
      <w:divBdr>
        <w:top w:val="none" w:sz="0" w:space="0" w:color="auto"/>
        <w:left w:val="none" w:sz="0" w:space="0" w:color="auto"/>
        <w:bottom w:val="none" w:sz="0" w:space="0" w:color="auto"/>
        <w:right w:val="none" w:sz="0" w:space="0" w:color="auto"/>
      </w:divBdr>
    </w:div>
    <w:div w:id="1930196095">
      <w:bodyDiv w:val="1"/>
      <w:marLeft w:val="0"/>
      <w:marRight w:val="0"/>
      <w:marTop w:val="0"/>
      <w:marBottom w:val="0"/>
      <w:divBdr>
        <w:top w:val="none" w:sz="0" w:space="0" w:color="auto"/>
        <w:left w:val="none" w:sz="0" w:space="0" w:color="auto"/>
        <w:bottom w:val="none" w:sz="0" w:space="0" w:color="auto"/>
        <w:right w:val="none" w:sz="0" w:space="0" w:color="auto"/>
      </w:divBdr>
      <w:divsChild>
        <w:div w:id="1683701227">
          <w:marLeft w:val="0"/>
          <w:marRight w:val="0"/>
          <w:marTop w:val="0"/>
          <w:marBottom w:val="0"/>
          <w:divBdr>
            <w:top w:val="none" w:sz="0" w:space="0" w:color="auto"/>
            <w:left w:val="none" w:sz="0" w:space="0" w:color="auto"/>
            <w:bottom w:val="none" w:sz="0" w:space="0" w:color="auto"/>
            <w:right w:val="none" w:sz="0" w:space="0" w:color="auto"/>
          </w:divBdr>
        </w:div>
      </w:divsChild>
    </w:div>
    <w:div w:id="1932466659">
      <w:bodyDiv w:val="1"/>
      <w:marLeft w:val="0"/>
      <w:marRight w:val="0"/>
      <w:marTop w:val="0"/>
      <w:marBottom w:val="0"/>
      <w:divBdr>
        <w:top w:val="none" w:sz="0" w:space="0" w:color="auto"/>
        <w:left w:val="none" w:sz="0" w:space="0" w:color="auto"/>
        <w:bottom w:val="none" w:sz="0" w:space="0" w:color="auto"/>
        <w:right w:val="none" w:sz="0" w:space="0" w:color="auto"/>
      </w:divBdr>
    </w:div>
    <w:div w:id="1936478338">
      <w:bodyDiv w:val="1"/>
      <w:marLeft w:val="0"/>
      <w:marRight w:val="0"/>
      <w:marTop w:val="0"/>
      <w:marBottom w:val="0"/>
      <w:divBdr>
        <w:top w:val="none" w:sz="0" w:space="0" w:color="auto"/>
        <w:left w:val="none" w:sz="0" w:space="0" w:color="auto"/>
        <w:bottom w:val="none" w:sz="0" w:space="0" w:color="auto"/>
        <w:right w:val="none" w:sz="0" w:space="0" w:color="auto"/>
      </w:divBdr>
    </w:div>
    <w:div w:id="1962686324">
      <w:bodyDiv w:val="1"/>
      <w:marLeft w:val="0"/>
      <w:marRight w:val="0"/>
      <w:marTop w:val="0"/>
      <w:marBottom w:val="0"/>
      <w:divBdr>
        <w:top w:val="none" w:sz="0" w:space="0" w:color="auto"/>
        <w:left w:val="none" w:sz="0" w:space="0" w:color="auto"/>
        <w:bottom w:val="none" w:sz="0" w:space="0" w:color="auto"/>
        <w:right w:val="none" w:sz="0" w:space="0" w:color="auto"/>
      </w:divBdr>
      <w:divsChild>
        <w:div w:id="651910187">
          <w:marLeft w:val="0"/>
          <w:marRight w:val="0"/>
          <w:marTop w:val="0"/>
          <w:marBottom w:val="0"/>
          <w:divBdr>
            <w:top w:val="none" w:sz="0" w:space="0" w:color="auto"/>
            <w:left w:val="none" w:sz="0" w:space="0" w:color="auto"/>
            <w:bottom w:val="none" w:sz="0" w:space="0" w:color="auto"/>
            <w:right w:val="none" w:sz="0" w:space="0" w:color="auto"/>
          </w:divBdr>
        </w:div>
      </w:divsChild>
    </w:div>
    <w:div w:id="1964919731">
      <w:bodyDiv w:val="1"/>
      <w:marLeft w:val="0"/>
      <w:marRight w:val="0"/>
      <w:marTop w:val="0"/>
      <w:marBottom w:val="0"/>
      <w:divBdr>
        <w:top w:val="none" w:sz="0" w:space="0" w:color="auto"/>
        <w:left w:val="none" w:sz="0" w:space="0" w:color="auto"/>
        <w:bottom w:val="none" w:sz="0" w:space="0" w:color="auto"/>
        <w:right w:val="none" w:sz="0" w:space="0" w:color="auto"/>
      </w:divBdr>
    </w:div>
    <w:div w:id="1971206569">
      <w:bodyDiv w:val="1"/>
      <w:marLeft w:val="0"/>
      <w:marRight w:val="0"/>
      <w:marTop w:val="0"/>
      <w:marBottom w:val="0"/>
      <w:divBdr>
        <w:top w:val="none" w:sz="0" w:space="0" w:color="auto"/>
        <w:left w:val="none" w:sz="0" w:space="0" w:color="auto"/>
        <w:bottom w:val="none" w:sz="0" w:space="0" w:color="auto"/>
        <w:right w:val="none" w:sz="0" w:space="0" w:color="auto"/>
      </w:divBdr>
      <w:divsChild>
        <w:div w:id="1640263298">
          <w:marLeft w:val="0"/>
          <w:marRight w:val="0"/>
          <w:marTop w:val="0"/>
          <w:marBottom w:val="0"/>
          <w:divBdr>
            <w:top w:val="none" w:sz="0" w:space="0" w:color="auto"/>
            <w:left w:val="none" w:sz="0" w:space="0" w:color="auto"/>
            <w:bottom w:val="none" w:sz="0" w:space="0" w:color="auto"/>
            <w:right w:val="none" w:sz="0" w:space="0" w:color="auto"/>
          </w:divBdr>
          <w:divsChild>
            <w:div w:id="77983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11306">
      <w:bodyDiv w:val="1"/>
      <w:marLeft w:val="0"/>
      <w:marRight w:val="0"/>
      <w:marTop w:val="0"/>
      <w:marBottom w:val="0"/>
      <w:divBdr>
        <w:top w:val="none" w:sz="0" w:space="0" w:color="auto"/>
        <w:left w:val="none" w:sz="0" w:space="0" w:color="auto"/>
        <w:bottom w:val="none" w:sz="0" w:space="0" w:color="auto"/>
        <w:right w:val="none" w:sz="0" w:space="0" w:color="auto"/>
      </w:divBdr>
    </w:div>
    <w:div w:id="1992757082">
      <w:bodyDiv w:val="1"/>
      <w:marLeft w:val="0"/>
      <w:marRight w:val="0"/>
      <w:marTop w:val="0"/>
      <w:marBottom w:val="0"/>
      <w:divBdr>
        <w:top w:val="none" w:sz="0" w:space="0" w:color="auto"/>
        <w:left w:val="none" w:sz="0" w:space="0" w:color="auto"/>
        <w:bottom w:val="none" w:sz="0" w:space="0" w:color="auto"/>
        <w:right w:val="none" w:sz="0" w:space="0" w:color="auto"/>
      </w:divBdr>
    </w:div>
    <w:div w:id="2020307944">
      <w:bodyDiv w:val="1"/>
      <w:marLeft w:val="0"/>
      <w:marRight w:val="0"/>
      <w:marTop w:val="0"/>
      <w:marBottom w:val="0"/>
      <w:divBdr>
        <w:top w:val="none" w:sz="0" w:space="0" w:color="auto"/>
        <w:left w:val="none" w:sz="0" w:space="0" w:color="auto"/>
        <w:bottom w:val="none" w:sz="0" w:space="0" w:color="auto"/>
        <w:right w:val="none" w:sz="0" w:space="0" w:color="auto"/>
      </w:divBdr>
      <w:divsChild>
        <w:div w:id="2102098562">
          <w:marLeft w:val="0"/>
          <w:marRight w:val="0"/>
          <w:marTop w:val="0"/>
          <w:marBottom w:val="0"/>
          <w:divBdr>
            <w:top w:val="none" w:sz="0" w:space="0" w:color="auto"/>
            <w:left w:val="none" w:sz="0" w:space="0" w:color="auto"/>
            <w:bottom w:val="none" w:sz="0" w:space="0" w:color="auto"/>
            <w:right w:val="none" w:sz="0" w:space="0" w:color="auto"/>
          </w:divBdr>
        </w:div>
      </w:divsChild>
    </w:div>
    <w:div w:id="2027632653">
      <w:bodyDiv w:val="1"/>
      <w:marLeft w:val="0"/>
      <w:marRight w:val="0"/>
      <w:marTop w:val="0"/>
      <w:marBottom w:val="0"/>
      <w:divBdr>
        <w:top w:val="none" w:sz="0" w:space="0" w:color="auto"/>
        <w:left w:val="none" w:sz="0" w:space="0" w:color="auto"/>
        <w:bottom w:val="none" w:sz="0" w:space="0" w:color="auto"/>
        <w:right w:val="none" w:sz="0" w:space="0" w:color="auto"/>
      </w:divBdr>
    </w:div>
    <w:div w:id="2034768922">
      <w:bodyDiv w:val="1"/>
      <w:marLeft w:val="0"/>
      <w:marRight w:val="0"/>
      <w:marTop w:val="0"/>
      <w:marBottom w:val="0"/>
      <w:divBdr>
        <w:top w:val="none" w:sz="0" w:space="0" w:color="auto"/>
        <w:left w:val="none" w:sz="0" w:space="0" w:color="auto"/>
        <w:bottom w:val="none" w:sz="0" w:space="0" w:color="auto"/>
        <w:right w:val="none" w:sz="0" w:space="0" w:color="auto"/>
      </w:divBdr>
      <w:divsChild>
        <w:div w:id="2093967736">
          <w:marLeft w:val="0"/>
          <w:marRight w:val="0"/>
          <w:marTop w:val="0"/>
          <w:marBottom w:val="0"/>
          <w:divBdr>
            <w:top w:val="none" w:sz="0" w:space="0" w:color="auto"/>
            <w:left w:val="none" w:sz="0" w:space="0" w:color="auto"/>
            <w:bottom w:val="none" w:sz="0" w:space="0" w:color="auto"/>
            <w:right w:val="none" w:sz="0" w:space="0" w:color="auto"/>
          </w:divBdr>
          <w:divsChild>
            <w:div w:id="4568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844760">
      <w:bodyDiv w:val="1"/>
      <w:marLeft w:val="0"/>
      <w:marRight w:val="0"/>
      <w:marTop w:val="0"/>
      <w:marBottom w:val="0"/>
      <w:divBdr>
        <w:top w:val="none" w:sz="0" w:space="0" w:color="auto"/>
        <w:left w:val="none" w:sz="0" w:space="0" w:color="auto"/>
        <w:bottom w:val="none" w:sz="0" w:space="0" w:color="auto"/>
        <w:right w:val="none" w:sz="0" w:space="0" w:color="auto"/>
      </w:divBdr>
    </w:div>
    <w:div w:id="2042313829">
      <w:bodyDiv w:val="1"/>
      <w:marLeft w:val="0"/>
      <w:marRight w:val="0"/>
      <w:marTop w:val="0"/>
      <w:marBottom w:val="0"/>
      <w:divBdr>
        <w:top w:val="none" w:sz="0" w:space="0" w:color="auto"/>
        <w:left w:val="none" w:sz="0" w:space="0" w:color="auto"/>
        <w:bottom w:val="none" w:sz="0" w:space="0" w:color="auto"/>
        <w:right w:val="none" w:sz="0" w:space="0" w:color="auto"/>
      </w:divBdr>
      <w:divsChild>
        <w:div w:id="1277373236">
          <w:marLeft w:val="0"/>
          <w:marRight w:val="0"/>
          <w:marTop w:val="0"/>
          <w:marBottom w:val="0"/>
          <w:divBdr>
            <w:top w:val="none" w:sz="0" w:space="0" w:color="auto"/>
            <w:left w:val="none" w:sz="0" w:space="0" w:color="auto"/>
            <w:bottom w:val="none" w:sz="0" w:space="0" w:color="auto"/>
            <w:right w:val="none" w:sz="0" w:space="0" w:color="auto"/>
          </w:divBdr>
        </w:div>
        <w:div w:id="1693533751">
          <w:marLeft w:val="0"/>
          <w:marRight w:val="0"/>
          <w:marTop w:val="0"/>
          <w:marBottom w:val="0"/>
          <w:divBdr>
            <w:top w:val="none" w:sz="0" w:space="0" w:color="auto"/>
            <w:left w:val="none" w:sz="0" w:space="0" w:color="auto"/>
            <w:bottom w:val="none" w:sz="0" w:space="0" w:color="auto"/>
            <w:right w:val="none" w:sz="0" w:space="0" w:color="auto"/>
          </w:divBdr>
        </w:div>
      </w:divsChild>
    </w:div>
    <w:div w:id="2048141188">
      <w:bodyDiv w:val="1"/>
      <w:marLeft w:val="0"/>
      <w:marRight w:val="0"/>
      <w:marTop w:val="0"/>
      <w:marBottom w:val="0"/>
      <w:divBdr>
        <w:top w:val="none" w:sz="0" w:space="0" w:color="auto"/>
        <w:left w:val="none" w:sz="0" w:space="0" w:color="auto"/>
        <w:bottom w:val="none" w:sz="0" w:space="0" w:color="auto"/>
        <w:right w:val="none" w:sz="0" w:space="0" w:color="auto"/>
      </w:divBdr>
      <w:divsChild>
        <w:div w:id="51318481">
          <w:marLeft w:val="0"/>
          <w:marRight w:val="0"/>
          <w:marTop w:val="0"/>
          <w:marBottom w:val="0"/>
          <w:divBdr>
            <w:top w:val="none" w:sz="0" w:space="0" w:color="auto"/>
            <w:left w:val="none" w:sz="0" w:space="0" w:color="auto"/>
            <w:bottom w:val="none" w:sz="0" w:space="0" w:color="auto"/>
            <w:right w:val="none" w:sz="0" w:space="0" w:color="auto"/>
          </w:divBdr>
        </w:div>
      </w:divsChild>
    </w:div>
    <w:div w:id="2048479598">
      <w:bodyDiv w:val="1"/>
      <w:marLeft w:val="0"/>
      <w:marRight w:val="0"/>
      <w:marTop w:val="0"/>
      <w:marBottom w:val="0"/>
      <w:divBdr>
        <w:top w:val="none" w:sz="0" w:space="0" w:color="auto"/>
        <w:left w:val="none" w:sz="0" w:space="0" w:color="auto"/>
        <w:bottom w:val="none" w:sz="0" w:space="0" w:color="auto"/>
        <w:right w:val="none" w:sz="0" w:space="0" w:color="auto"/>
      </w:divBdr>
      <w:divsChild>
        <w:div w:id="1444035972">
          <w:marLeft w:val="0"/>
          <w:marRight w:val="0"/>
          <w:marTop w:val="0"/>
          <w:marBottom w:val="0"/>
          <w:divBdr>
            <w:top w:val="none" w:sz="0" w:space="0" w:color="auto"/>
            <w:left w:val="none" w:sz="0" w:space="0" w:color="auto"/>
            <w:bottom w:val="none" w:sz="0" w:space="0" w:color="auto"/>
            <w:right w:val="none" w:sz="0" w:space="0" w:color="auto"/>
          </w:divBdr>
        </w:div>
      </w:divsChild>
    </w:div>
    <w:div w:id="2060854251">
      <w:bodyDiv w:val="1"/>
      <w:marLeft w:val="0"/>
      <w:marRight w:val="0"/>
      <w:marTop w:val="0"/>
      <w:marBottom w:val="0"/>
      <w:divBdr>
        <w:top w:val="none" w:sz="0" w:space="0" w:color="auto"/>
        <w:left w:val="none" w:sz="0" w:space="0" w:color="auto"/>
        <w:bottom w:val="none" w:sz="0" w:space="0" w:color="auto"/>
        <w:right w:val="none" w:sz="0" w:space="0" w:color="auto"/>
      </w:divBdr>
      <w:divsChild>
        <w:div w:id="542787338">
          <w:marLeft w:val="0"/>
          <w:marRight w:val="0"/>
          <w:marTop w:val="0"/>
          <w:marBottom w:val="0"/>
          <w:divBdr>
            <w:top w:val="none" w:sz="0" w:space="0" w:color="auto"/>
            <w:left w:val="none" w:sz="0" w:space="0" w:color="auto"/>
            <w:bottom w:val="none" w:sz="0" w:space="0" w:color="auto"/>
            <w:right w:val="none" w:sz="0" w:space="0" w:color="auto"/>
          </w:divBdr>
        </w:div>
        <w:div w:id="1796945086">
          <w:marLeft w:val="0"/>
          <w:marRight w:val="0"/>
          <w:marTop w:val="0"/>
          <w:marBottom w:val="0"/>
          <w:divBdr>
            <w:top w:val="none" w:sz="0" w:space="0" w:color="auto"/>
            <w:left w:val="none" w:sz="0" w:space="0" w:color="auto"/>
            <w:bottom w:val="none" w:sz="0" w:space="0" w:color="auto"/>
            <w:right w:val="none" w:sz="0" w:space="0" w:color="auto"/>
          </w:divBdr>
        </w:div>
      </w:divsChild>
    </w:div>
    <w:div w:id="2071151015">
      <w:bodyDiv w:val="1"/>
      <w:marLeft w:val="0"/>
      <w:marRight w:val="0"/>
      <w:marTop w:val="0"/>
      <w:marBottom w:val="0"/>
      <w:divBdr>
        <w:top w:val="none" w:sz="0" w:space="0" w:color="auto"/>
        <w:left w:val="none" w:sz="0" w:space="0" w:color="auto"/>
        <w:bottom w:val="none" w:sz="0" w:space="0" w:color="auto"/>
        <w:right w:val="none" w:sz="0" w:space="0" w:color="auto"/>
      </w:divBdr>
    </w:div>
    <w:div w:id="2076269433">
      <w:bodyDiv w:val="1"/>
      <w:marLeft w:val="0"/>
      <w:marRight w:val="0"/>
      <w:marTop w:val="0"/>
      <w:marBottom w:val="0"/>
      <w:divBdr>
        <w:top w:val="none" w:sz="0" w:space="0" w:color="auto"/>
        <w:left w:val="none" w:sz="0" w:space="0" w:color="auto"/>
        <w:bottom w:val="none" w:sz="0" w:space="0" w:color="auto"/>
        <w:right w:val="none" w:sz="0" w:space="0" w:color="auto"/>
      </w:divBdr>
    </w:div>
    <w:div w:id="2087608806">
      <w:bodyDiv w:val="1"/>
      <w:marLeft w:val="0"/>
      <w:marRight w:val="0"/>
      <w:marTop w:val="0"/>
      <w:marBottom w:val="0"/>
      <w:divBdr>
        <w:top w:val="none" w:sz="0" w:space="0" w:color="auto"/>
        <w:left w:val="none" w:sz="0" w:space="0" w:color="auto"/>
        <w:bottom w:val="none" w:sz="0" w:space="0" w:color="auto"/>
        <w:right w:val="none" w:sz="0" w:space="0" w:color="auto"/>
      </w:divBdr>
      <w:divsChild>
        <w:div w:id="330179326">
          <w:marLeft w:val="0"/>
          <w:marRight w:val="0"/>
          <w:marTop w:val="0"/>
          <w:marBottom w:val="0"/>
          <w:divBdr>
            <w:top w:val="none" w:sz="0" w:space="0" w:color="auto"/>
            <w:left w:val="none" w:sz="0" w:space="0" w:color="auto"/>
            <w:bottom w:val="none" w:sz="0" w:space="0" w:color="auto"/>
            <w:right w:val="none" w:sz="0" w:space="0" w:color="auto"/>
          </w:divBdr>
          <w:divsChild>
            <w:div w:id="1959949254">
              <w:marLeft w:val="0"/>
              <w:marRight w:val="0"/>
              <w:marTop w:val="30"/>
              <w:marBottom w:val="30"/>
              <w:divBdr>
                <w:top w:val="none" w:sz="0" w:space="0" w:color="auto"/>
                <w:left w:val="none" w:sz="0" w:space="0" w:color="auto"/>
                <w:bottom w:val="none" w:sz="0" w:space="0" w:color="auto"/>
                <w:right w:val="none" w:sz="0" w:space="0" w:color="auto"/>
              </w:divBdr>
              <w:divsChild>
                <w:div w:id="13195958">
                  <w:marLeft w:val="0"/>
                  <w:marRight w:val="0"/>
                  <w:marTop w:val="0"/>
                  <w:marBottom w:val="0"/>
                  <w:divBdr>
                    <w:top w:val="none" w:sz="0" w:space="0" w:color="auto"/>
                    <w:left w:val="none" w:sz="0" w:space="0" w:color="auto"/>
                    <w:bottom w:val="none" w:sz="0" w:space="0" w:color="auto"/>
                    <w:right w:val="none" w:sz="0" w:space="0" w:color="auto"/>
                  </w:divBdr>
                  <w:divsChild>
                    <w:div w:id="564872887">
                      <w:marLeft w:val="0"/>
                      <w:marRight w:val="0"/>
                      <w:marTop w:val="0"/>
                      <w:marBottom w:val="0"/>
                      <w:divBdr>
                        <w:top w:val="none" w:sz="0" w:space="0" w:color="auto"/>
                        <w:left w:val="none" w:sz="0" w:space="0" w:color="auto"/>
                        <w:bottom w:val="none" w:sz="0" w:space="0" w:color="auto"/>
                        <w:right w:val="none" w:sz="0" w:space="0" w:color="auto"/>
                      </w:divBdr>
                    </w:div>
                  </w:divsChild>
                </w:div>
                <w:div w:id="44180694">
                  <w:marLeft w:val="0"/>
                  <w:marRight w:val="0"/>
                  <w:marTop w:val="0"/>
                  <w:marBottom w:val="0"/>
                  <w:divBdr>
                    <w:top w:val="none" w:sz="0" w:space="0" w:color="auto"/>
                    <w:left w:val="none" w:sz="0" w:space="0" w:color="auto"/>
                    <w:bottom w:val="none" w:sz="0" w:space="0" w:color="auto"/>
                    <w:right w:val="none" w:sz="0" w:space="0" w:color="auto"/>
                  </w:divBdr>
                  <w:divsChild>
                    <w:div w:id="692414401">
                      <w:marLeft w:val="0"/>
                      <w:marRight w:val="0"/>
                      <w:marTop w:val="0"/>
                      <w:marBottom w:val="0"/>
                      <w:divBdr>
                        <w:top w:val="none" w:sz="0" w:space="0" w:color="auto"/>
                        <w:left w:val="none" w:sz="0" w:space="0" w:color="auto"/>
                        <w:bottom w:val="none" w:sz="0" w:space="0" w:color="auto"/>
                        <w:right w:val="none" w:sz="0" w:space="0" w:color="auto"/>
                      </w:divBdr>
                    </w:div>
                  </w:divsChild>
                </w:div>
                <w:div w:id="50423495">
                  <w:marLeft w:val="0"/>
                  <w:marRight w:val="0"/>
                  <w:marTop w:val="0"/>
                  <w:marBottom w:val="0"/>
                  <w:divBdr>
                    <w:top w:val="none" w:sz="0" w:space="0" w:color="auto"/>
                    <w:left w:val="none" w:sz="0" w:space="0" w:color="auto"/>
                    <w:bottom w:val="none" w:sz="0" w:space="0" w:color="auto"/>
                    <w:right w:val="none" w:sz="0" w:space="0" w:color="auto"/>
                  </w:divBdr>
                  <w:divsChild>
                    <w:div w:id="710227518">
                      <w:marLeft w:val="0"/>
                      <w:marRight w:val="0"/>
                      <w:marTop w:val="0"/>
                      <w:marBottom w:val="0"/>
                      <w:divBdr>
                        <w:top w:val="none" w:sz="0" w:space="0" w:color="auto"/>
                        <w:left w:val="none" w:sz="0" w:space="0" w:color="auto"/>
                        <w:bottom w:val="none" w:sz="0" w:space="0" w:color="auto"/>
                        <w:right w:val="none" w:sz="0" w:space="0" w:color="auto"/>
                      </w:divBdr>
                    </w:div>
                  </w:divsChild>
                </w:div>
                <w:div w:id="67769839">
                  <w:marLeft w:val="0"/>
                  <w:marRight w:val="0"/>
                  <w:marTop w:val="0"/>
                  <w:marBottom w:val="0"/>
                  <w:divBdr>
                    <w:top w:val="none" w:sz="0" w:space="0" w:color="auto"/>
                    <w:left w:val="none" w:sz="0" w:space="0" w:color="auto"/>
                    <w:bottom w:val="none" w:sz="0" w:space="0" w:color="auto"/>
                    <w:right w:val="none" w:sz="0" w:space="0" w:color="auto"/>
                  </w:divBdr>
                  <w:divsChild>
                    <w:div w:id="1579098451">
                      <w:marLeft w:val="0"/>
                      <w:marRight w:val="0"/>
                      <w:marTop w:val="0"/>
                      <w:marBottom w:val="0"/>
                      <w:divBdr>
                        <w:top w:val="none" w:sz="0" w:space="0" w:color="auto"/>
                        <w:left w:val="none" w:sz="0" w:space="0" w:color="auto"/>
                        <w:bottom w:val="none" w:sz="0" w:space="0" w:color="auto"/>
                        <w:right w:val="none" w:sz="0" w:space="0" w:color="auto"/>
                      </w:divBdr>
                    </w:div>
                  </w:divsChild>
                </w:div>
                <w:div w:id="103766609">
                  <w:marLeft w:val="0"/>
                  <w:marRight w:val="0"/>
                  <w:marTop w:val="0"/>
                  <w:marBottom w:val="0"/>
                  <w:divBdr>
                    <w:top w:val="none" w:sz="0" w:space="0" w:color="auto"/>
                    <w:left w:val="none" w:sz="0" w:space="0" w:color="auto"/>
                    <w:bottom w:val="none" w:sz="0" w:space="0" w:color="auto"/>
                    <w:right w:val="none" w:sz="0" w:space="0" w:color="auto"/>
                  </w:divBdr>
                  <w:divsChild>
                    <w:div w:id="784614048">
                      <w:marLeft w:val="0"/>
                      <w:marRight w:val="0"/>
                      <w:marTop w:val="0"/>
                      <w:marBottom w:val="0"/>
                      <w:divBdr>
                        <w:top w:val="none" w:sz="0" w:space="0" w:color="auto"/>
                        <w:left w:val="none" w:sz="0" w:space="0" w:color="auto"/>
                        <w:bottom w:val="none" w:sz="0" w:space="0" w:color="auto"/>
                        <w:right w:val="none" w:sz="0" w:space="0" w:color="auto"/>
                      </w:divBdr>
                    </w:div>
                  </w:divsChild>
                </w:div>
                <w:div w:id="107509436">
                  <w:marLeft w:val="0"/>
                  <w:marRight w:val="0"/>
                  <w:marTop w:val="0"/>
                  <w:marBottom w:val="0"/>
                  <w:divBdr>
                    <w:top w:val="none" w:sz="0" w:space="0" w:color="auto"/>
                    <w:left w:val="none" w:sz="0" w:space="0" w:color="auto"/>
                    <w:bottom w:val="none" w:sz="0" w:space="0" w:color="auto"/>
                    <w:right w:val="none" w:sz="0" w:space="0" w:color="auto"/>
                  </w:divBdr>
                  <w:divsChild>
                    <w:div w:id="2137260743">
                      <w:marLeft w:val="0"/>
                      <w:marRight w:val="0"/>
                      <w:marTop w:val="0"/>
                      <w:marBottom w:val="0"/>
                      <w:divBdr>
                        <w:top w:val="none" w:sz="0" w:space="0" w:color="auto"/>
                        <w:left w:val="none" w:sz="0" w:space="0" w:color="auto"/>
                        <w:bottom w:val="none" w:sz="0" w:space="0" w:color="auto"/>
                        <w:right w:val="none" w:sz="0" w:space="0" w:color="auto"/>
                      </w:divBdr>
                    </w:div>
                  </w:divsChild>
                </w:div>
                <w:div w:id="177693901">
                  <w:marLeft w:val="0"/>
                  <w:marRight w:val="0"/>
                  <w:marTop w:val="0"/>
                  <w:marBottom w:val="0"/>
                  <w:divBdr>
                    <w:top w:val="none" w:sz="0" w:space="0" w:color="auto"/>
                    <w:left w:val="none" w:sz="0" w:space="0" w:color="auto"/>
                    <w:bottom w:val="none" w:sz="0" w:space="0" w:color="auto"/>
                    <w:right w:val="none" w:sz="0" w:space="0" w:color="auto"/>
                  </w:divBdr>
                  <w:divsChild>
                    <w:div w:id="67508453">
                      <w:marLeft w:val="0"/>
                      <w:marRight w:val="0"/>
                      <w:marTop w:val="0"/>
                      <w:marBottom w:val="0"/>
                      <w:divBdr>
                        <w:top w:val="none" w:sz="0" w:space="0" w:color="auto"/>
                        <w:left w:val="none" w:sz="0" w:space="0" w:color="auto"/>
                        <w:bottom w:val="none" w:sz="0" w:space="0" w:color="auto"/>
                        <w:right w:val="none" w:sz="0" w:space="0" w:color="auto"/>
                      </w:divBdr>
                    </w:div>
                  </w:divsChild>
                </w:div>
                <w:div w:id="194271329">
                  <w:marLeft w:val="0"/>
                  <w:marRight w:val="0"/>
                  <w:marTop w:val="0"/>
                  <w:marBottom w:val="0"/>
                  <w:divBdr>
                    <w:top w:val="none" w:sz="0" w:space="0" w:color="auto"/>
                    <w:left w:val="none" w:sz="0" w:space="0" w:color="auto"/>
                    <w:bottom w:val="none" w:sz="0" w:space="0" w:color="auto"/>
                    <w:right w:val="none" w:sz="0" w:space="0" w:color="auto"/>
                  </w:divBdr>
                  <w:divsChild>
                    <w:div w:id="1422218753">
                      <w:marLeft w:val="0"/>
                      <w:marRight w:val="0"/>
                      <w:marTop w:val="0"/>
                      <w:marBottom w:val="0"/>
                      <w:divBdr>
                        <w:top w:val="none" w:sz="0" w:space="0" w:color="auto"/>
                        <w:left w:val="none" w:sz="0" w:space="0" w:color="auto"/>
                        <w:bottom w:val="none" w:sz="0" w:space="0" w:color="auto"/>
                        <w:right w:val="none" w:sz="0" w:space="0" w:color="auto"/>
                      </w:divBdr>
                    </w:div>
                  </w:divsChild>
                </w:div>
                <w:div w:id="201600352">
                  <w:marLeft w:val="0"/>
                  <w:marRight w:val="0"/>
                  <w:marTop w:val="0"/>
                  <w:marBottom w:val="0"/>
                  <w:divBdr>
                    <w:top w:val="none" w:sz="0" w:space="0" w:color="auto"/>
                    <w:left w:val="none" w:sz="0" w:space="0" w:color="auto"/>
                    <w:bottom w:val="none" w:sz="0" w:space="0" w:color="auto"/>
                    <w:right w:val="none" w:sz="0" w:space="0" w:color="auto"/>
                  </w:divBdr>
                  <w:divsChild>
                    <w:div w:id="856384940">
                      <w:marLeft w:val="0"/>
                      <w:marRight w:val="0"/>
                      <w:marTop w:val="0"/>
                      <w:marBottom w:val="0"/>
                      <w:divBdr>
                        <w:top w:val="none" w:sz="0" w:space="0" w:color="auto"/>
                        <w:left w:val="none" w:sz="0" w:space="0" w:color="auto"/>
                        <w:bottom w:val="none" w:sz="0" w:space="0" w:color="auto"/>
                        <w:right w:val="none" w:sz="0" w:space="0" w:color="auto"/>
                      </w:divBdr>
                    </w:div>
                  </w:divsChild>
                </w:div>
                <w:div w:id="205533725">
                  <w:marLeft w:val="0"/>
                  <w:marRight w:val="0"/>
                  <w:marTop w:val="0"/>
                  <w:marBottom w:val="0"/>
                  <w:divBdr>
                    <w:top w:val="none" w:sz="0" w:space="0" w:color="auto"/>
                    <w:left w:val="none" w:sz="0" w:space="0" w:color="auto"/>
                    <w:bottom w:val="none" w:sz="0" w:space="0" w:color="auto"/>
                    <w:right w:val="none" w:sz="0" w:space="0" w:color="auto"/>
                  </w:divBdr>
                  <w:divsChild>
                    <w:div w:id="597640878">
                      <w:marLeft w:val="0"/>
                      <w:marRight w:val="0"/>
                      <w:marTop w:val="0"/>
                      <w:marBottom w:val="0"/>
                      <w:divBdr>
                        <w:top w:val="none" w:sz="0" w:space="0" w:color="auto"/>
                        <w:left w:val="none" w:sz="0" w:space="0" w:color="auto"/>
                        <w:bottom w:val="none" w:sz="0" w:space="0" w:color="auto"/>
                        <w:right w:val="none" w:sz="0" w:space="0" w:color="auto"/>
                      </w:divBdr>
                    </w:div>
                  </w:divsChild>
                </w:div>
                <w:div w:id="210312557">
                  <w:marLeft w:val="0"/>
                  <w:marRight w:val="0"/>
                  <w:marTop w:val="0"/>
                  <w:marBottom w:val="0"/>
                  <w:divBdr>
                    <w:top w:val="none" w:sz="0" w:space="0" w:color="auto"/>
                    <w:left w:val="none" w:sz="0" w:space="0" w:color="auto"/>
                    <w:bottom w:val="none" w:sz="0" w:space="0" w:color="auto"/>
                    <w:right w:val="none" w:sz="0" w:space="0" w:color="auto"/>
                  </w:divBdr>
                  <w:divsChild>
                    <w:div w:id="1453013213">
                      <w:marLeft w:val="0"/>
                      <w:marRight w:val="0"/>
                      <w:marTop w:val="0"/>
                      <w:marBottom w:val="0"/>
                      <w:divBdr>
                        <w:top w:val="none" w:sz="0" w:space="0" w:color="auto"/>
                        <w:left w:val="none" w:sz="0" w:space="0" w:color="auto"/>
                        <w:bottom w:val="none" w:sz="0" w:space="0" w:color="auto"/>
                        <w:right w:val="none" w:sz="0" w:space="0" w:color="auto"/>
                      </w:divBdr>
                    </w:div>
                  </w:divsChild>
                </w:div>
                <w:div w:id="325910899">
                  <w:marLeft w:val="0"/>
                  <w:marRight w:val="0"/>
                  <w:marTop w:val="0"/>
                  <w:marBottom w:val="0"/>
                  <w:divBdr>
                    <w:top w:val="none" w:sz="0" w:space="0" w:color="auto"/>
                    <w:left w:val="none" w:sz="0" w:space="0" w:color="auto"/>
                    <w:bottom w:val="none" w:sz="0" w:space="0" w:color="auto"/>
                    <w:right w:val="none" w:sz="0" w:space="0" w:color="auto"/>
                  </w:divBdr>
                  <w:divsChild>
                    <w:div w:id="98182480">
                      <w:marLeft w:val="0"/>
                      <w:marRight w:val="0"/>
                      <w:marTop w:val="0"/>
                      <w:marBottom w:val="0"/>
                      <w:divBdr>
                        <w:top w:val="none" w:sz="0" w:space="0" w:color="auto"/>
                        <w:left w:val="none" w:sz="0" w:space="0" w:color="auto"/>
                        <w:bottom w:val="none" w:sz="0" w:space="0" w:color="auto"/>
                        <w:right w:val="none" w:sz="0" w:space="0" w:color="auto"/>
                      </w:divBdr>
                    </w:div>
                  </w:divsChild>
                </w:div>
                <w:div w:id="331570785">
                  <w:marLeft w:val="0"/>
                  <w:marRight w:val="0"/>
                  <w:marTop w:val="0"/>
                  <w:marBottom w:val="0"/>
                  <w:divBdr>
                    <w:top w:val="none" w:sz="0" w:space="0" w:color="auto"/>
                    <w:left w:val="none" w:sz="0" w:space="0" w:color="auto"/>
                    <w:bottom w:val="none" w:sz="0" w:space="0" w:color="auto"/>
                    <w:right w:val="none" w:sz="0" w:space="0" w:color="auto"/>
                  </w:divBdr>
                  <w:divsChild>
                    <w:div w:id="710883853">
                      <w:marLeft w:val="0"/>
                      <w:marRight w:val="0"/>
                      <w:marTop w:val="0"/>
                      <w:marBottom w:val="0"/>
                      <w:divBdr>
                        <w:top w:val="none" w:sz="0" w:space="0" w:color="auto"/>
                        <w:left w:val="none" w:sz="0" w:space="0" w:color="auto"/>
                        <w:bottom w:val="none" w:sz="0" w:space="0" w:color="auto"/>
                        <w:right w:val="none" w:sz="0" w:space="0" w:color="auto"/>
                      </w:divBdr>
                    </w:div>
                  </w:divsChild>
                </w:div>
                <w:div w:id="332147254">
                  <w:marLeft w:val="0"/>
                  <w:marRight w:val="0"/>
                  <w:marTop w:val="0"/>
                  <w:marBottom w:val="0"/>
                  <w:divBdr>
                    <w:top w:val="none" w:sz="0" w:space="0" w:color="auto"/>
                    <w:left w:val="none" w:sz="0" w:space="0" w:color="auto"/>
                    <w:bottom w:val="none" w:sz="0" w:space="0" w:color="auto"/>
                    <w:right w:val="none" w:sz="0" w:space="0" w:color="auto"/>
                  </w:divBdr>
                  <w:divsChild>
                    <w:div w:id="547303741">
                      <w:marLeft w:val="0"/>
                      <w:marRight w:val="0"/>
                      <w:marTop w:val="0"/>
                      <w:marBottom w:val="0"/>
                      <w:divBdr>
                        <w:top w:val="none" w:sz="0" w:space="0" w:color="auto"/>
                        <w:left w:val="none" w:sz="0" w:space="0" w:color="auto"/>
                        <w:bottom w:val="none" w:sz="0" w:space="0" w:color="auto"/>
                        <w:right w:val="none" w:sz="0" w:space="0" w:color="auto"/>
                      </w:divBdr>
                    </w:div>
                  </w:divsChild>
                </w:div>
                <w:div w:id="355892793">
                  <w:marLeft w:val="0"/>
                  <w:marRight w:val="0"/>
                  <w:marTop w:val="0"/>
                  <w:marBottom w:val="0"/>
                  <w:divBdr>
                    <w:top w:val="none" w:sz="0" w:space="0" w:color="auto"/>
                    <w:left w:val="none" w:sz="0" w:space="0" w:color="auto"/>
                    <w:bottom w:val="none" w:sz="0" w:space="0" w:color="auto"/>
                    <w:right w:val="none" w:sz="0" w:space="0" w:color="auto"/>
                  </w:divBdr>
                  <w:divsChild>
                    <w:div w:id="1416972787">
                      <w:marLeft w:val="0"/>
                      <w:marRight w:val="0"/>
                      <w:marTop w:val="0"/>
                      <w:marBottom w:val="0"/>
                      <w:divBdr>
                        <w:top w:val="none" w:sz="0" w:space="0" w:color="auto"/>
                        <w:left w:val="none" w:sz="0" w:space="0" w:color="auto"/>
                        <w:bottom w:val="none" w:sz="0" w:space="0" w:color="auto"/>
                        <w:right w:val="none" w:sz="0" w:space="0" w:color="auto"/>
                      </w:divBdr>
                    </w:div>
                  </w:divsChild>
                </w:div>
                <w:div w:id="399333083">
                  <w:marLeft w:val="0"/>
                  <w:marRight w:val="0"/>
                  <w:marTop w:val="0"/>
                  <w:marBottom w:val="0"/>
                  <w:divBdr>
                    <w:top w:val="none" w:sz="0" w:space="0" w:color="auto"/>
                    <w:left w:val="none" w:sz="0" w:space="0" w:color="auto"/>
                    <w:bottom w:val="none" w:sz="0" w:space="0" w:color="auto"/>
                    <w:right w:val="none" w:sz="0" w:space="0" w:color="auto"/>
                  </w:divBdr>
                  <w:divsChild>
                    <w:div w:id="573515769">
                      <w:marLeft w:val="0"/>
                      <w:marRight w:val="0"/>
                      <w:marTop w:val="0"/>
                      <w:marBottom w:val="0"/>
                      <w:divBdr>
                        <w:top w:val="none" w:sz="0" w:space="0" w:color="auto"/>
                        <w:left w:val="none" w:sz="0" w:space="0" w:color="auto"/>
                        <w:bottom w:val="none" w:sz="0" w:space="0" w:color="auto"/>
                        <w:right w:val="none" w:sz="0" w:space="0" w:color="auto"/>
                      </w:divBdr>
                    </w:div>
                  </w:divsChild>
                </w:div>
                <w:div w:id="425342667">
                  <w:marLeft w:val="0"/>
                  <w:marRight w:val="0"/>
                  <w:marTop w:val="0"/>
                  <w:marBottom w:val="0"/>
                  <w:divBdr>
                    <w:top w:val="none" w:sz="0" w:space="0" w:color="auto"/>
                    <w:left w:val="none" w:sz="0" w:space="0" w:color="auto"/>
                    <w:bottom w:val="none" w:sz="0" w:space="0" w:color="auto"/>
                    <w:right w:val="none" w:sz="0" w:space="0" w:color="auto"/>
                  </w:divBdr>
                  <w:divsChild>
                    <w:div w:id="623773991">
                      <w:marLeft w:val="0"/>
                      <w:marRight w:val="0"/>
                      <w:marTop w:val="0"/>
                      <w:marBottom w:val="0"/>
                      <w:divBdr>
                        <w:top w:val="none" w:sz="0" w:space="0" w:color="auto"/>
                        <w:left w:val="none" w:sz="0" w:space="0" w:color="auto"/>
                        <w:bottom w:val="none" w:sz="0" w:space="0" w:color="auto"/>
                        <w:right w:val="none" w:sz="0" w:space="0" w:color="auto"/>
                      </w:divBdr>
                    </w:div>
                  </w:divsChild>
                </w:div>
                <w:div w:id="436750298">
                  <w:marLeft w:val="0"/>
                  <w:marRight w:val="0"/>
                  <w:marTop w:val="0"/>
                  <w:marBottom w:val="0"/>
                  <w:divBdr>
                    <w:top w:val="none" w:sz="0" w:space="0" w:color="auto"/>
                    <w:left w:val="none" w:sz="0" w:space="0" w:color="auto"/>
                    <w:bottom w:val="none" w:sz="0" w:space="0" w:color="auto"/>
                    <w:right w:val="none" w:sz="0" w:space="0" w:color="auto"/>
                  </w:divBdr>
                  <w:divsChild>
                    <w:div w:id="1584558799">
                      <w:marLeft w:val="0"/>
                      <w:marRight w:val="0"/>
                      <w:marTop w:val="0"/>
                      <w:marBottom w:val="0"/>
                      <w:divBdr>
                        <w:top w:val="none" w:sz="0" w:space="0" w:color="auto"/>
                        <w:left w:val="none" w:sz="0" w:space="0" w:color="auto"/>
                        <w:bottom w:val="none" w:sz="0" w:space="0" w:color="auto"/>
                        <w:right w:val="none" w:sz="0" w:space="0" w:color="auto"/>
                      </w:divBdr>
                    </w:div>
                  </w:divsChild>
                </w:div>
                <w:div w:id="547381932">
                  <w:marLeft w:val="0"/>
                  <w:marRight w:val="0"/>
                  <w:marTop w:val="0"/>
                  <w:marBottom w:val="0"/>
                  <w:divBdr>
                    <w:top w:val="none" w:sz="0" w:space="0" w:color="auto"/>
                    <w:left w:val="none" w:sz="0" w:space="0" w:color="auto"/>
                    <w:bottom w:val="none" w:sz="0" w:space="0" w:color="auto"/>
                    <w:right w:val="none" w:sz="0" w:space="0" w:color="auto"/>
                  </w:divBdr>
                  <w:divsChild>
                    <w:div w:id="743180836">
                      <w:marLeft w:val="0"/>
                      <w:marRight w:val="0"/>
                      <w:marTop w:val="0"/>
                      <w:marBottom w:val="0"/>
                      <w:divBdr>
                        <w:top w:val="none" w:sz="0" w:space="0" w:color="auto"/>
                        <w:left w:val="none" w:sz="0" w:space="0" w:color="auto"/>
                        <w:bottom w:val="none" w:sz="0" w:space="0" w:color="auto"/>
                        <w:right w:val="none" w:sz="0" w:space="0" w:color="auto"/>
                      </w:divBdr>
                    </w:div>
                  </w:divsChild>
                </w:div>
                <w:div w:id="572665803">
                  <w:marLeft w:val="0"/>
                  <w:marRight w:val="0"/>
                  <w:marTop w:val="0"/>
                  <w:marBottom w:val="0"/>
                  <w:divBdr>
                    <w:top w:val="none" w:sz="0" w:space="0" w:color="auto"/>
                    <w:left w:val="none" w:sz="0" w:space="0" w:color="auto"/>
                    <w:bottom w:val="none" w:sz="0" w:space="0" w:color="auto"/>
                    <w:right w:val="none" w:sz="0" w:space="0" w:color="auto"/>
                  </w:divBdr>
                  <w:divsChild>
                    <w:div w:id="1404790925">
                      <w:marLeft w:val="0"/>
                      <w:marRight w:val="0"/>
                      <w:marTop w:val="0"/>
                      <w:marBottom w:val="0"/>
                      <w:divBdr>
                        <w:top w:val="none" w:sz="0" w:space="0" w:color="auto"/>
                        <w:left w:val="none" w:sz="0" w:space="0" w:color="auto"/>
                        <w:bottom w:val="none" w:sz="0" w:space="0" w:color="auto"/>
                        <w:right w:val="none" w:sz="0" w:space="0" w:color="auto"/>
                      </w:divBdr>
                    </w:div>
                  </w:divsChild>
                </w:div>
                <w:div w:id="590089432">
                  <w:marLeft w:val="0"/>
                  <w:marRight w:val="0"/>
                  <w:marTop w:val="0"/>
                  <w:marBottom w:val="0"/>
                  <w:divBdr>
                    <w:top w:val="none" w:sz="0" w:space="0" w:color="auto"/>
                    <w:left w:val="none" w:sz="0" w:space="0" w:color="auto"/>
                    <w:bottom w:val="none" w:sz="0" w:space="0" w:color="auto"/>
                    <w:right w:val="none" w:sz="0" w:space="0" w:color="auto"/>
                  </w:divBdr>
                  <w:divsChild>
                    <w:div w:id="836572676">
                      <w:marLeft w:val="0"/>
                      <w:marRight w:val="0"/>
                      <w:marTop w:val="0"/>
                      <w:marBottom w:val="0"/>
                      <w:divBdr>
                        <w:top w:val="none" w:sz="0" w:space="0" w:color="auto"/>
                        <w:left w:val="none" w:sz="0" w:space="0" w:color="auto"/>
                        <w:bottom w:val="none" w:sz="0" w:space="0" w:color="auto"/>
                        <w:right w:val="none" w:sz="0" w:space="0" w:color="auto"/>
                      </w:divBdr>
                    </w:div>
                  </w:divsChild>
                </w:div>
                <w:div w:id="618685558">
                  <w:marLeft w:val="0"/>
                  <w:marRight w:val="0"/>
                  <w:marTop w:val="0"/>
                  <w:marBottom w:val="0"/>
                  <w:divBdr>
                    <w:top w:val="none" w:sz="0" w:space="0" w:color="auto"/>
                    <w:left w:val="none" w:sz="0" w:space="0" w:color="auto"/>
                    <w:bottom w:val="none" w:sz="0" w:space="0" w:color="auto"/>
                    <w:right w:val="none" w:sz="0" w:space="0" w:color="auto"/>
                  </w:divBdr>
                  <w:divsChild>
                    <w:div w:id="688332299">
                      <w:marLeft w:val="0"/>
                      <w:marRight w:val="0"/>
                      <w:marTop w:val="0"/>
                      <w:marBottom w:val="0"/>
                      <w:divBdr>
                        <w:top w:val="none" w:sz="0" w:space="0" w:color="auto"/>
                        <w:left w:val="none" w:sz="0" w:space="0" w:color="auto"/>
                        <w:bottom w:val="none" w:sz="0" w:space="0" w:color="auto"/>
                        <w:right w:val="none" w:sz="0" w:space="0" w:color="auto"/>
                      </w:divBdr>
                    </w:div>
                  </w:divsChild>
                </w:div>
                <w:div w:id="658193460">
                  <w:marLeft w:val="0"/>
                  <w:marRight w:val="0"/>
                  <w:marTop w:val="0"/>
                  <w:marBottom w:val="0"/>
                  <w:divBdr>
                    <w:top w:val="none" w:sz="0" w:space="0" w:color="auto"/>
                    <w:left w:val="none" w:sz="0" w:space="0" w:color="auto"/>
                    <w:bottom w:val="none" w:sz="0" w:space="0" w:color="auto"/>
                    <w:right w:val="none" w:sz="0" w:space="0" w:color="auto"/>
                  </w:divBdr>
                  <w:divsChild>
                    <w:div w:id="1537111496">
                      <w:marLeft w:val="0"/>
                      <w:marRight w:val="0"/>
                      <w:marTop w:val="0"/>
                      <w:marBottom w:val="0"/>
                      <w:divBdr>
                        <w:top w:val="none" w:sz="0" w:space="0" w:color="auto"/>
                        <w:left w:val="none" w:sz="0" w:space="0" w:color="auto"/>
                        <w:bottom w:val="none" w:sz="0" w:space="0" w:color="auto"/>
                        <w:right w:val="none" w:sz="0" w:space="0" w:color="auto"/>
                      </w:divBdr>
                    </w:div>
                  </w:divsChild>
                </w:div>
                <w:div w:id="677731323">
                  <w:marLeft w:val="0"/>
                  <w:marRight w:val="0"/>
                  <w:marTop w:val="0"/>
                  <w:marBottom w:val="0"/>
                  <w:divBdr>
                    <w:top w:val="none" w:sz="0" w:space="0" w:color="auto"/>
                    <w:left w:val="none" w:sz="0" w:space="0" w:color="auto"/>
                    <w:bottom w:val="none" w:sz="0" w:space="0" w:color="auto"/>
                    <w:right w:val="none" w:sz="0" w:space="0" w:color="auto"/>
                  </w:divBdr>
                  <w:divsChild>
                    <w:div w:id="983586810">
                      <w:marLeft w:val="0"/>
                      <w:marRight w:val="0"/>
                      <w:marTop w:val="0"/>
                      <w:marBottom w:val="0"/>
                      <w:divBdr>
                        <w:top w:val="none" w:sz="0" w:space="0" w:color="auto"/>
                        <w:left w:val="none" w:sz="0" w:space="0" w:color="auto"/>
                        <w:bottom w:val="none" w:sz="0" w:space="0" w:color="auto"/>
                        <w:right w:val="none" w:sz="0" w:space="0" w:color="auto"/>
                      </w:divBdr>
                    </w:div>
                  </w:divsChild>
                </w:div>
                <w:div w:id="681903275">
                  <w:marLeft w:val="0"/>
                  <w:marRight w:val="0"/>
                  <w:marTop w:val="0"/>
                  <w:marBottom w:val="0"/>
                  <w:divBdr>
                    <w:top w:val="none" w:sz="0" w:space="0" w:color="auto"/>
                    <w:left w:val="none" w:sz="0" w:space="0" w:color="auto"/>
                    <w:bottom w:val="none" w:sz="0" w:space="0" w:color="auto"/>
                    <w:right w:val="none" w:sz="0" w:space="0" w:color="auto"/>
                  </w:divBdr>
                  <w:divsChild>
                    <w:div w:id="947001704">
                      <w:marLeft w:val="0"/>
                      <w:marRight w:val="0"/>
                      <w:marTop w:val="0"/>
                      <w:marBottom w:val="0"/>
                      <w:divBdr>
                        <w:top w:val="none" w:sz="0" w:space="0" w:color="auto"/>
                        <w:left w:val="none" w:sz="0" w:space="0" w:color="auto"/>
                        <w:bottom w:val="none" w:sz="0" w:space="0" w:color="auto"/>
                        <w:right w:val="none" w:sz="0" w:space="0" w:color="auto"/>
                      </w:divBdr>
                    </w:div>
                  </w:divsChild>
                </w:div>
                <w:div w:id="685375656">
                  <w:marLeft w:val="0"/>
                  <w:marRight w:val="0"/>
                  <w:marTop w:val="0"/>
                  <w:marBottom w:val="0"/>
                  <w:divBdr>
                    <w:top w:val="none" w:sz="0" w:space="0" w:color="auto"/>
                    <w:left w:val="none" w:sz="0" w:space="0" w:color="auto"/>
                    <w:bottom w:val="none" w:sz="0" w:space="0" w:color="auto"/>
                    <w:right w:val="none" w:sz="0" w:space="0" w:color="auto"/>
                  </w:divBdr>
                  <w:divsChild>
                    <w:div w:id="940183147">
                      <w:marLeft w:val="0"/>
                      <w:marRight w:val="0"/>
                      <w:marTop w:val="0"/>
                      <w:marBottom w:val="0"/>
                      <w:divBdr>
                        <w:top w:val="none" w:sz="0" w:space="0" w:color="auto"/>
                        <w:left w:val="none" w:sz="0" w:space="0" w:color="auto"/>
                        <w:bottom w:val="none" w:sz="0" w:space="0" w:color="auto"/>
                        <w:right w:val="none" w:sz="0" w:space="0" w:color="auto"/>
                      </w:divBdr>
                    </w:div>
                  </w:divsChild>
                </w:div>
                <w:div w:id="779109367">
                  <w:marLeft w:val="0"/>
                  <w:marRight w:val="0"/>
                  <w:marTop w:val="0"/>
                  <w:marBottom w:val="0"/>
                  <w:divBdr>
                    <w:top w:val="none" w:sz="0" w:space="0" w:color="auto"/>
                    <w:left w:val="none" w:sz="0" w:space="0" w:color="auto"/>
                    <w:bottom w:val="none" w:sz="0" w:space="0" w:color="auto"/>
                    <w:right w:val="none" w:sz="0" w:space="0" w:color="auto"/>
                  </w:divBdr>
                  <w:divsChild>
                    <w:div w:id="101919348">
                      <w:marLeft w:val="0"/>
                      <w:marRight w:val="0"/>
                      <w:marTop w:val="0"/>
                      <w:marBottom w:val="0"/>
                      <w:divBdr>
                        <w:top w:val="none" w:sz="0" w:space="0" w:color="auto"/>
                        <w:left w:val="none" w:sz="0" w:space="0" w:color="auto"/>
                        <w:bottom w:val="none" w:sz="0" w:space="0" w:color="auto"/>
                        <w:right w:val="none" w:sz="0" w:space="0" w:color="auto"/>
                      </w:divBdr>
                    </w:div>
                  </w:divsChild>
                </w:div>
                <w:div w:id="795101173">
                  <w:marLeft w:val="0"/>
                  <w:marRight w:val="0"/>
                  <w:marTop w:val="0"/>
                  <w:marBottom w:val="0"/>
                  <w:divBdr>
                    <w:top w:val="none" w:sz="0" w:space="0" w:color="auto"/>
                    <w:left w:val="none" w:sz="0" w:space="0" w:color="auto"/>
                    <w:bottom w:val="none" w:sz="0" w:space="0" w:color="auto"/>
                    <w:right w:val="none" w:sz="0" w:space="0" w:color="auto"/>
                  </w:divBdr>
                  <w:divsChild>
                    <w:div w:id="822240074">
                      <w:marLeft w:val="0"/>
                      <w:marRight w:val="0"/>
                      <w:marTop w:val="0"/>
                      <w:marBottom w:val="0"/>
                      <w:divBdr>
                        <w:top w:val="none" w:sz="0" w:space="0" w:color="auto"/>
                        <w:left w:val="none" w:sz="0" w:space="0" w:color="auto"/>
                        <w:bottom w:val="none" w:sz="0" w:space="0" w:color="auto"/>
                        <w:right w:val="none" w:sz="0" w:space="0" w:color="auto"/>
                      </w:divBdr>
                    </w:div>
                  </w:divsChild>
                </w:div>
                <w:div w:id="872812495">
                  <w:marLeft w:val="0"/>
                  <w:marRight w:val="0"/>
                  <w:marTop w:val="0"/>
                  <w:marBottom w:val="0"/>
                  <w:divBdr>
                    <w:top w:val="none" w:sz="0" w:space="0" w:color="auto"/>
                    <w:left w:val="none" w:sz="0" w:space="0" w:color="auto"/>
                    <w:bottom w:val="none" w:sz="0" w:space="0" w:color="auto"/>
                    <w:right w:val="none" w:sz="0" w:space="0" w:color="auto"/>
                  </w:divBdr>
                  <w:divsChild>
                    <w:div w:id="877283081">
                      <w:marLeft w:val="0"/>
                      <w:marRight w:val="0"/>
                      <w:marTop w:val="0"/>
                      <w:marBottom w:val="0"/>
                      <w:divBdr>
                        <w:top w:val="none" w:sz="0" w:space="0" w:color="auto"/>
                        <w:left w:val="none" w:sz="0" w:space="0" w:color="auto"/>
                        <w:bottom w:val="none" w:sz="0" w:space="0" w:color="auto"/>
                        <w:right w:val="none" w:sz="0" w:space="0" w:color="auto"/>
                      </w:divBdr>
                    </w:div>
                  </w:divsChild>
                </w:div>
                <w:div w:id="882639931">
                  <w:marLeft w:val="0"/>
                  <w:marRight w:val="0"/>
                  <w:marTop w:val="0"/>
                  <w:marBottom w:val="0"/>
                  <w:divBdr>
                    <w:top w:val="none" w:sz="0" w:space="0" w:color="auto"/>
                    <w:left w:val="none" w:sz="0" w:space="0" w:color="auto"/>
                    <w:bottom w:val="none" w:sz="0" w:space="0" w:color="auto"/>
                    <w:right w:val="none" w:sz="0" w:space="0" w:color="auto"/>
                  </w:divBdr>
                  <w:divsChild>
                    <w:div w:id="1259487681">
                      <w:marLeft w:val="0"/>
                      <w:marRight w:val="0"/>
                      <w:marTop w:val="0"/>
                      <w:marBottom w:val="0"/>
                      <w:divBdr>
                        <w:top w:val="none" w:sz="0" w:space="0" w:color="auto"/>
                        <w:left w:val="none" w:sz="0" w:space="0" w:color="auto"/>
                        <w:bottom w:val="none" w:sz="0" w:space="0" w:color="auto"/>
                        <w:right w:val="none" w:sz="0" w:space="0" w:color="auto"/>
                      </w:divBdr>
                    </w:div>
                  </w:divsChild>
                </w:div>
                <w:div w:id="896282666">
                  <w:marLeft w:val="0"/>
                  <w:marRight w:val="0"/>
                  <w:marTop w:val="0"/>
                  <w:marBottom w:val="0"/>
                  <w:divBdr>
                    <w:top w:val="none" w:sz="0" w:space="0" w:color="auto"/>
                    <w:left w:val="none" w:sz="0" w:space="0" w:color="auto"/>
                    <w:bottom w:val="none" w:sz="0" w:space="0" w:color="auto"/>
                    <w:right w:val="none" w:sz="0" w:space="0" w:color="auto"/>
                  </w:divBdr>
                  <w:divsChild>
                    <w:div w:id="212352893">
                      <w:marLeft w:val="0"/>
                      <w:marRight w:val="0"/>
                      <w:marTop w:val="0"/>
                      <w:marBottom w:val="0"/>
                      <w:divBdr>
                        <w:top w:val="none" w:sz="0" w:space="0" w:color="auto"/>
                        <w:left w:val="none" w:sz="0" w:space="0" w:color="auto"/>
                        <w:bottom w:val="none" w:sz="0" w:space="0" w:color="auto"/>
                        <w:right w:val="none" w:sz="0" w:space="0" w:color="auto"/>
                      </w:divBdr>
                    </w:div>
                  </w:divsChild>
                </w:div>
                <w:div w:id="914976503">
                  <w:marLeft w:val="0"/>
                  <w:marRight w:val="0"/>
                  <w:marTop w:val="0"/>
                  <w:marBottom w:val="0"/>
                  <w:divBdr>
                    <w:top w:val="none" w:sz="0" w:space="0" w:color="auto"/>
                    <w:left w:val="none" w:sz="0" w:space="0" w:color="auto"/>
                    <w:bottom w:val="none" w:sz="0" w:space="0" w:color="auto"/>
                    <w:right w:val="none" w:sz="0" w:space="0" w:color="auto"/>
                  </w:divBdr>
                  <w:divsChild>
                    <w:div w:id="1036930538">
                      <w:marLeft w:val="0"/>
                      <w:marRight w:val="0"/>
                      <w:marTop w:val="0"/>
                      <w:marBottom w:val="0"/>
                      <w:divBdr>
                        <w:top w:val="none" w:sz="0" w:space="0" w:color="auto"/>
                        <w:left w:val="none" w:sz="0" w:space="0" w:color="auto"/>
                        <w:bottom w:val="none" w:sz="0" w:space="0" w:color="auto"/>
                        <w:right w:val="none" w:sz="0" w:space="0" w:color="auto"/>
                      </w:divBdr>
                    </w:div>
                  </w:divsChild>
                </w:div>
                <w:div w:id="1005009676">
                  <w:marLeft w:val="0"/>
                  <w:marRight w:val="0"/>
                  <w:marTop w:val="0"/>
                  <w:marBottom w:val="0"/>
                  <w:divBdr>
                    <w:top w:val="none" w:sz="0" w:space="0" w:color="auto"/>
                    <w:left w:val="none" w:sz="0" w:space="0" w:color="auto"/>
                    <w:bottom w:val="none" w:sz="0" w:space="0" w:color="auto"/>
                    <w:right w:val="none" w:sz="0" w:space="0" w:color="auto"/>
                  </w:divBdr>
                  <w:divsChild>
                    <w:div w:id="610474027">
                      <w:marLeft w:val="0"/>
                      <w:marRight w:val="0"/>
                      <w:marTop w:val="0"/>
                      <w:marBottom w:val="0"/>
                      <w:divBdr>
                        <w:top w:val="none" w:sz="0" w:space="0" w:color="auto"/>
                        <w:left w:val="none" w:sz="0" w:space="0" w:color="auto"/>
                        <w:bottom w:val="none" w:sz="0" w:space="0" w:color="auto"/>
                        <w:right w:val="none" w:sz="0" w:space="0" w:color="auto"/>
                      </w:divBdr>
                    </w:div>
                  </w:divsChild>
                </w:div>
                <w:div w:id="1094326335">
                  <w:marLeft w:val="0"/>
                  <w:marRight w:val="0"/>
                  <w:marTop w:val="0"/>
                  <w:marBottom w:val="0"/>
                  <w:divBdr>
                    <w:top w:val="none" w:sz="0" w:space="0" w:color="auto"/>
                    <w:left w:val="none" w:sz="0" w:space="0" w:color="auto"/>
                    <w:bottom w:val="none" w:sz="0" w:space="0" w:color="auto"/>
                    <w:right w:val="none" w:sz="0" w:space="0" w:color="auto"/>
                  </w:divBdr>
                  <w:divsChild>
                    <w:div w:id="848955464">
                      <w:marLeft w:val="0"/>
                      <w:marRight w:val="0"/>
                      <w:marTop w:val="0"/>
                      <w:marBottom w:val="0"/>
                      <w:divBdr>
                        <w:top w:val="none" w:sz="0" w:space="0" w:color="auto"/>
                        <w:left w:val="none" w:sz="0" w:space="0" w:color="auto"/>
                        <w:bottom w:val="none" w:sz="0" w:space="0" w:color="auto"/>
                        <w:right w:val="none" w:sz="0" w:space="0" w:color="auto"/>
                      </w:divBdr>
                    </w:div>
                  </w:divsChild>
                </w:div>
                <w:div w:id="1190337354">
                  <w:marLeft w:val="0"/>
                  <w:marRight w:val="0"/>
                  <w:marTop w:val="0"/>
                  <w:marBottom w:val="0"/>
                  <w:divBdr>
                    <w:top w:val="none" w:sz="0" w:space="0" w:color="auto"/>
                    <w:left w:val="none" w:sz="0" w:space="0" w:color="auto"/>
                    <w:bottom w:val="none" w:sz="0" w:space="0" w:color="auto"/>
                    <w:right w:val="none" w:sz="0" w:space="0" w:color="auto"/>
                  </w:divBdr>
                  <w:divsChild>
                    <w:div w:id="515777116">
                      <w:marLeft w:val="0"/>
                      <w:marRight w:val="0"/>
                      <w:marTop w:val="0"/>
                      <w:marBottom w:val="0"/>
                      <w:divBdr>
                        <w:top w:val="none" w:sz="0" w:space="0" w:color="auto"/>
                        <w:left w:val="none" w:sz="0" w:space="0" w:color="auto"/>
                        <w:bottom w:val="none" w:sz="0" w:space="0" w:color="auto"/>
                        <w:right w:val="none" w:sz="0" w:space="0" w:color="auto"/>
                      </w:divBdr>
                    </w:div>
                  </w:divsChild>
                </w:div>
                <w:div w:id="1201742200">
                  <w:marLeft w:val="0"/>
                  <w:marRight w:val="0"/>
                  <w:marTop w:val="0"/>
                  <w:marBottom w:val="0"/>
                  <w:divBdr>
                    <w:top w:val="none" w:sz="0" w:space="0" w:color="auto"/>
                    <w:left w:val="none" w:sz="0" w:space="0" w:color="auto"/>
                    <w:bottom w:val="none" w:sz="0" w:space="0" w:color="auto"/>
                    <w:right w:val="none" w:sz="0" w:space="0" w:color="auto"/>
                  </w:divBdr>
                  <w:divsChild>
                    <w:div w:id="711612367">
                      <w:marLeft w:val="0"/>
                      <w:marRight w:val="0"/>
                      <w:marTop w:val="0"/>
                      <w:marBottom w:val="0"/>
                      <w:divBdr>
                        <w:top w:val="none" w:sz="0" w:space="0" w:color="auto"/>
                        <w:left w:val="none" w:sz="0" w:space="0" w:color="auto"/>
                        <w:bottom w:val="none" w:sz="0" w:space="0" w:color="auto"/>
                        <w:right w:val="none" w:sz="0" w:space="0" w:color="auto"/>
                      </w:divBdr>
                    </w:div>
                  </w:divsChild>
                </w:div>
                <w:div w:id="1280796654">
                  <w:marLeft w:val="0"/>
                  <w:marRight w:val="0"/>
                  <w:marTop w:val="0"/>
                  <w:marBottom w:val="0"/>
                  <w:divBdr>
                    <w:top w:val="none" w:sz="0" w:space="0" w:color="auto"/>
                    <w:left w:val="none" w:sz="0" w:space="0" w:color="auto"/>
                    <w:bottom w:val="none" w:sz="0" w:space="0" w:color="auto"/>
                    <w:right w:val="none" w:sz="0" w:space="0" w:color="auto"/>
                  </w:divBdr>
                  <w:divsChild>
                    <w:div w:id="1869030571">
                      <w:marLeft w:val="0"/>
                      <w:marRight w:val="0"/>
                      <w:marTop w:val="0"/>
                      <w:marBottom w:val="0"/>
                      <w:divBdr>
                        <w:top w:val="none" w:sz="0" w:space="0" w:color="auto"/>
                        <w:left w:val="none" w:sz="0" w:space="0" w:color="auto"/>
                        <w:bottom w:val="none" w:sz="0" w:space="0" w:color="auto"/>
                        <w:right w:val="none" w:sz="0" w:space="0" w:color="auto"/>
                      </w:divBdr>
                    </w:div>
                  </w:divsChild>
                </w:div>
                <w:div w:id="1373261240">
                  <w:marLeft w:val="0"/>
                  <w:marRight w:val="0"/>
                  <w:marTop w:val="0"/>
                  <w:marBottom w:val="0"/>
                  <w:divBdr>
                    <w:top w:val="none" w:sz="0" w:space="0" w:color="auto"/>
                    <w:left w:val="none" w:sz="0" w:space="0" w:color="auto"/>
                    <w:bottom w:val="none" w:sz="0" w:space="0" w:color="auto"/>
                    <w:right w:val="none" w:sz="0" w:space="0" w:color="auto"/>
                  </w:divBdr>
                  <w:divsChild>
                    <w:div w:id="2032219031">
                      <w:marLeft w:val="0"/>
                      <w:marRight w:val="0"/>
                      <w:marTop w:val="0"/>
                      <w:marBottom w:val="0"/>
                      <w:divBdr>
                        <w:top w:val="none" w:sz="0" w:space="0" w:color="auto"/>
                        <w:left w:val="none" w:sz="0" w:space="0" w:color="auto"/>
                        <w:bottom w:val="none" w:sz="0" w:space="0" w:color="auto"/>
                        <w:right w:val="none" w:sz="0" w:space="0" w:color="auto"/>
                      </w:divBdr>
                    </w:div>
                  </w:divsChild>
                </w:div>
                <w:div w:id="1394349867">
                  <w:marLeft w:val="0"/>
                  <w:marRight w:val="0"/>
                  <w:marTop w:val="0"/>
                  <w:marBottom w:val="0"/>
                  <w:divBdr>
                    <w:top w:val="none" w:sz="0" w:space="0" w:color="auto"/>
                    <w:left w:val="none" w:sz="0" w:space="0" w:color="auto"/>
                    <w:bottom w:val="none" w:sz="0" w:space="0" w:color="auto"/>
                    <w:right w:val="none" w:sz="0" w:space="0" w:color="auto"/>
                  </w:divBdr>
                  <w:divsChild>
                    <w:div w:id="602684099">
                      <w:marLeft w:val="0"/>
                      <w:marRight w:val="0"/>
                      <w:marTop w:val="0"/>
                      <w:marBottom w:val="0"/>
                      <w:divBdr>
                        <w:top w:val="none" w:sz="0" w:space="0" w:color="auto"/>
                        <w:left w:val="none" w:sz="0" w:space="0" w:color="auto"/>
                        <w:bottom w:val="none" w:sz="0" w:space="0" w:color="auto"/>
                        <w:right w:val="none" w:sz="0" w:space="0" w:color="auto"/>
                      </w:divBdr>
                    </w:div>
                  </w:divsChild>
                </w:div>
                <w:div w:id="1397435405">
                  <w:marLeft w:val="0"/>
                  <w:marRight w:val="0"/>
                  <w:marTop w:val="0"/>
                  <w:marBottom w:val="0"/>
                  <w:divBdr>
                    <w:top w:val="none" w:sz="0" w:space="0" w:color="auto"/>
                    <w:left w:val="none" w:sz="0" w:space="0" w:color="auto"/>
                    <w:bottom w:val="none" w:sz="0" w:space="0" w:color="auto"/>
                    <w:right w:val="none" w:sz="0" w:space="0" w:color="auto"/>
                  </w:divBdr>
                  <w:divsChild>
                    <w:div w:id="30618510">
                      <w:marLeft w:val="0"/>
                      <w:marRight w:val="0"/>
                      <w:marTop w:val="0"/>
                      <w:marBottom w:val="0"/>
                      <w:divBdr>
                        <w:top w:val="none" w:sz="0" w:space="0" w:color="auto"/>
                        <w:left w:val="none" w:sz="0" w:space="0" w:color="auto"/>
                        <w:bottom w:val="none" w:sz="0" w:space="0" w:color="auto"/>
                        <w:right w:val="none" w:sz="0" w:space="0" w:color="auto"/>
                      </w:divBdr>
                    </w:div>
                  </w:divsChild>
                </w:div>
                <w:div w:id="1431009053">
                  <w:marLeft w:val="0"/>
                  <w:marRight w:val="0"/>
                  <w:marTop w:val="0"/>
                  <w:marBottom w:val="0"/>
                  <w:divBdr>
                    <w:top w:val="none" w:sz="0" w:space="0" w:color="auto"/>
                    <w:left w:val="none" w:sz="0" w:space="0" w:color="auto"/>
                    <w:bottom w:val="none" w:sz="0" w:space="0" w:color="auto"/>
                    <w:right w:val="none" w:sz="0" w:space="0" w:color="auto"/>
                  </w:divBdr>
                  <w:divsChild>
                    <w:div w:id="1739133582">
                      <w:marLeft w:val="0"/>
                      <w:marRight w:val="0"/>
                      <w:marTop w:val="0"/>
                      <w:marBottom w:val="0"/>
                      <w:divBdr>
                        <w:top w:val="none" w:sz="0" w:space="0" w:color="auto"/>
                        <w:left w:val="none" w:sz="0" w:space="0" w:color="auto"/>
                        <w:bottom w:val="none" w:sz="0" w:space="0" w:color="auto"/>
                        <w:right w:val="none" w:sz="0" w:space="0" w:color="auto"/>
                      </w:divBdr>
                    </w:div>
                  </w:divsChild>
                </w:div>
                <w:div w:id="1443452828">
                  <w:marLeft w:val="0"/>
                  <w:marRight w:val="0"/>
                  <w:marTop w:val="0"/>
                  <w:marBottom w:val="0"/>
                  <w:divBdr>
                    <w:top w:val="none" w:sz="0" w:space="0" w:color="auto"/>
                    <w:left w:val="none" w:sz="0" w:space="0" w:color="auto"/>
                    <w:bottom w:val="none" w:sz="0" w:space="0" w:color="auto"/>
                    <w:right w:val="none" w:sz="0" w:space="0" w:color="auto"/>
                  </w:divBdr>
                  <w:divsChild>
                    <w:div w:id="1592734035">
                      <w:marLeft w:val="0"/>
                      <w:marRight w:val="0"/>
                      <w:marTop w:val="0"/>
                      <w:marBottom w:val="0"/>
                      <w:divBdr>
                        <w:top w:val="none" w:sz="0" w:space="0" w:color="auto"/>
                        <w:left w:val="none" w:sz="0" w:space="0" w:color="auto"/>
                        <w:bottom w:val="none" w:sz="0" w:space="0" w:color="auto"/>
                        <w:right w:val="none" w:sz="0" w:space="0" w:color="auto"/>
                      </w:divBdr>
                    </w:div>
                  </w:divsChild>
                </w:div>
                <w:div w:id="1454204629">
                  <w:marLeft w:val="0"/>
                  <w:marRight w:val="0"/>
                  <w:marTop w:val="0"/>
                  <w:marBottom w:val="0"/>
                  <w:divBdr>
                    <w:top w:val="none" w:sz="0" w:space="0" w:color="auto"/>
                    <w:left w:val="none" w:sz="0" w:space="0" w:color="auto"/>
                    <w:bottom w:val="none" w:sz="0" w:space="0" w:color="auto"/>
                    <w:right w:val="none" w:sz="0" w:space="0" w:color="auto"/>
                  </w:divBdr>
                  <w:divsChild>
                    <w:div w:id="1959337054">
                      <w:marLeft w:val="0"/>
                      <w:marRight w:val="0"/>
                      <w:marTop w:val="0"/>
                      <w:marBottom w:val="0"/>
                      <w:divBdr>
                        <w:top w:val="none" w:sz="0" w:space="0" w:color="auto"/>
                        <w:left w:val="none" w:sz="0" w:space="0" w:color="auto"/>
                        <w:bottom w:val="none" w:sz="0" w:space="0" w:color="auto"/>
                        <w:right w:val="none" w:sz="0" w:space="0" w:color="auto"/>
                      </w:divBdr>
                    </w:div>
                  </w:divsChild>
                </w:div>
                <w:div w:id="1483424013">
                  <w:marLeft w:val="0"/>
                  <w:marRight w:val="0"/>
                  <w:marTop w:val="0"/>
                  <w:marBottom w:val="0"/>
                  <w:divBdr>
                    <w:top w:val="none" w:sz="0" w:space="0" w:color="auto"/>
                    <w:left w:val="none" w:sz="0" w:space="0" w:color="auto"/>
                    <w:bottom w:val="none" w:sz="0" w:space="0" w:color="auto"/>
                    <w:right w:val="none" w:sz="0" w:space="0" w:color="auto"/>
                  </w:divBdr>
                  <w:divsChild>
                    <w:div w:id="138697703">
                      <w:marLeft w:val="0"/>
                      <w:marRight w:val="0"/>
                      <w:marTop w:val="0"/>
                      <w:marBottom w:val="0"/>
                      <w:divBdr>
                        <w:top w:val="none" w:sz="0" w:space="0" w:color="auto"/>
                        <w:left w:val="none" w:sz="0" w:space="0" w:color="auto"/>
                        <w:bottom w:val="none" w:sz="0" w:space="0" w:color="auto"/>
                        <w:right w:val="none" w:sz="0" w:space="0" w:color="auto"/>
                      </w:divBdr>
                    </w:div>
                  </w:divsChild>
                </w:div>
                <w:div w:id="1537158996">
                  <w:marLeft w:val="0"/>
                  <w:marRight w:val="0"/>
                  <w:marTop w:val="0"/>
                  <w:marBottom w:val="0"/>
                  <w:divBdr>
                    <w:top w:val="none" w:sz="0" w:space="0" w:color="auto"/>
                    <w:left w:val="none" w:sz="0" w:space="0" w:color="auto"/>
                    <w:bottom w:val="none" w:sz="0" w:space="0" w:color="auto"/>
                    <w:right w:val="none" w:sz="0" w:space="0" w:color="auto"/>
                  </w:divBdr>
                  <w:divsChild>
                    <w:div w:id="829254923">
                      <w:marLeft w:val="0"/>
                      <w:marRight w:val="0"/>
                      <w:marTop w:val="0"/>
                      <w:marBottom w:val="0"/>
                      <w:divBdr>
                        <w:top w:val="none" w:sz="0" w:space="0" w:color="auto"/>
                        <w:left w:val="none" w:sz="0" w:space="0" w:color="auto"/>
                        <w:bottom w:val="none" w:sz="0" w:space="0" w:color="auto"/>
                        <w:right w:val="none" w:sz="0" w:space="0" w:color="auto"/>
                      </w:divBdr>
                    </w:div>
                  </w:divsChild>
                </w:div>
                <w:div w:id="1572619570">
                  <w:marLeft w:val="0"/>
                  <w:marRight w:val="0"/>
                  <w:marTop w:val="0"/>
                  <w:marBottom w:val="0"/>
                  <w:divBdr>
                    <w:top w:val="none" w:sz="0" w:space="0" w:color="auto"/>
                    <w:left w:val="none" w:sz="0" w:space="0" w:color="auto"/>
                    <w:bottom w:val="none" w:sz="0" w:space="0" w:color="auto"/>
                    <w:right w:val="none" w:sz="0" w:space="0" w:color="auto"/>
                  </w:divBdr>
                  <w:divsChild>
                    <w:div w:id="35083759">
                      <w:marLeft w:val="0"/>
                      <w:marRight w:val="0"/>
                      <w:marTop w:val="0"/>
                      <w:marBottom w:val="0"/>
                      <w:divBdr>
                        <w:top w:val="none" w:sz="0" w:space="0" w:color="auto"/>
                        <w:left w:val="none" w:sz="0" w:space="0" w:color="auto"/>
                        <w:bottom w:val="none" w:sz="0" w:space="0" w:color="auto"/>
                        <w:right w:val="none" w:sz="0" w:space="0" w:color="auto"/>
                      </w:divBdr>
                    </w:div>
                  </w:divsChild>
                </w:div>
                <w:div w:id="1644850792">
                  <w:marLeft w:val="0"/>
                  <w:marRight w:val="0"/>
                  <w:marTop w:val="0"/>
                  <w:marBottom w:val="0"/>
                  <w:divBdr>
                    <w:top w:val="none" w:sz="0" w:space="0" w:color="auto"/>
                    <w:left w:val="none" w:sz="0" w:space="0" w:color="auto"/>
                    <w:bottom w:val="none" w:sz="0" w:space="0" w:color="auto"/>
                    <w:right w:val="none" w:sz="0" w:space="0" w:color="auto"/>
                  </w:divBdr>
                  <w:divsChild>
                    <w:div w:id="1889686493">
                      <w:marLeft w:val="0"/>
                      <w:marRight w:val="0"/>
                      <w:marTop w:val="0"/>
                      <w:marBottom w:val="0"/>
                      <w:divBdr>
                        <w:top w:val="none" w:sz="0" w:space="0" w:color="auto"/>
                        <w:left w:val="none" w:sz="0" w:space="0" w:color="auto"/>
                        <w:bottom w:val="none" w:sz="0" w:space="0" w:color="auto"/>
                        <w:right w:val="none" w:sz="0" w:space="0" w:color="auto"/>
                      </w:divBdr>
                    </w:div>
                  </w:divsChild>
                </w:div>
                <w:div w:id="1665745235">
                  <w:marLeft w:val="0"/>
                  <w:marRight w:val="0"/>
                  <w:marTop w:val="0"/>
                  <w:marBottom w:val="0"/>
                  <w:divBdr>
                    <w:top w:val="none" w:sz="0" w:space="0" w:color="auto"/>
                    <w:left w:val="none" w:sz="0" w:space="0" w:color="auto"/>
                    <w:bottom w:val="none" w:sz="0" w:space="0" w:color="auto"/>
                    <w:right w:val="none" w:sz="0" w:space="0" w:color="auto"/>
                  </w:divBdr>
                  <w:divsChild>
                    <w:div w:id="7874322">
                      <w:marLeft w:val="0"/>
                      <w:marRight w:val="0"/>
                      <w:marTop w:val="0"/>
                      <w:marBottom w:val="0"/>
                      <w:divBdr>
                        <w:top w:val="none" w:sz="0" w:space="0" w:color="auto"/>
                        <w:left w:val="none" w:sz="0" w:space="0" w:color="auto"/>
                        <w:bottom w:val="none" w:sz="0" w:space="0" w:color="auto"/>
                        <w:right w:val="none" w:sz="0" w:space="0" w:color="auto"/>
                      </w:divBdr>
                    </w:div>
                  </w:divsChild>
                </w:div>
                <w:div w:id="1738744455">
                  <w:marLeft w:val="0"/>
                  <w:marRight w:val="0"/>
                  <w:marTop w:val="0"/>
                  <w:marBottom w:val="0"/>
                  <w:divBdr>
                    <w:top w:val="none" w:sz="0" w:space="0" w:color="auto"/>
                    <w:left w:val="none" w:sz="0" w:space="0" w:color="auto"/>
                    <w:bottom w:val="none" w:sz="0" w:space="0" w:color="auto"/>
                    <w:right w:val="none" w:sz="0" w:space="0" w:color="auto"/>
                  </w:divBdr>
                  <w:divsChild>
                    <w:div w:id="1628469543">
                      <w:marLeft w:val="0"/>
                      <w:marRight w:val="0"/>
                      <w:marTop w:val="0"/>
                      <w:marBottom w:val="0"/>
                      <w:divBdr>
                        <w:top w:val="none" w:sz="0" w:space="0" w:color="auto"/>
                        <w:left w:val="none" w:sz="0" w:space="0" w:color="auto"/>
                        <w:bottom w:val="none" w:sz="0" w:space="0" w:color="auto"/>
                        <w:right w:val="none" w:sz="0" w:space="0" w:color="auto"/>
                      </w:divBdr>
                    </w:div>
                  </w:divsChild>
                </w:div>
                <w:div w:id="1782869713">
                  <w:marLeft w:val="0"/>
                  <w:marRight w:val="0"/>
                  <w:marTop w:val="0"/>
                  <w:marBottom w:val="0"/>
                  <w:divBdr>
                    <w:top w:val="none" w:sz="0" w:space="0" w:color="auto"/>
                    <w:left w:val="none" w:sz="0" w:space="0" w:color="auto"/>
                    <w:bottom w:val="none" w:sz="0" w:space="0" w:color="auto"/>
                    <w:right w:val="none" w:sz="0" w:space="0" w:color="auto"/>
                  </w:divBdr>
                  <w:divsChild>
                    <w:div w:id="190344836">
                      <w:marLeft w:val="0"/>
                      <w:marRight w:val="0"/>
                      <w:marTop w:val="0"/>
                      <w:marBottom w:val="0"/>
                      <w:divBdr>
                        <w:top w:val="none" w:sz="0" w:space="0" w:color="auto"/>
                        <w:left w:val="none" w:sz="0" w:space="0" w:color="auto"/>
                        <w:bottom w:val="none" w:sz="0" w:space="0" w:color="auto"/>
                        <w:right w:val="none" w:sz="0" w:space="0" w:color="auto"/>
                      </w:divBdr>
                    </w:div>
                  </w:divsChild>
                </w:div>
                <w:div w:id="1833448025">
                  <w:marLeft w:val="0"/>
                  <w:marRight w:val="0"/>
                  <w:marTop w:val="0"/>
                  <w:marBottom w:val="0"/>
                  <w:divBdr>
                    <w:top w:val="none" w:sz="0" w:space="0" w:color="auto"/>
                    <w:left w:val="none" w:sz="0" w:space="0" w:color="auto"/>
                    <w:bottom w:val="none" w:sz="0" w:space="0" w:color="auto"/>
                    <w:right w:val="none" w:sz="0" w:space="0" w:color="auto"/>
                  </w:divBdr>
                  <w:divsChild>
                    <w:div w:id="1161047583">
                      <w:marLeft w:val="0"/>
                      <w:marRight w:val="0"/>
                      <w:marTop w:val="0"/>
                      <w:marBottom w:val="0"/>
                      <w:divBdr>
                        <w:top w:val="none" w:sz="0" w:space="0" w:color="auto"/>
                        <w:left w:val="none" w:sz="0" w:space="0" w:color="auto"/>
                        <w:bottom w:val="none" w:sz="0" w:space="0" w:color="auto"/>
                        <w:right w:val="none" w:sz="0" w:space="0" w:color="auto"/>
                      </w:divBdr>
                    </w:div>
                  </w:divsChild>
                </w:div>
                <w:div w:id="1840536627">
                  <w:marLeft w:val="0"/>
                  <w:marRight w:val="0"/>
                  <w:marTop w:val="0"/>
                  <w:marBottom w:val="0"/>
                  <w:divBdr>
                    <w:top w:val="none" w:sz="0" w:space="0" w:color="auto"/>
                    <w:left w:val="none" w:sz="0" w:space="0" w:color="auto"/>
                    <w:bottom w:val="none" w:sz="0" w:space="0" w:color="auto"/>
                    <w:right w:val="none" w:sz="0" w:space="0" w:color="auto"/>
                  </w:divBdr>
                  <w:divsChild>
                    <w:div w:id="1136725176">
                      <w:marLeft w:val="0"/>
                      <w:marRight w:val="0"/>
                      <w:marTop w:val="0"/>
                      <w:marBottom w:val="0"/>
                      <w:divBdr>
                        <w:top w:val="none" w:sz="0" w:space="0" w:color="auto"/>
                        <w:left w:val="none" w:sz="0" w:space="0" w:color="auto"/>
                        <w:bottom w:val="none" w:sz="0" w:space="0" w:color="auto"/>
                        <w:right w:val="none" w:sz="0" w:space="0" w:color="auto"/>
                      </w:divBdr>
                    </w:div>
                  </w:divsChild>
                </w:div>
                <w:div w:id="1980261429">
                  <w:marLeft w:val="0"/>
                  <w:marRight w:val="0"/>
                  <w:marTop w:val="0"/>
                  <w:marBottom w:val="0"/>
                  <w:divBdr>
                    <w:top w:val="none" w:sz="0" w:space="0" w:color="auto"/>
                    <w:left w:val="none" w:sz="0" w:space="0" w:color="auto"/>
                    <w:bottom w:val="none" w:sz="0" w:space="0" w:color="auto"/>
                    <w:right w:val="none" w:sz="0" w:space="0" w:color="auto"/>
                  </w:divBdr>
                  <w:divsChild>
                    <w:div w:id="551573296">
                      <w:marLeft w:val="0"/>
                      <w:marRight w:val="0"/>
                      <w:marTop w:val="0"/>
                      <w:marBottom w:val="0"/>
                      <w:divBdr>
                        <w:top w:val="none" w:sz="0" w:space="0" w:color="auto"/>
                        <w:left w:val="none" w:sz="0" w:space="0" w:color="auto"/>
                        <w:bottom w:val="none" w:sz="0" w:space="0" w:color="auto"/>
                        <w:right w:val="none" w:sz="0" w:space="0" w:color="auto"/>
                      </w:divBdr>
                    </w:div>
                  </w:divsChild>
                </w:div>
                <w:div w:id="2004122238">
                  <w:marLeft w:val="0"/>
                  <w:marRight w:val="0"/>
                  <w:marTop w:val="0"/>
                  <w:marBottom w:val="0"/>
                  <w:divBdr>
                    <w:top w:val="none" w:sz="0" w:space="0" w:color="auto"/>
                    <w:left w:val="none" w:sz="0" w:space="0" w:color="auto"/>
                    <w:bottom w:val="none" w:sz="0" w:space="0" w:color="auto"/>
                    <w:right w:val="none" w:sz="0" w:space="0" w:color="auto"/>
                  </w:divBdr>
                  <w:divsChild>
                    <w:div w:id="1032144600">
                      <w:marLeft w:val="0"/>
                      <w:marRight w:val="0"/>
                      <w:marTop w:val="0"/>
                      <w:marBottom w:val="0"/>
                      <w:divBdr>
                        <w:top w:val="none" w:sz="0" w:space="0" w:color="auto"/>
                        <w:left w:val="none" w:sz="0" w:space="0" w:color="auto"/>
                        <w:bottom w:val="none" w:sz="0" w:space="0" w:color="auto"/>
                        <w:right w:val="none" w:sz="0" w:space="0" w:color="auto"/>
                      </w:divBdr>
                    </w:div>
                  </w:divsChild>
                </w:div>
                <w:div w:id="2085225033">
                  <w:marLeft w:val="0"/>
                  <w:marRight w:val="0"/>
                  <w:marTop w:val="0"/>
                  <w:marBottom w:val="0"/>
                  <w:divBdr>
                    <w:top w:val="none" w:sz="0" w:space="0" w:color="auto"/>
                    <w:left w:val="none" w:sz="0" w:space="0" w:color="auto"/>
                    <w:bottom w:val="none" w:sz="0" w:space="0" w:color="auto"/>
                    <w:right w:val="none" w:sz="0" w:space="0" w:color="auto"/>
                  </w:divBdr>
                  <w:divsChild>
                    <w:div w:id="1257178456">
                      <w:marLeft w:val="0"/>
                      <w:marRight w:val="0"/>
                      <w:marTop w:val="0"/>
                      <w:marBottom w:val="0"/>
                      <w:divBdr>
                        <w:top w:val="none" w:sz="0" w:space="0" w:color="auto"/>
                        <w:left w:val="none" w:sz="0" w:space="0" w:color="auto"/>
                        <w:bottom w:val="none" w:sz="0" w:space="0" w:color="auto"/>
                        <w:right w:val="none" w:sz="0" w:space="0" w:color="auto"/>
                      </w:divBdr>
                    </w:div>
                  </w:divsChild>
                </w:div>
                <w:div w:id="2104110186">
                  <w:marLeft w:val="0"/>
                  <w:marRight w:val="0"/>
                  <w:marTop w:val="0"/>
                  <w:marBottom w:val="0"/>
                  <w:divBdr>
                    <w:top w:val="none" w:sz="0" w:space="0" w:color="auto"/>
                    <w:left w:val="none" w:sz="0" w:space="0" w:color="auto"/>
                    <w:bottom w:val="none" w:sz="0" w:space="0" w:color="auto"/>
                    <w:right w:val="none" w:sz="0" w:space="0" w:color="auto"/>
                  </w:divBdr>
                  <w:divsChild>
                    <w:div w:id="28003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63723">
          <w:marLeft w:val="0"/>
          <w:marRight w:val="0"/>
          <w:marTop w:val="0"/>
          <w:marBottom w:val="0"/>
          <w:divBdr>
            <w:top w:val="none" w:sz="0" w:space="0" w:color="auto"/>
            <w:left w:val="none" w:sz="0" w:space="0" w:color="auto"/>
            <w:bottom w:val="none" w:sz="0" w:space="0" w:color="auto"/>
            <w:right w:val="none" w:sz="0" w:space="0" w:color="auto"/>
          </w:divBdr>
        </w:div>
      </w:divsChild>
    </w:div>
    <w:div w:id="2099790396">
      <w:bodyDiv w:val="1"/>
      <w:marLeft w:val="0"/>
      <w:marRight w:val="0"/>
      <w:marTop w:val="0"/>
      <w:marBottom w:val="0"/>
      <w:divBdr>
        <w:top w:val="none" w:sz="0" w:space="0" w:color="auto"/>
        <w:left w:val="none" w:sz="0" w:space="0" w:color="auto"/>
        <w:bottom w:val="none" w:sz="0" w:space="0" w:color="auto"/>
        <w:right w:val="none" w:sz="0" w:space="0" w:color="auto"/>
      </w:divBdr>
      <w:divsChild>
        <w:div w:id="919605252">
          <w:marLeft w:val="0"/>
          <w:marRight w:val="0"/>
          <w:marTop w:val="0"/>
          <w:marBottom w:val="0"/>
          <w:divBdr>
            <w:top w:val="none" w:sz="0" w:space="0" w:color="auto"/>
            <w:left w:val="none" w:sz="0" w:space="0" w:color="auto"/>
            <w:bottom w:val="none" w:sz="0" w:space="0" w:color="auto"/>
            <w:right w:val="none" w:sz="0" w:space="0" w:color="auto"/>
          </w:divBdr>
        </w:div>
      </w:divsChild>
    </w:div>
    <w:div w:id="2110851727">
      <w:bodyDiv w:val="1"/>
      <w:marLeft w:val="0"/>
      <w:marRight w:val="0"/>
      <w:marTop w:val="0"/>
      <w:marBottom w:val="0"/>
      <w:divBdr>
        <w:top w:val="none" w:sz="0" w:space="0" w:color="auto"/>
        <w:left w:val="none" w:sz="0" w:space="0" w:color="auto"/>
        <w:bottom w:val="none" w:sz="0" w:space="0" w:color="auto"/>
        <w:right w:val="none" w:sz="0" w:space="0" w:color="auto"/>
      </w:divBdr>
    </w:div>
    <w:div w:id="2111585514">
      <w:bodyDiv w:val="1"/>
      <w:marLeft w:val="0"/>
      <w:marRight w:val="0"/>
      <w:marTop w:val="0"/>
      <w:marBottom w:val="0"/>
      <w:divBdr>
        <w:top w:val="none" w:sz="0" w:space="0" w:color="auto"/>
        <w:left w:val="none" w:sz="0" w:space="0" w:color="auto"/>
        <w:bottom w:val="none" w:sz="0" w:space="0" w:color="auto"/>
        <w:right w:val="none" w:sz="0" w:space="0" w:color="auto"/>
      </w:divBdr>
      <w:divsChild>
        <w:div w:id="357632020">
          <w:marLeft w:val="0"/>
          <w:marRight w:val="0"/>
          <w:marTop w:val="0"/>
          <w:marBottom w:val="0"/>
          <w:divBdr>
            <w:top w:val="none" w:sz="0" w:space="0" w:color="auto"/>
            <w:left w:val="none" w:sz="0" w:space="0" w:color="auto"/>
            <w:bottom w:val="none" w:sz="0" w:space="0" w:color="auto"/>
            <w:right w:val="none" w:sz="0" w:space="0" w:color="auto"/>
          </w:divBdr>
        </w:div>
      </w:divsChild>
    </w:div>
    <w:div w:id="2121876598">
      <w:bodyDiv w:val="1"/>
      <w:marLeft w:val="0"/>
      <w:marRight w:val="0"/>
      <w:marTop w:val="0"/>
      <w:marBottom w:val="0"/>
      <w:divBdr>
        <w:top w:val="none" w:sz="0" w:space="0" w:color="auto"/>
        <w:left w:val="none" w:sz="0" w:space="0" w:color="auto"/>
        <w:bottom w:val="none" w:sz="0" w:space="0" w:color="auto"/>
        <w:right w:val="none" w:sz="0" w:space="0" w:color="auto"/>
      </w:divBdr>
      <w:divsChild>
        <w:div w:id="94060972">
          <w:marLeft w:val="0"/>
          <w:marRight w:val="0"/>
          <w:marTop w:val="0"/>
          <w:marBottom w:val="0"/>
          <w:divBdr>
            <w:top w:val="none" w:sz="0" w:space="0" w:color="auto"/>
            <w:left w:val="none" w:sz="0" w:space="0" w:color="auto"/>
            <w:bottom w:val="none" w:sz="0" w:space="0" w:color="auto"/>
            <w:right w:val="none" w:sz="0" w:space="0" w:color="auto"/>
          </w:divBdr>
        </w:div>
      </w:divsChild>
    </w:div>
    <w:div w:id="2136171809">
      <w:bodyDiv w:val="1"/>
      <w:marLeft w:val="0"/>
      <w:marRight w:val="0"/>
      <w:marTop w:val="0"/>
      <w:marBottom w:val="0"/>
      <w:divBdr>
        <w:top w:val="none" w:sz="0" w:space="0" w:color="auto"/>
        <w:left w:val="none" w:sz="0" w:space="0" w:color="auto"/>
        <w:bottom w:val="none" w:sz="0" w:space="0" w:color="auto"/>
        <w:right w:val="none" w:sz="0" w:space="0" w:color="auto"/>
      </w:divBdr>
      <w:divsChild>
        <w:div w:id="496382419">
          <w:marLeft w:val="0"/>
          <w:marRight w:val="0"/>
          <w:marTop w:val="0"/>
          <w:marBottom w:val="0"/>
          <w:divBdr>
            <w:top w:val="none" w:sz="0" w:space="0" w:color="auto"/>
            <w:left w:val="none" w:sz="0" w:space="0" w:color="auto"/>
            <w:bottom w:val="none" w:sz="0" w:space="0" w:color="auto"/>
            <w:right w:val="none" w:sz="0" w:space="0" w:color="auto"/>
          </w:divBdr>
        </w:div>
      </w:divsChild>
    </w:div>
    <w:div w:id="2139033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eader" Target="header6.xml"/><Relationship Id="rId21" Type="http://schemas.openxmlformats.org/officeDocument/2006/relationships/image" Target="media/image5.png"/><Relationship Id="rId42" Type="http://schemas.openxmlformats.org/officeDocument/2006/relationships/image" Target="media/image23.svg"/><Relationship Id="rId63" Type="http://schemas.openxmlformats.org/officeDocument/2006/relationships/image" Target="media/image43.svg"/><Relationship Id="rId84" Type="http://schemas.openxmlformats.org/officeDocument/2006/relationships/image" Target="media/image64.png"/><Relationship Id="rId138" Type="http://schemas.openxmlformats.org/officeDocument/2006/relationships/fontTable" Target="fontTable.xml"/><Relationship Id="rId16" Type="http://schemas.openxmlformats.org/officeDocument/2006/relationships/header" Target="header3.xml"/><Relationship Id="rId107" Type="http://schemas.openxmlformats.org/officeDocument/2006/relationships/image" Target="media/image86.png"/><Relationship Id="rId11" Type="http://schemas.openxmlformats.org/officeDocument/2006/relationships/image" Target="media/image2.emf"/><Relationship Id="rId32" Type="http://schemas.openxmlformats.org/officeDocument/2006/relationships/image" Target="media/image15.png"/><Relationship Id="rId37" Type="http://schemas.openxmlformats.org/officeDocument/2006/relationships/image" Target="media/image19.png"/><Relationship Id="rId53" Type="http://schemas.openxmlformats.org/officeDocument/2006/relationships/hyperlink" Target="https://op.europa.eu/en/publication-detail/-/publication/57cb8a80-4fe4-11f0-a9d0-01aa75ed71a1/language-en" TargetMode="External"/><Relationship Id="rId58" Type="http://schemas.openxmlformats.org/officeDocument/2006/relationships/image" Target="media/image38.png"/><Relationship Id="rId74" Type="http://schemas.openxmlformats.org/officeDocument/2006/relationships/image" Target="media/image54.png"/><Relationship Id="rId79" Type="http://schemas.openxmlformats.org/officeDocument/2006/relationships/image" Target="media/image59.svg"/><Relationship Id="rId102" Type="http://schemas.openxmlformats.org/officeDocument/2006/relationships/image" Target="media/image82.png"/><Relationship Id="rId123" Type="http://schemas.openxmlformats.org/officeDocument/2006/relationships/header" Target="header8.xml"/><Relationship Id="rId128" Type="http://schemas.openxmlformats.org/officeDocument/2006/relationships/footer" Target="footer10.xml"/><Relationship Id="rId5" Type="http://schemas.openxmlformats.org/officeDocument/2006/relationships/numbering" Target="numbering.xml"/><Relationship Id="rId90" Type="http://schemas.openxmlformats.org/officeDocument/2006/relationships/image" Target="media/image70.png"/><Relationship Id="rId95" Type="http://schemas.openxmlformats.org/officeDocument/2006/relationships/image" Target="media/image75.svg"/><Relationship Id="rId22" Type="http://schemas.openxmlformats.org/officeDocument/2006/relationships/image" Target="media/image6.png"/><Relationship Id="rId27" Type="http://schemas.openxmlformats.org/officeDocument/2006/relationships/image" Target="media/image10.png"/><Relationship Id="rId43" Type="http://schemas.openxmlformats.org/officeDocument/2006/relationships/image" Target="media/image24.png"/><Relationship Id="rId48" Type="http://schemas.openxmlformats.org/officeDocument/2006/relationships/image" Target="media/image29.svg"/><Relationship Id="rId64" Type="http://schemas.openxmlformats.org/officeDocument/2006/relationships/image" Target="media/image44.png"/><Relationship Id="rId69" Type="http://schemas.openxmlformats.org/officeDocument/2006/relationships/image" Target="media/image49.svg"/><Relationship Id="rId113" Type="http://schemas.openxmlformats.org/officeDocument/2006/relationships/header" Target="header4.xml"/><Relationship Id="rId118" Type="http://schemas.openxmlformats.org/officeDocument/2006/relationships/footer" Target="footer6.xml"/><Relationship Id="rId134" Type="http://schemas.openxmlformats.org/officeDocument/2006/relationships/hyperlink" Target="https://www.elibrary.imf.org/view/journals/001/2025/222/001.2025.issue-222-en.xml" TargetMode="External"/><Relationship Id="rId139" Type="http://schemas.openxmlformats.org/officeDocument/2006/relationships/theme" Target="theme/theme1.xml"/><Relationship Id="rId80" Type="http://schemas.openxmlformats.org/officeDocument/2006/relationships/image" Target="media/image60.png"/><Relationship Id="rId85" Type="http://schemas.openxmlformats.org/officeDocument/2006/relationships/image" Target="media/image65.svg"/><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18.png"/><Relationship Id="rId38" Type="http://schemas.openxmlformats.org/officeDocument/2006/relationships/image" Target="media/image20.svg"/><Relationship Id="rId59" Type="http://schemas.openxmlformats.org/officeDocument/2006/relationships/image" Target="media/image39.svg"/><Relationship Id="rId103" Type="http://schemas.openxmlformats.org/officeDocument/2006/relationships/image" Target="media/image83.svg"/><Relationship Id="rId108" Type="http://schemas.openxmlformats.org/officeDocument/2006/relationships/image" Target="media/image87.png"/><Relationship Id="rId124" Type="http://schemas.openxmlformats.org/officeDocument/2006/relationships/footer" Target="footer8.xml"/><Relationship Id="rId129" Type="http://schemas.openxmlformats.org/officeDocument/2006/relationships/header" Target="header11.xml"/><Relationship Id="rId54" Type="http://schemas.openxmlformats.org/officeDocument/2006/relationships/image" Target="media/image34.png"/><Relationship Id="rId70" Type="http://schemas.openxmlformats.org/officeDocument/2006/relationships/image" Target="media/image50.png"/><Relationship Id="rId75" Type="http://schemas.openxmlformats.org/officeDocument/2006/relationships/image" Target="media/image55.svg"/><Relationship Id="rId91" Type="http://schemas.openxmlformats.org/officeDocument/2006/relationships/image" Target="media/image71.svg"/><Relationship Id="rId96"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7.jpeg"/><Relationship Id="rId28" Type="http://schemas.openxmlformats.org/officeDocument/2006/relationships/image" Target="media/image11.png"/><Relationship Id="rId49" Type="http://schemas.openxmlformats.org/officeDocument/2006/relationships/image" Target="media/image30.png"/><Relationship Id="rId114" Type="http://schemas.openxmlformats.org/officeDocument/2006/relationships/header" Target="header5.xml"/><Relationship Id="rId119" Type="http://schemas.openxmlformats.org/officeDocument/2006/relationships/image" Target="media/image1.png"/><Relationship Id="rId44" Type="http://schemas.openxmlformats.org/officeDocument/2006/relationships/image" Target="media/image25.svg"/><Relationship Id="rId60" Type="http://schemas.openxmlformats.org/officeDocument/2006/relationships/image" Target="media/image40.png"/><Relationship Id="rId65" Type="http://schemas.openxmlformats.org/officeDocument/2006/relationships/image" Target="media/image45.svg"/><Relationship Id="rId81" Type="http://schemas.openxmlformats.org/officeDocument/2006/relationships/image" Target="media/image61.svg"/><Relationship Id="rId86" Type="http://schemas.openxmlformats.org/officeDocument/2006/relationships/image" Target="media/image66.png"/><Relationship Id="rId130" Type="http://schemas.openxmlformats.org/officeDocument/2006/relationships/footer" Target="footer11.xml"/><Relationship Id="rId135" Type="http://schemas.openxmlformats.org/officeDocument/2006/relationships/hyperlink" Target="https://www.google.com/search?sca_esv=114685c43ef135a0&amp;cs=0&amp;sxsrf=AE3TifM6WnbyVwY3x9F2TUdxl6Zrc9lOzw%3A1760537737218&amp;q=Singapore+Economic+Resilience+Taskforce+%28SERT%29&amp;sa=X&amp;ved=2ahUKEwiQqZ2TsqaQAxWYzwIHHYg9DvYQxccNegQIBBAB&amp;mstk=AUtExfD4f6VWBX5rv70LTL7u1GBWXS5T41cTIMzoOp-zGULEsaPEQH8TjP9JY1_QgLDJRpgXeEo7M76H4Z9PYTu1drcx6bOY4Nr_3sBma3SBXkuL5IoFQ09__5uNNERxopEwlcGdC1fMLh7UdPetmZDIoiOazfiyw5H0_47b70WZPVTQhnhupV1QgBDHtWhgCEn5cpbr925GmUv_aD9Z1Gb2L8hsFC8BPxdw_DOiePoFrendGqRl7oEdXHejeTHd5INBxXGEcxWo-pV84U-Pnk6ykuLCjn_dEy_4at420P8aLyPl5A&amp;csui=3" TargetMode="External"/><Relationship Id="rId13" Type="http://schemas.openxmlformats.org/officeDocument/2006/relationships/header" Target="header2.xml"/><Relationship Id="rId18" Type="http://schemas.openxmlformats.org/officeDocument/2006/relationships/image" Target="media/image3.jpeg"/><Relationship Id="rId39" Type="http://schemas.openxmlformats.org/officeDocument/2006/relationships/image" Target="media/image21.png"/><Relationship Id="rId109" Type="http://schemas.openxmlformats.org/officeDocument/2006/relationships/image" Target="media/image88.png"/><Relationship Id="rId34" Type="http://schemas.openxmlformats.org/officeDocument/2006/relationships/image" Target="media/image16.jpeg"/><Relationship Id="rId50" Type="http://schemas.openxmlformats.org/officeDocument/2006/relationships/image" Target="media/image31.svg"/><Relationship Id="rId55" Type="http://schemas.openxmlformats.org/officeDocument/2006/relationships/image" Target="media/image35.svg"/><Relationship Id="rId76" Type="http://schemas.openxmlformats.org/officeDocument/2006/relationships/image" Target="media/image56.png"/><Relationship Id="rId97" Type="http://schemas.openxmlformats.org/officeDocument/2006/relationships/image" Target="media/image77.svg"/><Relationship Id="rId104" Type="http://schemas.openxmlformats.org/officeDocument/2006/relationships/image" Target="media/image84.png"/><Relationship Id="rId120" Type="http://schemas.openxmlformats.org/officeDocument/2006/relationships/image" Target="media/image90.png"/><Relationship Id="rId125" Type="http://schemas.openxmlformats.org/officeDocument/2006/relationships/header" Target="header9.xml"/><Relationship Id="rId7" Type="http://schemas.openxmlformats.org/officeDocument/2006/relationships/settings" Target="settings.xml"/><Relationship Id="rId71" Type="http://schemas.openxmlformats.org/officeDocument/2006/relationships/image" Target="media/image51.svg"/><Relationship Id="rId92" Type="http://schemas.openxmlformats.org/officeDocument/2006/relationships/image" Target="media/image72.png"/><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image" Target="media/image9.jpeg"/><Relationship Id="rId40" Type="http://schemas.openxmlformats.org/officeDocument/2006/relationships/hyperlink" Target="https://commission.europa.eu/law/law-making-process/better-regulation/simplification-and-implementation/simplification_en" TargetMode="External"/><Relationship Id="rId45" Type="http://schemas.openxmlformats.org/officeDocument/2006/relationships/image" Target="media/image26.png"/><Relationship Id="rId66" Type="http://schemas.openxmlformats.org/officeDocument/2006/relationships/image" Target="media/image46.png"/><Relationship Id="rId87" Type="http://schemas.openxmlformats.org/officeDocument/2006/relationships/image" Target="media/image67.svg"/><Relationship Id="rId110" Type="http://schemas.openxmlformats.org/officeDocument/2006/relationships/image" Target="cid:image002.png@01DC5936.1023CD00" TargetMode="External"/><Relationship Id="rId115" Type="http://schemas.openxmlformats.org/officeDocument/2006/relationships/footer" Target="footer4.xml"/><Relationship Id="rId131" Type="http://schemas.openxmlformats.org/officeDocument/2006/relationships/image" Target="media/image91.png"/><Relationship Id="rId136" Type="http://schemas.openxmlformats.org/officeDocument/2006/relationships/header" Target="header12.xml"/><Relationship Id="rId61" Type="http://schemas.openxmlformats.org/officeDocument/2006/relationships/image" Target="media/image41.svg"/><Relationship Id="rId82" Type="http://schemas.openxmlformats.org/officeDocument/2006/relationships/image" Target="media/image62.png"/><Relationship Id="rId19" Type="http://schemas.openxmlformats.org/officeDocument/2006/relationships/image" Target="media/image4.jpeg"/><Relationship Id="rId14" Type="http://schemas.openxmlformats.org/officeDocument/2006/relationships/footer" Target="footer1.xml"/><Relationship Id="rId30" Type="http://schemas.openxmlformats.org/officeDocument/2006/relationships/image" Target="media/image13.png"/><Relationship Id="rId35" Type="http://schemas.openxmlformats.org/officeDocument/2006/relationships/image" Target="media/image20.jpeg"/><Relationship Id="rId56" Type="http://schemas.openxmlformats.org/officeDocument/2006/relationships/image" Target="media/image36.png"/><Relationship Id="rId77" Type="http://schemas.openxmlformats.org/officeDocument/2006/relationships/image" Target="media/image57.svg"/><Relationship Id="rId100" Type="http://schemas.openxmlformats.org/officeDocument/2006/relationships/image" Target="media/image80.png"/><Relationship Id="rId105" Type="http://schemas.openxmlformats.org/officeDocument/2006/relationships/image" Target="media/image85.svg"/><Relationship Id="rId126" Type="http://schemas.openxmlformats.org/officeDocument/2006/relationships/header" Target="header10.xml"/><Relationship Id="rId8" Type="http://schemas.openxmlformats.org/officeDocument/2006/relationships/webSettings" Target="webSettings.xml"/><Relationship Id="rId51" Type="http://schemas.openxmlformats.org/officeDocument/2006/relationships/image" Target="media/image32.png"/><Relationship Id="rId72" Type="http://schemas.openxmlformats.org/officeDocument/2006/relationships/image" Target="media/image52.png"/><Relationship Id="rId93" Type="http://schemas.openxmlformats.org/officeDocument/2006/relationships/image" Target="media/image73.svg"/><Relationship Id="rId98" Type="http://schemas.openxmlformats.org/officeDocument/2006/relationships/image" Target="media/image78.png"/><Relationship Id="rId121" Type="http://schemas.openxmlformats.org/officeDocument/2006/relationships/header" Target="header7.xml"/><Relationship Id="rId3" Type="http://schemas.openxmlformats.org/officeDocument/2006/relationships/customXml" Target="../customXml/item3.xml"/><Relationship Id="rId25" Type="http://schemas.openxmlformats.org/officeDocument/2006/relationships/image" Target="media/image8.png"/><Relationship Id="rId46" Type="http://schemas.openxmlformats.org/officeDocument/2006/relationships/image" Target="media/image27.svg"/><Relationship Id="rId67" Type="http://schemas.openxmlformats.org/officeDocument/2006/relationships/image" Target="media/image47.svg"/><Relationship Id="rId116" Type="http://schemas.openxmlformats.org/officeDocument/2006/relationships/footer" Target="footer5.xml"/><Relationship Id="rId137" Type="http://schemas.openxmlformats.org/officeDocument/2006/relationships/footer" Target="footer12.xml"/><Relationship Id="rId20" Type="http://schemas.openxmlformats.org/officeDocument/2006/relationships/image" Target="media/image4.png"/><Relationship Id="rId41" Type="http://schemas.openxmlformats.org/officeDocument/2006/relationships/image" Target="media/image22.png"/><Relationship Id="rId62" Type="http://schemas.openxmlformats.org/officeDocument/2006/relationships/image" Target="media/image42.png"/><Relationship Id="rId83" Type="http://schemas.openxmlformats.org/officeDocument/2006/relationships/image" Target="media/image63.svg"/><Relationship Id="rId88" Type="http://schemas.openxmlformats.org/officeDocument/2006/relationships/image" Target="media/image68.png"/><Relationship Id="rId111" Type="http://schemas.openxmlformats.org/officeDocument/2006/relationships/image" Target="media/image89.png"/><Relationship Id="rId132" Type="http://schemas.openxmlformats.org/officeDocument/2006/relationships/hyperlink" Target="https://www.oecd.org/en/publications/economic-security-in-a-changing-world_4eac89c7-en/full-report/economic-security-and-vulnerabilities-in-international-supply-chains_dc88aefa.html" TargetMode="External"/><Relationship Id="rId15" Type="http://schemas.openxmlformats.org/officeDocument/2006/relationships/footer" Target="footer2.xml"/><Relationship Id="rId36" Type="http://schemas.openxmlformats.org/officeDocument/2006/relationships/image" Target="media/image17.png"/><Relationship Id="rId57" Type="http://schemas.openxmlformats.org/officeDocument/2006/relationships/image" Target="media/image37.svg"/><Relationship Id="rId106" Type="http://schemas.openxmlformats.org/officeDocument/2006/relationships/chart" Target="charts/chart1.xml"/><Relationship Id="rId127" Type="http://schemas.openxmlformats.org/officeDocument/2006/relationships/footer" Target="footer9.xml"/><Relationship Id="rId10" Type="http://schemas.openxmlformats.org/officeDocument/2006/relationships/endnotes" Target="endnotes.xml"/><Relationship Id="rId31" Type="http://schemas.openxmlformats.org/officeDocument/2006/relationships/image" Target="media/image14.png"/><Relationship Id="rId52" Type="http://schemas.openxmlformats.org/officeDocument/2006/relationships/image" Target="media/image33.svg"/><Relationship Id="rId73" Type="http://schemas.openxmlformats.org/officeDocument/2006/relationships/image" Target="media/image53.svg"/><Relationship Id="rId78" Type="http://schemas.openxmlformats.org/officeDocument/2006/relationships/image" Target="media/image58.png"/><Relationship Id="rId94" Type="http://schemas.openxmlformats.org/officeDocument/2006/relationships/image" Target="media/image74.png"/><Relationship Id="rId99" Type="http://schemas.openxmlformats.org/officeDocument/2006/relationships/image" Target="media/image79.svg"/><Relationship Id="rId101" Type="http://schemas.openxmlformats.org/officeDocument/2006/relationships/image" Target="media/image81.svg"/><Relationship Id="rId122"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9.png"/><Relationship Id="rId47" Type="http://schemas.openxmlformats.org/officeDocument/2006/relationships/image" Target="media/image28.png"/><Relationship Id="rId68" Type="http://schemas.openxmlformats.org/officeDocument/2006/relationships/image" Target="media/image48.png"/><Relationship Id="rId89" Type="http://schemas.openxmlformats.org/officeDocument/2006/relationships/image" Target="media/image69.svg"/><Relationship Id="rId112" Type="http://schemas.openxmlformats.org/officeDocument/2006/relationships/image" Target="cid:image003.png@01DC5936.1023CD00" TargetMode="External"/><Relationship Id="rId133" Type="http://schemas.openxmlformats.org/officeDocument/2006/relationships/image" Target="media/image92.png"/></Relationships>
</file>

<file path=word/_rels/endnotes.xml.rels><?xml version="1.0" encoding="UTF-8" standalone="yes"?>
<Relationships xmlns="http://schemas.openxmlformats.org/package/2006/relationships"><Relationship Id="rId8" Type="http://schemas.openxmlformats.org/officeDocument/2006/relationships/hyperlink" Target="https://ec.europa.eu/commission/presscorner/detail/en/ip_25_2945" TargetMode="External"/><Relationship Id="rId13" Type="http://schemas.openxmlformats.org/officeDocument/2006/relationships/hyperlink" Target="https://ec.europa.eu/commission/presscorner/detail/en/ip_25_3088" TargetMode="External"/><Relationship Id="rId3" Type="http://schemas.openxmlformats.org/officeDocument/2006/relationships/hyperlink" Target="https://north-africa-middle-east-gulf.ec.europa.eu/trans-mediterranean-renewable-energy-and-clean-tech-cooperation-initiative-t-med_en" TargetMode="External"/><Relationship Id="rId7" Type="http://schemas.openxmlformats.org/officeDocument/2006/relationships/hyperlink" Target="https://www.eib.org/en/press/all/2025-247-eib-group-increases-2025-financing-ceiling-to-record-eur100-billion-to-step-up-investments-in-security-and-defence-energy-grids-and-europe-s-tech-leadership" TargetMode="External"/><Relationship Id="rId12" Type="http://schemas.openxmlformats.org/officeDocument/2006/relationships/hyperlink" Target="https://ec.europa.eu/commission/presscorner/detail/en/ip_25_774" TargetMode="External"/><Relationship Id="rId2" Type="http://schemas.openxmlformats.org/officeDocument/2006/relationships/hyperlink" Target="https://ec.europa.eu/commission/presscorner/detail/en/ip_25_3088" TargetMode="External"/><Relationship Id="rId1" Type="http://schemas.openxmlformats.org/officeDocument/2006/relationships/hyperlink" Target="https://digital-strategy.ec.europa.eu/en/library/proposal-regulation-digital-networks-act-dna" TargetMode="External"/><Relationship Id="rId6" Type="http://schemas.openxmlformats.org/officeDocument/2006/relationships/hyperlink" Target="https://commission.europa.eu/strategy-and-policy/eu-budget/long-term-eu-budget/eu-budget-2028-2034_en" TargetMode="External"/><Relationship Id="rId11" Type="http://schemas.openxmlformats.org/officeDocument/2006/relationships/hyperlink" Target="https://single-market-economy.ec.europa.eu/sectors/raw-materials/areas-specific-interest/critical-raw-materials/strategic-projects-under-crma/selected-projects_en" TargetMode="External"/><Relationship Id="rId5" Type="http://schemas.openxmlformats.org/officeDocument/2006/relationships/hyperlink" Target="https://defence-industry-space.ec.europa.eu/eu-defence-industry/white-paper-european-defence-readiness-2030_en" TargetMode="External"/><Relationship Id="rId15" Type="http://schemas.openxmlformats.org/officeDocument/2006/relationships/hyperlink" Target="https://ec.europa.eu/info/funding-tenders/opportunities/portal/sme/public/organisation-name" TargetMode="External"/><Relationship Id="rId10" Type="http://schemas.openxmlformats.org/officeDocument/2006/relationships/hyperlink" Target="https://climate.ec.europa.eu/news-other-reads/news/commission-publishes-terms-and-conditions-first-pilot-auction-industrial-heat-decarbonisation-budget-2025-10-10_en" TargetMode="External"/><Relationship Id="rId4" Type="http://schemas.openxmlformats.org/officeDocument/2006/relationships/hyperlink" Target="https://energy.ec.europa.eu/topics/energy-security/eu-energy-and-raw-materials-platform_en" TargetMode="External"/><Relationship Id="rId9" Type="http://schemas.openxmlformats.org/officeDocument/2006/relationships/hyperlink" Target="https://competition-policy.ec.europa.eu/state-aid/ipcei/design-support-hub_en" TargetMode="External"/><Relationship Id="rId14" Type="http://schemas.openxmlformats.org/officeDocument/2006/relationships/hyperlink" Target="https://north-africa-middle-east-gulf.ec.europa.eu/trans-mediterranean-renewable-energy-and-clean-tech-cooperation-initiative-t-med_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investeu.europa.eu/investeu-programme/investeu-fund/investeu-indicators_en" TargetMode="External"/><Relationship Id="rId13" Type="http://schemas.openxmlformats.org/officeDocument/2006/relationships/hyperlink" Target="https://www.oecd.org/en/publications/economic-security-in-a-changing-world_4eac89c7-en/full-report/economic-security-and-vulnerabilities-in-international-supply-chains_dc88aefa.html" TargetMode="External"/><Relationship Id="rId3" Type="http://schemas.openxmlformats.org/officeDocument/2006/relationships/hyperlink" Target="https://commission.europa.eu/law/law-making-process/better-regulation/simplification-and-implementation/simplification_en" TargetMode="External"/><Relationship Id="rId7" Type="http://schemas.openxmlformats.org/officeDocument/2006/relationships/hyperlink" Target="https://esco.ec.europa.eu/en/about-esco/escopedia/escopedia/green-skills-labelling-esco" TargetMode="External"/><Relationship Id="rId12" Type="http://schemas.openxmlformats.org/officeDocument/2006/relationships/hyperlink" Target="https://grow-smsgt.acc.fpfis.tech.ec.europa.eu/competitiveness/resilience_en" TargetMode="External"/><Relationship Id="rId2" Type="http://schemas.openxmlformats.org/officeDocument/2006/relationships/hyperlink" Target="https://www.oecd.org/en/topics/services-trade-restrictiveness-index.html" TargetMode="External"/><Relationship Id="rId1" Type="http://schemas.openxmlformats.org/officeDocument/2006/relationships/hyperlink" Target="https://single-market-scoreboard.ec.europa.eu/" TargetMode="External"/><Relationship Id="rId6" Type="http://schemas.openxmlformats.org/officeDocument/2006/relationships/hyperlink" Target="https://eur-lex.europa.eu/eli/reg/2018/1724/oj/eng" TargetMode="External"/><Relationship Id="rId11" Type="http://schemas.openxmlformats.org/officeDocument/2006/relationships/hyperlink" Target="https://single-market-economy.ec.europa.eu/industry/sustainability/net-zero-industry-act_en" TargetMode="External"/><Relationship Id="rId5" Type="http://schemas.openxmlformats.org/officeDocument/2006/relationships/hyperlink" Target="https://digital-strategy.ec.europa.eu/en/library/digital-decade-2025-egovernment-benchmark-2025" TargetMode="External"/><Relationship Id="rId10" Type="http://schemas.openxmlformats.org/officeDocument/2006/relationships/hyperlink" Target="https://energy.ec.europa.eu/publications/assessment-progress-towards-energy-union-and-climate-action-objectives-swd_en" TargetMode="External"/><Relationship Id="rId4" Type="http://schemas.openxmlformats.org/officeDocument/2006/relationships/hyperlink" Target="https://www.oecd.org/en/topics/services-trade-restrictiveness-index.html" TargetMode="External"/><Relationship Id="rId9" Type="http://schemas.openxmlformats.org/officeDocument/2006/relationships/hyperlink" Target="https://investeu.europa.eu/investeu-programme/investeu-fund/investeu-indicators_en" TargetMode="External"/><Relationship Id="rId14" Type="http://schemas.openxmlformats.org/officeDocument/2006/relationships/hyperlink" Target="https://www.elibrary.imf.org/view/journals/001/2025/222/001.2025.issue-222-en.x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eceuropaeu.sharepoint.com/sites/KNB-GROW-A4-Strategy-and-Regulation/2026%20ASMCR/2026%20ASMCR%20-%20Graph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029211761832668E-2"/>
          <c:y val="4.8681335185802754E-2"/>
          <c:w val="0.8836144847838906"/>
          <c:h val="0.82819331004593899"/>
        </c:manualLayout>
      </c:layout>
      <c:barChart>
        <c:barDir val="col"/>
        <c:grouping val="clustered"/>
        <c:varyColors val="0"/>
        <c:ser>
          <c:idx val="1"/>
          <c:order val="0"/>
          <c:tx>
            <c:strRef>
              <c:f>'External Vulnerability'!$A$2</c:f>
              <c:strCache>
                <c:ptCount val="1"/>
                <c:pt idx="0">
                  <c:v>2022</c:v>
                </c:pt>
              </c:strCache>
            </c:strRef>
          </c:tx>
          <c:spPr>
            <a:solidFill>
              <a:srgbClr val="00B0F0"/>
            </a:solidFill>
            <a:ln>
              <a:solidFill>
                <a:srgbClr val="00B0F0"/>
              </a:solidFill>
            </a:ln>
            <a:effectLst/>
          </c:spPr>
          <c:invertIfNegative val="0"/>
          <c:dLbls>
            <c:spPr>
              <a:noFill/>
              <a:ln>
                <a:noFill/>
              </a:ln>
              <a:effectLst/>
            </c:spPr>
            <c:txPr>
              <a:bodyPr rot="-27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'External Vulnerability'!$B$1:$D$1</c:f>
              <c:strCache>
                <c:ptCount val="3"/>
                <c:pt idx="0">
                  <c:v>EU</c:v>
                </c:pt>
                <c:pt idx="1">
                  <c:v>US</c:v>
                </c:pt>
                <c:pt idx="2">
                  <c:v>China</c:v>
                </c:pt>
              </c:strCache>
            </c:strRef>
          </c:cat>
          <c:val>
            <c:numRef>
              <c:f>'External Vulnerability'!$B$2:$D$2</c:f>
              <c:numCache>
                <c:formatCode>0.00</c:formatCode>
                <c:ptCount val="3"/>
                <c:pt idx="0">
                  <c:v>0.19</c:v>
                </c:pt>
                <c:pt idx="1">
                  <c:v>0.28000000000000003</c:v>
                </c:pt>
                <c:pt idx="2">
                  <c:v>0.12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1E38-431B-BAAB-A72C6CC5A052}"/>
            </c:ext>
          </c:extLst>
        </c:ser>
        <c:ser>
          <c:idx val="2"/>
          <c:order val="1"/>
          <c:tx>
            <c:strRef>
              <c:f>'External Vulnerability'!$A$3</c:f>
              <c:strCache>
                <c:ptCount val="1"/>
                <c:pt idx="0">
                  <c:v>2023</c:v>
                </c:pt>
              </c:strCache>
            </c:strRef>
          </c:tx>
          <c:spPr>
            <a:solidFill>
              <a:srgbClr val="0070C0"/>
            </a:solidFill>
            <a:ln>
              <a:solidFill>
                <a:srgbClr val="0070C0"/>
              </a:solidFill>
            </a:ln>
            <a:effectLst/>
          </c:spPr>
          <c:invertIfNegative val="0"/>
          <c:dLbls>
            <c:spPr>
              <a:noFill/>
              <a:ln>
                <a:noFill/>
              </a:ln>
              <a:effectLst/>
            </c:spPr>
            <c:txPr>
              <a:bodyPr rot="-27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'External Vulnerability'!$B$1:$D$1</c:f>
              <c:strCache>
                <c:ptCount val="3"/>
                <c:pt idx="0">
                  <c:v>EU</c:v>
                </c:pt>
                <c:pt idx="1">
                  <c:v>US</c:v>
                </c:pt>
                <c:pt idx="2">
                  <c:v>China</c:v>
                </c:pt>
              </c:strCache>
            </c:strRef>
          </c:cat>
          <c:val>
            <c:numRef>
              <c:f>'External Vulnerability'!$B$3:$D$3</c:f>
              <c:numCache>
                <c:formatCode>0.00</c:formatCode>
                <c:ptCount val="3"/>
                <c:pt idx="0">
                  <c:v>0.2</c:v>
                </c:pt>
                <c:pt idx="1">
                  <c:v>0.28000000000000003</c:v>
                </c:pt>
                <c:pt idx="2">
                  <c:v>0.12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1E38-431B-BAAB-A72C6CC5A052}"/>
            </c:ext>
          </c:extLst>
        </c:ser>
        <c:dLbls>
          <c:dLblPos val="outEnd"/>
          <c:showLegendKey val="0"/>
          <c:showVal val="1"/>
          <c:showCatName val="0"/>
          <c:showSerName val="0"/>
          <c:showPercent val="0"/>
          <c:showBubbleSize val="0"/>
        </c:dLbls>
        <c:gapWidth val="150"/>
        <c:axId val="954798335"/>
        <c:axId val="954819455"/>
      </c:barChart>
      <c:catAx>
        <c:axId val="9547983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54819455"/>
        <c:crosses val="autoZero"/>
        <c:auto val="1"/>
        <c:lblAlgn val="ctr"/>
        <c:lblOffset val="100"/>
        <c:noMultiLvlLbl val="0"/>
      </c:catAx>
      <c:valAx>
        <c:axId val="954819455"/>
        <c:scaling>
          <c:orientation val="minMax"/>
          <c:max val="0.30000000000000004"/>
          <c:min val="0"/>
        </c:scaling>
        <c:delete val="0"/>
        <c:axPos val="l"/>
        <c:title>
          <c:tx>
            <c:rich>
              <a:bodyPr rot="0" spcFirstLastPara="1" vertOverflow="ellipsis" wrap="square" anchor="ctr" anchorCtr="1"/>
              <a:lstStyle/>
              <a:p>
                <a:pPr algn="l">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t>Index value</a:t>
                </a:r>
                <a:r>
                  <a:rPr lang="en-IE" baseline="0"/>
                  <a:t> </a:t>
                </a:r>
              </a:p>
              <a:p>
                <a:pPr algn="l">
                  <a:defRPr/>
                </a:pPr>
                <a:r>
                  <a:rPr lang="en-IE" baseline="0"/>
                  <a:t>(0-1)</a:t>
                </a:r>
              </a:p>
            </c:rich>
          </c:tx>
          <c:layout>
            <c:manualLayout>
              <c:xMode val="edge"/>
              <c:yMode val="edge"/>
              <c:x val="7.2847946568171187E-2"/>
              <c:y val="1.4854649903032454E-2"/>
            </c:manualLayout>
          </c:layout>
          <c:overlay val="0"/>
          <c:spPr>
            <a:noFill/>
            <a:ln>
              <a:noFill/>
            </a:ln>
            <a:effectLst/>
          </c:spPr>
          <c:txPr>
            <a:bodyPr rot="0" spcFirstLastPara="1" vertOverflow="ellipsis" wrap="square" anchor="ctr" anchorCtr="1"/>
            <a:lstStyle/>
            <a:p>
              <a:pPr algn="l">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54798335"/>
        <c:crosses val="autoZero"/>
        <c:crossBetween val="between"/>
        <c:majorUnit val="5.000000000000001E-2"/>
        <c:minorUnit val="1.0000000000000002E-3"/>
      </c:valAx>
      <c:spPr>
        <a:noFill/>
        <a:ln>
          <a:noFill/>
        </a:ln>
        <a:effectLst/>
      </c:spPr>
    </c:plotArea>
    <c:legend>
      <c:legendPos val="b"/>
      <c:layout>
        <c:manualLayout>
          <c:xMode val="edge"/>
          <c:yMode val="edge"/>
          <c:x val="0.77268767952738915"/>
          <c:y val="1.4987136813979956E-2"/>
          <c:w val="0.21102370371245119"/>
          <c:h val="7.2731958781493328E-2"/>
        </c:manualLayout>
      </c:layout>
      <c:overlay val="0"/>
      <c:spPr>
        <a:noFill/>
        <a:ln>
          <a:noFill/>
        </a:ln>
        <a:effectLst/>
      </c:spPr>
      <c:txPr>
        <a:bodyPr rot="0" spcFirstLastPara="1" vertOverflow="ellipsis" vert="horz" wrap="square" anchor="ctr" anchorCtr="1"/>
        <a:lstStyle/>
        <a:p>
          <a:pPr>
            <a:defRPr sz="900" b="0" i="0" u="none" strike="noStrike" kern="1200" baseline="0">
              <a:solidFill>
                <a:srgbClr val="595959"/>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017108F1A3E9479BE5ED246ADBD7EC" ma:contentTypeVersion="4" ma:contentTypeDescription="Create a new document." ma:contentTypeScope="" ma:versionID="1cb5f4962f6d682c5b758fb481b178b4">
  <xsd:schema xmlns:xsd="http://www.w3.org/2001/XMLSchema" xmlns:xs="http://www.w3.org/2001/XMLSchema" xmlns:p="http://schemas.microsoft.com/office/2006/metadata/properties" xmlns:ns2="34266153-3551-435e-a09d-e8f9a82e0e06" targetNamespace="http://schemas.microsoft.com/office/2006/metadata/properties" ma:root="true" ma:fieldsID="94e7fde48314fc483bebfa12d9469028" ns2:_="">
    <xsd:import namespace="34266153-3551-435e-a09d-e8f9a82e0e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266153-3551-435e-a09d-e8f9a82e0e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DD0E8-8660-4CAF-BD28-37E3E4D0BA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C0149C-951C-4C40-8728-C77C9E86A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266153-3551-435e-a09d-e8f9a82e0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F76CC8-E07F-48F6-B2BB-968162035A57}">
  <ds:schemaRefs>
    <ds:schemaRef ds:uri="http://schemas.microsoft.com/sharepoint/v3/contenttype/forms"/>
  </ds:schemaRefs>
</ds:datastoreItem>
</file>

<file path=customXml/itemProps4.xml><?xml version="1.0" encoding="utf-8"?>
<ds:datastoreItem xmlns:ds="http://schemas.openxmlformats.org/officeDocument/2006/customXml" ds:itemID="{1B3DD438-FFFF-4C53-AFBB-D6E7C0962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65</Pages>
  <Words>18641</Words>
  <Characters>102903</Characters>
  <Application>Microsoft Office Word</Application>
  <DocSecurity>0</DocSecurity>
  <Lines>3215</Lines>
  <Paragraphs>2025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119519</CharactersWithSpaces>
  <SharedDoc>false</SharedDoc>
  <HLinks>
    <vt:vector size="720" baseType="variant">
      <vt:variant>
        <vt:i4>5636196</vt:i4>
      </vt:variant>
      <vt:variant>
        <vt:i4>546</vt:i4>
      </vt:variant>
      <vt:variant>
        <vt:i4>0</vt:i4>
      </vt:variant>
      <vt:variant>
        <vt:i4>5</vt:i4>
      </vt:variant>
      <vt:variant>
        <vt:lpwstr>https://www.google.com/search?sca_esv=114685c43ef135a0&amp;cs=0&amp;sxsrf=AE3TifM6WnbyVwY3x9F2TUdxl6Zrc9lOzw%3A1760537737218&amp;q=Singapore+Economic+Resilience+Taskforce+%28SERT%29&amp;sa=X&amp;ved=2ahUKEwiQqZ2TsqaQAxWYzwIHHYg9DvYQxccNegQIBBAB&amp;mstk=AUtExfD4f6VWBX5rv70LTL7u1GBWXS5T41cTIMzoOp-zGULEsaPEQH8TjP9JY1_QgLDJRpgXeEo7M76H4Z9PYTu1drcx6bOY4Nr_3sBma3SBXkuL5IoFQ09__5uNNERxopEwlcGdC1fMLh7UdPetmZDIoiOazfiyw5H0_47b70WZPVTQhnhupV1QgBDHtWhgCEn5cpbr925GmUv_aD9Z1Gb2L8hsFC8BPxdw_DOiePoFrendGqRl7oEdXHejeTHd5INBxXGEcxWo-pV84U-Pnk6ykuLCjn_dEy_4at420P8aLyPl5A&amp;csui=3</vt:lpwstr>
      </vt:variant>
      <vt:variant>
        <vt:lpwstr/>
      </vt:variant>
      <vt:variant>
        <vt:i4>1769543</vt:i4>
      </vt:variant>
      <vt:variant>
        <vt:i4>543</vt:i4>
      </vt:variant>
      <vt:variant>
        <vt:i4>0</vt:i4>
      </vt:variant>
      <vt:variant>
        <vt:i4>5</vt:i4>
      </vt:variant>
      <vt:variant>
        <vt:lpwstr>https://www.elibrary.imf.org/view/journals/001/2025/222/001.2025.issue-222-en.xml</vt:lpwstr>
      </vt:variant>
      <vt:variant>
        <vt:lpwstr/>
      </vt:variant>
      <vt:variant>
        <vt:i4>7274544</vt:i4>
      </vt:variant>
      <vt:variant>
        <vt:i4>540</vt:i4>
      </vt:variant>
      <vt:variant>
        <vt:i4>0</vt:i4>
      </vt:variant>
      <vt:variant>
        <vt:i4>5</vt:i4>
      </vt:variant>
      <vt:variant>
        <vt:lpwstr>https://www.oecd.org/en/publications/economic-security-in-a-changing-world_4eac89c7-en/full-report/economic-security-and-vulnerabilities-in-international-supply-chains_dc88aefa.html</vt:lpwstr>
      </vt:variant>
      <vt:variant>
        <vt:lpwstr/>
      </vt:variant>
      <vt:variant>
        <vt:i4>4456473</vt:i4>
      </vt:variant>
      <vt:variant>
        <vt:i4>522</vt:i4>
      </vt:variant>
      <vt:variant>
        <vt:i4>0</vt:i4>
      </vt:variant>
      <vt:variant>
        <vt:i4>5</vt:i4>
      </vt:variant>
      <vt:variant>
        <vt:lpwstr>https://op.europa.eu/en/publication-detail/-/publication/57cb8a80-4fe4-11f0-a9d0-01aa75ed71a1/language-en</vt:lpwstr>
      </vt:variant>
      <vt:variant>
        <vt:lpwstr/>
      </vt:variant>
      <vt:variant>
        <vt:i4>4456509</vt:i4>
      </vt:variant>
      <vt:variant>
        <vt:i4>519</vt:i4>
      </vt:variant>
      <vt:variant>
        <vt:i4>0</vt:i4>
      </vt:variant>
      <vt:variant>
        <vt:i4>5</vt:i4>
      </vt:variant>
      <vt:variant>
        <vt:lpwstr>https://commission.europa.eu/law/law-making-process/better-regulation/simplification-and-implementation/simplification_en</vt:lpwstr>
      </vt:variant>
      <vt:variant>
        <vt:lpwstr/>
      </vt:variant>
      <vt:variant>
        <vt:i4>1441847</vt:i4>
      </vt:variant>
      <vt:variant>
        <vt:i4>512</vt:i4>
      </vt:variant>
      <vt:variant>
        <vt:i4>0</vt:i4>
      </vt:variant>
      <vt:variant>
        <vt:i4>5</vt:i4>
      </vt:variant>
      <vt:variant>
        <vt:lpwstr/>
      </vt:variant>
      <vt:variant>
        <vt:lpwstr>_Toc220103517</vt:lpwstr>
      </vt:variant>
      <vt:variant>
        <vt:i4>1441847</vt:i4>
      </vt:variant>
      <vt:variant>
        <vt:i4>506</vt:i4>
      </vt:variant>
      <vt:variant>
        <vt:i4>0</vt:i4>
      </vt:variant>
      <vt:variant>
        <vt:i4>5</vt:i4>
      </vt:variant>
      <vt:variant>
        <vt:lpwstr/>
      </vt:variant>
      <vt:variant>
        <vt:lpwstr>_Toc220103516</vt:lpwstr>
      </vt:variant>
      <vt:variant>
        <vt:i4>1441847</vt:i4>
      </vt:variant>
      <vt:variant>
        <vt:i4>500</vt:i4>
      </vt:variant>
      <vt:variant>
        <vt:i4>0</vt:i4>
      </vt:variant>
      <vt:variant>
        <vt:i4>5</vt:i4>
      </vt:variant>
      <vt:variant>
        <vt:lpwstr/>
      </vt:variant>
      <vt:variant>
        <vt:lpwstr>_Toc220103515</vt:lpwstr>
      </vt:variant>
      <vt:variant>
        <vt:i4>1441847</vt:i4>
      </vt:variant>
      <vt:variant>
        <vt:i4>494</vt:i4>
      </vt:variant>
      <vt:variant>
        <vt:i4>0</vt:i4>
      </vt:variant>
      <vt:variant>
        <vt:i4>5</vt:i4>
      </vt:variant>
      <vt:variant>
        <vt:lpwstr/>
      </vt:variant>
      <vt:variant>
        <vt:lpwstr>_Toc220103514</vt:lpwstr>
      </vt:variant>
      <vt:variant>
        <vt:i4>1441847</vt:i4>
      </vt:variant>
      <vt:variant>
        <vt:i4>488</vt:i4>
      </vt:variant>
      <vt:variant>
        <vt:i4>0</vt:i4>
      </vt:variant>
      <vt:variant>
        <vt:i4>5</vt:i4>
      </vt:variant>
      <vt:variant>
        <vt:lpwstr/>
      </vt:variant>
      <vt:variant>
        <vt:lpwstr>_Toc220103513</vt:lpwstr>
      </vt:variant>
      <vt:variant>
        <vt:i4>1441847</vt:i4>
      </vt:variant>
      <vt:variant>
        <vt:i4>482</vt:i4>
      </vt:variant>
      <vt:variant>
        <vt:i4>0</vt:i4>
      </vt:variant>
      <vt:variant>
        <vt:i4>5</vt:i4>
      </vt:variant>
      <vt:variant>
        <vt:lpwstr/>
      </vt:variant>
      <vt:variant>
        <vt:lpwstr>_Toc220103512</vt:lpwstr>
      </vt:variant>
      <vt:variant>
        <vt:i4>1441847</vt:i4>
      </vt:variant>
      <vt:variant>
        <vt:i4>476</vt:i4>
      </vt:variant>
      <vt:variant>
        <vt:i4>0</vt:i4>
      </vt:variant>
      <vt:variant>
        <vt:i4>5</vt:i4>
      </vt:variant>
      <vt:variant>
        <vt:lpwstr/>
      </vt:variant>
      <vt:variant>
        <vt:lpwstr>_Toc220103511</vt:lpwstr>
      </vt:variant>
      <vt:variant>
        <vt:i4>1441847</vt:i4>
      </vt:variant>
      <vt:variant>
        <vt:i4>470</vt:i4>
      </vt:variant>
      <vt:variant>
        <vt:i4>0</vt:i4>
      </vt:variant>
      <vt:variant>
        <vt:i4>5</vt:i4>
      </vt:variant>
      <vt:variant>
        <vt:lpwstr/>
      </vt:variant>
      <vt:variant>
        <vt:lpwstr>_Toc220103510</vt:lpwstr>
      </vt:variant>
      <vt:variant>
        <vt:i4>1507383</vt:i4>
      </vt:variant>
      <vt:variant>
        <vt:i4>464</vt:i4>
      </vt:variant>
      <vt:variant>
        <vt:i4>0</vt:i4>
      </vt:variant>
      <vt:variant>
        <vt:i4>5</vt:i4>
      </vt:variant>
      <vt:variant>
        <vt:lpwstr/>
      </vt:variant>
      <vt:variant>
        <vt:lpwstr>_Toc220103509</vt:lpwstr>
      </vt:variant>
      <vt:variant>
        <vt:i4>1507383</vt:i4>
      </vt:variant>
      <vt:variant>
        <vt:i4>458</vt:i4>
      </vt:variant>
      <vt:variant>
        <vt:i4>0</vt:i4>
      </vt:variant>
      <vt:variant>
        <vt:i4>5</vt:i4>
      </vt:variant>
      <vt:variant>
        <vt:lpwstr/>
      </vt:variant>
      <vt:variant>
        <vt:lpwstr>_Toc220103508</vt:lpwstr>
      </vt:variant>
      <vt:variant>
        <vt:i4>1507383</vt:i4>
      </vt:variant>
      <vt:variant>
        <vt:i4>452</vt:i4>
      </vt:variant>
      <vt:variant>
        <vt:i4>0</vt:i4>
      </vt:variant>
      <vt:variant>
        <vt:i4>5</vt:i4>
      </vt:variant>
      <vt:variant>
        <vt:lpwstr/>
      </vt:variant>
      <vt:variant>
        <vt:lpwstr>_Toc220103507</vt:lpwstr>
      </vt:variant>
      <vt:variant>
        <vt:i4>1507383</vt:i4>
      </vt:variant>
      <vt:variant>
        <vt:i4>446</vt:i4>
      </vt:variant>
      <vt:variant>
        <vt:i4>0</vt:i4>
      </vt:variant>
      <vt:variant>
        <vt:i4>5</vt:i4>
      </vt:variant>
      <vt:variant>
        <vt:lpwstr/>
      </vt:variant>
      <vt:variant>
        <vt:lpwstr>_Toc220103506</vt:lpwstr>
      </vt:variant>
      <vt:variant>
        <vt:i4>1507383</vt:i4>
      </vt:variant>
      <vt:variant>
        <vt:i4>440</vt:i4>
      </vt:variant>
      <vt:variant>
        <vt:i4>0</vt:i4>
      </vt:variant>
      <vt:variant>
        <vt:i4>5</vt:i4>
      </vt:variant>
      <vt:variant>
        <vt:lpwstr/>
      </vt:variant>
      <vt:variant>
        <vt:lpwstr>_Toc220103505</vt:lpwstr>
      </vt:variant>
      <vt:variant>
        <vt:i4>1507383</vt:i4>
      </vt:variant>
      <vt:variant>
        <vt:i4>434</vt:i4>
      </vt:variant>
      <vt:variant>
        <vt:i4>0</vt:i4>
      </vt:variant>
      <vt:variant>
        <vt:i4>5</vt:i4>
      </vt:variant>
      <vt:variant>
        <vt:lpwstr/>
      </vt:variant>
      <vt:variant>
        <vt:lpwstr>_Toc220103504</vt:lpwstr>
      </vt:variant>
      <vt:variant>
        <vt:i4>1507383</vt:i4>
      </vt:variant>
      <vt:variant>
        <vt:i4>428</vt:i4>
      </vt:variant>
      <vt:variant>
        <vt:i4>0</vt:i4>
      </vt:variant>
      <vt:variant>
        <vt:i4>5</vt:i4>
      </vt:variant>
      <vt:variant>
        <vt:lpwstr/>
      </vt:variant>
      <vt:variant>
        <vt:lpwstr>_Toc220103503</vt:lpwstr>
      </vt:variant>
      <vt:variant>
        <vt:i4>1507383</vt:i4>
      </vt:variant>
      <vt:variant>
        <vt:i4>422</vt:i4>
      </vt:variant>
      <vt:variant>
        <vt:i4>0</vt:i4>
      </vt:variant>
      <vt:variant>
        <vt:i4>5</vt:i4>
      </vt:variant>
      <vt:variant>
        <vt:lpwstr/>
      </vt:variant>
      <vt:variant>
        <vt:lpwstr>_Toc220103502</vt:lpwstr>
      </vt:variant>
      <vt:variant>
        <vt:i4>1507383</vt:i4>
      </vt:variant>
      <vt:variant>
        <vt:i4>416</vt:i4>
      </vt:variant>
      <vt:variant>
        <vt:i4>0</vt:i4>
      </vt:variant>
      <vt:variant>
        <vt:i4>5</vt:i4>
      </vt:variant>
      <vt:variant>
        <vt:lpwstr/>
      </vt:variant>
      <vt:variant>
        <vt:lpwstr>_Toc220103501</vt:lpwstr>
      </vt:variant>
      <vt:variant>
        <vt:i4>1507383</vt:i4>
      </vt:variant>
      <vt:variant>
        <vt:i4>410</vt:i4>
      </vt:variant>
      <vt:variant>
        <vt:i4>0</vt:i4>
      </vt:variant>
      <vt:variant>
        <vt:i4>5</vt:i4>
      </vt:variant>
      <vt:variant>
        <vt:lpwstr/>
      </vt:variant>
      <vt:variant>
        <vt:lpwstr>_Toc220103500</vt:lpwstr>
      </vt:variant>
      <vt:variant>
        <vt:i4>1966134</vt:i4>
      </vt:variant>
      <vt:variant>
        <vt:i4>404</vt:i4>
      </vt:variant>
      <vt:variant>
        <vt:i4>0</vt:i4>
      </vt:variant>
      <vt:variant>
        <vt:i4>5</vt:i4>
      </vt:variant>
      <vt:variant>
        <vt:lpwstr/>
      </vt:variant>
      <vt:variant>
        <vt:lpwstr>_Toc220103499</vt:lpwstr>
      </vt:variant>
      <vt:variant>
        <vt:i4>1966134</vt:i4>
      </vt:variant>
      <vt:variant>
        <vt:i4>398</vt:i4>
      </vt:variant>
      <vt:variant>
        <vt:i4>0</vt:i4>
      </vt:variant>
      <vt:variant>
        <vt:i4>5</vt:i4>
      </vt:variant>
      <vt:variant>
        <vt:lpwstr/>
      </vt:variant>
      <vt:variant>
        <vt:lpwstr>_Toc220103498</vt:lpwstr>
      </vt:variant>
      <vt:variant>
        <vt:i4>1966134</vt:i4>
      </vt:variant>
      <vt:variant>
        <vt:i4>392</vt:i4>
      </vt:variant>
      <vt:variant>
        <vt:i4>0</vt:i4>
      </vt:variant>
      <vt:variant>
        <vt:i4>5</vt:i4>
      </vt:variant>
      <vt:variant>
        <vt:lpwstr/>
      </vt:variant>
      <vt:variant>
        <vt:lpwstr>_Toc220103497</vt:lpwstr>
      </vt:variant>
      <vt:variant>
        <vt:i4>1966134</vt:i4>
      </vt:variant>
      <vt:variant>
        <vt:i4>386</vt:i4>
      </vt:variant>
      <vt:variant>
        <vt:i4>0</vt:i4>
      </vt:variant>
      <vt:variant>
        <vt:i4>5</vt:i4>
      </vt:variant>
      <vt:variant>
        <vt:lpwstr/>
      </vt:variant>
      <vt:variant>
        <vt:lpwstr>_Toc220103496</vt:lpwstr>
      </vt:variant>
      <vt:variant>
        <vt:i4>1966134</vt:i4>
      </vt:variant>
      <vt:variant>
        <vt:i4>380</vt:i4>
      </vt:variant>
      <vt:variant>
        <vt:i4>0</vt:i4>
      </vt:variant>
      <vt:variant>
        <vt:i4>5</vt:i4>
      </vt:variant>
      <vt:variant>
        <vt:lpwstr/>
      </vt:variant>
      <vt:variant>
        <vt:lpwstr>_Toc220103495</vt:lpwstr>
      </vt:variant>
      <vt:variant>
        <vt:i4>1966134</vt:i4>
      </vt:variant>
      <vt:variant>
        <vt:i4>374</vt:i4>
      </vt:variant>
      <vt:variant>
        <vt:i4>0</vt:i4>
      </vt:variant>
      <vt:variant>
        <vt:i4>5</vt:i4>
      </vt:variant>
      <vt:variant>
        <vt:lpwstr/>
      </vt:variant>
      <vt:variant>
        <vt:lpwstr>_Toc220103494</vt:lpwstr>
      </vt:variant>
      <vt:variant>
        <vt:i4>1966134</vt:i4>
      </vt:variant>
      <vt:variant>
        <vt:i4>368</vt:i4>
      </vt:variant>
      <vt:variant>
        <vt:i4>0</vt:i4>
      </vt:variant>
      <vt:variant>
        <vt:i4>5</vt:i4>
      </vt:variant>
      <vt:variant>
        <vt:lpwstr/>
      </vt:variant>
      <vt:variant>
        <vt:lpwstr>_Toc220103493</vt:lpwstr>
      </vt:variant>
      <vt:variant>
        <vt:i4>1966134</vt:i4>
      </vt:variant>
      <vt:variant>
        <vt:i4>362</vt:i4>
      </vt:variant>
      <vt:variant>
        <vt:i4>0</vt:i4>
      </vt:variant>
      <vt:variant>
        <vt:i4>5</vt:i4>
      </vt:variant>
      <vt:variant>
        <vt:lpwstr/>
      </vt:variant>
      <vt:variant>
        <vt:lpwstr>_Toc220103492</vt:lpwstr>
      </vt:variant>
      <vt:variant>
        <vt:i4>1966134</vt:i4>
      </vt:variant>
      <vt:variant>
        <vt:i4>356</vt:i4>
      </vt:variant>
      <vt:variant>
        <vt:i4>0</vt:i4>
      </vt:variant>
      <vt:variant>
        <vt:i4>5</vt:i4>
      </vt:variant>
      <vt:variant>
        <vt:lpwstr/>
      </vt:variant>
      <vt:variant>
        <vt:lpwstr>_Toc220103491</vt:lpwstr>
      </vt:variant>
      <vt:variant>
        <vt:i4>1966134</vt:i4>
      </vt:variant>
      <vt:variant>
        <vt:i4>350</vt:i4>
      </vt:variant>
      <vt:variant>
        <vt:i4>0</vt:i4>
      </vt:variant>
      <vt:variant>
        <vt:i4>5</vt:i4>
      </vt:variant>
      <vt:variant>
        <vt:lpwstr/>
      </vt:variant>
      <vt:variant>
        <vt:lpwstr>_Toc220103490</vt:lpwstr>
      </vt:variant>
      <vt:variant>
        <vt:i4>2031670</vt:i4>
      </vt:variant>
      <vt:variant>
        <vt:i4>344</vt:i4>
      </vt:variant>
      <vt:variant>
        <vt:i4>0</vt:i4>
      </vt:variant>
      <vt:variant>
        <vt:i4>5</vt:i4>
      </vt:variant>
      <vt:variant>
        <vt:lpwstr/>
      </vt:variant>
      <vt:variant>
        <vt:lpwstr>_Toc220103489</vt:lpwstr>
      </vt:variant>
      <vt:variant>
        <vt:i4>2031670</vt:i4>
      </vt:variant>
      <vt:variant>
        <vt:i4>338</vt:i4>
      </vt:variant>
      <vt:variant>
        <vt:i4>0</vt:i4>
      </vt:variant>
      <vt:variant>
        <vt:i4>5</vt:i4>
      </vt:variant>
      <vt:variant>
        <vt:lpwstr/>
      </vt:variant>
      <vt:variant>
        <vt:lpwstr>_Toc220103488</vt:lpwstr>
      </vt:variant>
      <vt:variant>
        <vt:i4>2031670</vt:i4>
      </vt:variant>
      <vt:variant>
        <vt:i4>332</vt:i4>
      </vt:variant>
      <vt:variant>
        <vt:i4>0</vt:i4>
      </vt:variant>
      <vt:variant>
        <vt:i4>5</vt:i4>
      </vt:variant>
      <vt:variant>
        <vt:lpwstr/>
      </vt:variant>
      <vt:variant>
        <vt:lpwstr>_Toc220103487</vt:lpwstr>
      </vt:variant>
      <vt:variant>
        <vt:i4>2031670</vt:i4>
      </vt:variant>
      <vt:variant>
        <vt:i4>326</vt:i4>
      </vt:variant>
      <vt:variant>
        <vt:i4>0</vt:i4>
      </vt:variant>
      <vt:variant>
        <vt:i4>5</vt:i4>
      </vt:variant>
      <vt:variant>
        <vt:lpwstr/>
      </vt:variant>
      <vt:variant>
        <vt:lpwstr>_Toc220103486</vt:lpwstr>
      </vt:variant>
      <vt:variant>
        <vt:i4>2031670</vt:i4>
      </vt:variant>
      <vt:variant>
        <vt:i4>320</vt:i4>
      </vt:variant>
      <vt:variant>
        <vt:i4>0</vt:i4>
      </vt:variant>
      <vt:variant>
        <vt:i4>5</vt:i4>
      </vt:variant>
      <vt:variant>
        <vt:lpwstr/>
      </vt:variant>
      <vt:variant>
        <vt:lpwstr>_Toc220103485</vt:lpwstr>
      </vt:variant>
      <vt:variant>
        <vt:i4>2031670</vt:i4>
      </vt:variant>
      <vt:variant>
        <vt:i4>314</vt:i4>
      </vt:variant>
      <vt:variant>
        <vt:i4>0</vt:i4>
      </vt:variant>
      <vt:variant>
        <vt:i4>5</vt:i4>
      </vt:variant>
      <vt:variant>
        <vt:lpwstr/>
      </vt:variant>
      <vt:variant>
        <vt:lpwstr>_Toc220103484</vt:lpwstr>
      </vt:variant>
      <vt:variant>
        <vt:i4>2031670</vt:i4>
      </vt:variant>
      <vt:variant>
        <vt:i4>308</vt:i4>
      </vt:variant>
      <vt:variant>
        <vt:i4>0</vt:i4>
      </vt:variant>
      <vt:variant>
        <vt:i4>5</vt:i4>
      </vt:variant>
      <vt:variant>
        <vt:lpwstr/>
      </vt:variant>
      <vt:variant>
        <vt:lpwstr>_Toc220103483</vt:lpwstr>
      </vt:variant>
      <vt:variant>
        <vt:i4>2031670</vt:i4>
      </vt:variant>
      <vt:variant>
        <vt:i4>302</vt:i4>
      </vt:variant>
      <vt:variant>
        <vt:i4>0</vt:i4>
      </vt:variant>
      <vt:variant>
        <vt:i4>5</vt:i4>
      </vt:variant>
      <vt:variant>
        <vt:lpwstr/>
      </vt:variant>
      <vt:variant>
        <vt:lpwstr>_Toc220103482</vt:lpwstr>
      </vt:variant>
      <vt:variant>
        <vt:i4>2031670</vt:i4>
      </vt:variant>
      <vt:variant>
        <vt:i4>296</vt:i4>
      </vt:variant>
      <vt:variant>
        <vt:i4>0</vt:i4>
      </vt:variant>
      <vt:variant>
        <vt:i4>5</vt:i4>
      </vt:variant>
      <vt:variant>
        <vt:lpwstr/>
      </vt:variant>
      <vt:variant>
        <vt:lpwstr>_Toc220103481</vt:lpwstr>
      </vt:variant>
      <vt:variant>
        <vt:i4>2031670</vt:i4>
      </vt:variant>
      <vt:variant>
        <vt:i4>290</vt:i4>
      </vt:variant>
      <vt:variant>
        <vt:i4>0</vt:i4>
      </vt:variant>
      <vt:variant>
        <vt:i4>5</vt:i4>
      </vt:variant>
      <vt:variant>
        <vt:lpwstr/>
      </vt:variant>
      <vt:variant>
        <vt:lpwstr>_Toc220103480</vt:lpwstr>
      </vt:variant>
      <vt:variant>
        <vt:i4>1048630</vt:i4>
      </vt:variant>
      <vt:variant>
        <vt:i4>284</vt:i4>
      </vt:variant>
      <vt:variant>
        <vt:i4>0</vt:i4>
      </vt:variant>
      <vt:variant>
        <vt:i4>5</vt:i4>
      </vt:variant>
      <vt:variant>
        <vt:lpwstr/>
      </vt:variant>
      <vt:variant>
        <vt:lpwstr>_Toc220103479</vt:lpwstr>
      </vt:variant>
      <vt:variant>
        <vt:i4>1048630</vt:i4>
      </vt:variant>
      <vt:variant>
        <vt:i4>278</vt:i4>
      </vt:variant>
      <vt:variant>
        <vt:i4>0</vt:i4>
      </vt:variant>
      <vt:variant>
        <vt:i4>5</vt:i4>
      </vt:variant>
      <vt:variant>
        <vt:lpwstr/>
      </vt:variant>
      <vt:variant>
        <vt:lpwstr>_Toc220103478</vt:lpwstr>
      </vt:variant>
      <vt:variant>
        <vt:i4>1048630</vt:i4>
      </vt:variant>
      <vt:variant>
        <vt:i4>272</vt:i4>
      </vt:variant>
      <vt:variant>
        <vt:i4>0</vt:i4>
      </vt:variant>
      <vt:variant>
        <vt:i4>5</vt:i4>
      </vt:variant>
      <vt:variant>
        <vt:lpwstr/>
      </vt:variant>
      <vt:variant>
        <vt:lpwstr>_Toc220103477</vt:lpwstr>
      </vt:variant>
      <vt:variant>
        <vt:i4>1048630</vt:i4>
      </vt:variant>
      <vt:variant>
        <vt:i4>266</vt:i4>
      </vt:variant>
      <vt:variant>
        <vt:i4>0</vt:i4>
      </vt:variant>
      <vt:variant>
        <vt:i4>5</vt:i4>
      </vt:variant>
      <vt:variant>
        <vt:lpwstr/>
      </vt:variant>
      <vt:variant>
        <vt:lpwstr>_Toc220103476</vt:lpwstr>
      </vt:variant>
      <vt:variant>
        <vt:i4>1048630</vt:i4>
      </vt:variant>
      <vt:variant>
        <vt:i4>260</vt:i4>
      </vt:variant>
      <vt:variant>
        <vt:i4>0</vt:i4>
      </vt:variant>
      <vt:variant>
        <vt:i4>5</vt:i4>
      </vt:variant>
      <vt:variant>
        <vt:lpwstr/>
      </vt:variant>
      <vt:variant>
        <vt:lpwstr>_Toc220103475</vt:lpwstr>
      </vt:variant>
      <vt:variant>
        <vt:i4>1048630</vt:i4>
      </vt:variant>
      <vt:variant>
        <vt:i4>254</vt:i4>
      </vt:variant>
      <vt:variant>
        <vt:i4>0</vt:i4>
      </vt:variant>
      <vt:variant>
        <vt:i4>5</vt:i4>
      </vt:variant>
      <vt:variant>
        <vt:lpwstr/>
      </vt:variant>
      <vt:variant>
        <vt:lpwstr>_Toc220103474</vt:lpwstr>
      </vt:variant>
      <vt:variant>
        <vt:i4>1048630</vt:i4>
      </vt:variant>
      <vt:variant>
        <vt:i4>248</vt:i4>
      </vt:variant>
      <vt:variant>
        <vt:i4>0</vt:i4>
      </vt:variant>
      <vt:variant>
        <vt:i4>5</vt:i4>
      </vt:variant>
      <vt:variant>
        <vt:lpwstr/>
      </vt:variant>
      <vt:variant>
        <vt:lpwstr>_Toc220103473</vt:lpwstr>
      </vt:variant>
      <vt:variant>
        <vt:i4>1048630</vt:i4>
      </vt:variant>
      <vt:variant>
        <vt:i4>242</vt:i4>
      </vt:variant>
      <vt:variant>
        <vt:i4>0</vt:i4>
      </vt:variant>
      <vt:variant>
        <vt:i4>5</vt:i4>
      </vt:variant>
      <vt:variant>
        <vt:lpwstr/>
      </vt:variant>
      <vt:variant>
        <vt:lpwstr>_Toc220103472</vt:lpwstr>
      </vt:variant>
      <vt:variant>
        <vt:i4>1048630</vt:i4>
      </vt:variant>
      <vt:variant>
        <vt:i4>236</vt:i4>
      </vt:variant>
      <vt:variant>
        <vt:i4>0</vt:i4>
      </vt:variant>
      <vt:variant>
        <vt:i4>5</vt:i4>
      </vt:variant>
      <vt:variant>
        <vt:lpwstr/>
      </vt:variant>
      <vt:variant>
        <vt:lpwstr>_Toc220103471</vt:lpwstr>
      </vt:variant>
      <vt:variant>
        <vt:i4>1048630</vt:i4>
      </vt:variant>
      <vt:variant>
        <vt:i4>230</vt:i4>
      </vt:variant>
      <vt:variant>
        <vt:i4>0</vt:i4>
      </vt:variant>
      <vt:variant>
        <vt:i4>5</vt:i4>
      </vt:variant>
      <vt:variant>
        <vt:lpwstr/>
      </vt:variant>
      <vt:variant>
        <vt:lpwstr>_Toc220103470</vt:lpwstr>
      </vt:variant>
      <vt:variant>
        <vt:i4>1114166</vt:i4>
      </vt:variant>
      <vt:variant>
        <vt:i4>224</vt:i4>
      </vt:variant>
      <vt:variant>
        <vt:i4>0</vt:i4>
      </vt:variant>
      <vt:variant>
        <vt:i4>5</vt:i4>
      </vt:variant>
      <vt:variant>
        <vt:lpwstr/>
      </vt:variant>
      <vt:variant>
        <vt:lpwstr>_Toc220103469</vt:lpwstr>
      </vt:variant>
      <vt:variant>
        <vt:i4>1114166</vt:i4>
      </vt:variant>
      <vt:variant>
        <vt:i4>218</vt:i4>
      </vt:variant>
      <vt:variant>
        <vt:i4>0</vt:i4>
      </vt:variant>
      <vt:variant>
        <vt:i4>5</vt:i4>
      </vt:variant>
      <vt:variant>
        <vt:lpwstr/>
      </vt:variant>
      <vt:variant>
        <vt:lpwstr>_Toc220103468</vt:lpwstr>
      </vt:variant>
      <vt:variant>
        <vt:i4>1114166</vt:i4>
      </vt:variant>
      <vt:variant>
        <vt:i4>212</vt:i4>
      </vt:variant>
      <vt:variant>
        <vt:i4>0</vt:i4>
      </vt:variant>
      <vt:variant>
        <vt:i4>5</vt:i4>
      </vt:variant>
      <vt:variant>
        <vt:lpwstr/>
      </vt:variant>
      <vt:variant>
        <vt:lpwstr>_Toc220103467</vt:lpwstr>
      </vt:variant>
      <vt:variant>
        <vt:i4>1114166</vt:i4>
      </vt:variant>
      <vt:variant>
        <vt:i4>206</vt:i4>
      </vt:variant>
      <vt:variant>
        <vt:i4>0</vt:i4>
      </vt:variant>
      <vt:variant>
        <vt:i4>5</vt:i4>
      </vt:variant>
      <vt:variant>
        <vt:lpwstr/>
      </vt:variant>
      <vt:variant>
        <vt:lpwstr>_Toc220103466</vt:lpwstr>
      </vt:variant>
      <vt:variant>
        <vt:i4>1114166</vt:i4>
      </vt:variant>
      <vt:variant>
        <vt:i4>200</vt:i4>
      </vt:variant>
      <vt:variant>
        <vt:i4>0</vt:i4>
      </vt:variant>
      <vt:variant>
        <vt:i4>5</vt:i4>
      </vt:variant>
      <vt:variant>
        <vt:lpwstr/>
      </vt:variant>
      <vt:variant>
        <vt:lpwstr>_Toc220103465</vt:lpwstr>
      </vt:variant>
      <vt:variant>
        <vt:i4>1114166</vt:i4>
      </vt:variant>
      <vt:variant>
        <vt:i4>194</vt:i4>
      </vt:variant>
      <vt:variant>
        <vt:i4>0</vt:i4>
      </vt:variant>
      <vt:variant>
        <vt:i4>5</vt:i4>
      </vt:variant>
      <vt:variant>
        <vt:lpwstr/>
      </vt:variant>
      <vt:variant>
        <vt:lpwstr>_Toc220103464</vt:lpwstr>
      </vt:variant>
      <vt:variant>
        <vt:i4>1114166</vt:i4>
      </vt:variant>
      <vt:variant>
        <vt:i4>188</vt:i4>
      </vt:variant>
      <vt:variant>
        <vt:i4>0</vt:i4>
      </vt:variant>
      <vt:variant>
        <vt:i4>5</vt:i4>
      </vt:variant>
      <vt:variant>
        <vt:lpwstr/>
      </vt:variant>
      <vt:variant>
        <vt:lpwstr>_Toc220103463</vt:lpwstr>
      </vt:variant>
      <vt:variant>
        <vt:i4>1114166</vt:i4>
      </vt:variant>
      <vt:variant>
        <vt:i4>182</vt:i4>
      </vt:variant>
      <vt:variant>
        <vt:i4>0</vt:i4>
      </vt:variant>
      <vt:variant>
        <vt:i4>5</vt:i4>
      </vt:variant>
      <vt:variant>
        <vt:lpwstr/>
      </vt:variant>
      <vt:variant>
        <vt:lpwstr>_Toc220103462</vt:lpwstr>
      </vt:variant>
      <vt:variant>
        <vt:i4>1114166</vt:i4>
      </vt:variant>
      <vt:variant>
        <vt:i4>176</vt:i4>
      </vt:variant>
      <vt:variant>
        <vt:i4>0</vt:i4>
      </vt:variant>
      <vt:variant>
        <vt:i4>5</vt:i4>
      </vt:variant>
      <vt:variant>
        <vt:lpwstr/>
      </vt:variant>
      <vt:variant>
        <vt:lpwstr>_Toc220103461</vt:lpwstr>
      </vt:variant>
      <vt:variant>
        <vt:i4>1114166</vt:i4>
      </vt:variant>
      <vt:variant>
        <vt:i4>170</vt:i4>
      </vt:variant>
      <vt:variant>
        <vt:i4>0</vt:i4>
      </vt:variant>
      <vt:variant>
        <vt:i4>5</vt:i4>
      </vt:variant>
      <vt:variant>
        <vt:lpwstr/>
      </vt:variant>
      <vt:variant>
        <vt:lpwstr>_Toc220103460</vt:lpwstr>
      </vt:variant>
      <vt:variant>
        <vt:i4>1179702</vt:i4>
      </vt:variant>
      <vt:variant>
        <vt:i4>164</vt:i4>
      </vt:variant>
      <vt:variant>
        <vt:i4>0</vt:i4>
      </vt:variant>
      <vt:variant>
        <vt:i4>5</vt:i4>
      </vt:variant>
      <vt:variant>
        <vt:lpwstr/>
      </vt:variant>
      <vt:variant>
        <vt:lpwstr>_Toc220103459</vt:lpwstr>
      </vt:variant>
      <vt:variant>
        <vt:i4>1179702</vt:i4>
      </vt:variant>
      <vt:variant>
        <vt:i4>158</vt:i4>
      </vt:variant>
      <vt:variant>
        <vt:i4>0</vt:i4>
      </vt:variant>
      <vt:variant>
        <vt:i4>5</vt:i4>
      </vt:variant>
      <vt:variant>
        <vt:lpwstr/>
      </vt:variant>
      <vt:variant>
        <vt:lpwstr>_Toc220103458</vt:lpwstr>
      </vt:variant>
      <vt:variant>
        <vt:i4>1179702</vt:i4>
      </vt:variant>
      <vt:variant>
        <vt:i4>152</vt:i4>
      </vt:variant>
      <vt:variant>
        <vt:i4>0</vt:i4>
      </vt:variant>
      <vt:variant>
        <vt:i4>5</vt:i4>
      </vt:variant>
      <vt:variant>
        <vt:lpwstr/>
      </vt:variant>
      <vt:variant>
        <vt:lpwstr>_Toc220103457</vt:lpwstr>
      </vt:variant>
      <vt:variant>
        <vt:i4>1179702</vt:i4>
      </vt:variant>
      <vt:variant>
        <vt:i4>146</vt:i4>
      </vt:variant>
      <vt:variant>
        <vt:i4>0</vt:i4>
      </vt:variant>
      <vt:variant>
        <vt:i4>5</vt:i4>
      </vt:variant>
      <vt:variant>
        <vt:lpwstr/>
      </vt:variant>
      <vt:variant>
        <vt:lpwstr>_Toc220103456</vt:lpwstr>
      </vt:variant>
      <vt:variant>
        <vt:i4>1179702</vt:i4>
      </vt:variant>
      <vt:variant>
        <vt:i4>140</vt:i4>
      </vt:variant>
      <vt:variant>
        <vt:i4>0</vt:i4>
      </vt:variant>
      <vt:variant>
        <vt:i4>5</vt:i4>
      </vt:variant>
      <vt:variant>
        <vt:lpwstr/>
      </vt:variant>
      <vt:variant>
        <vt:lpwstr>_Toc220103455</vt:lpwstr>
      </vt:variant>
      <vt:variant>
        <vt:i4>1179702</vt:i4>
      </vt:variant>
      <vt:variant>
        <vt:i4>134</vt:i4>
      </vt:variant>
      <vt:variant>
        <vt:i4>0</vt:i4>
      </vt:variant>
      <vt:variant>
        <vt:i4>5</vt:i4>
      </vt:variant>
      <vt:variant>
        <vt:lpwstr/>
      </vt:variant>
      <vt:variant>
        <vt:lpwstr>_Toc220103454</vt:lpwstr>
      </vt:variant>
      <vt:variant>
        <vt:i4>1179702</vt:i4>
      </vt:variant>
      <vt:variant>
        <vt:i4>128</vt:i4>
      </vt:variant>
      <vt:variant>
        <vt:i4>0</vt:i4>
      </vt:variant>
      <vt:variant>
        <vt:i4>5</vt:i4>
      </vt:variant>
      <vt:variant>
        <vt:lpwstr/>
      </vt:variant>
      <vt:variant>
        <vt:lpwstr>_Toc220103453</vt:lpwstr>
      </vt:variant>
      <vt:variant>
        <vt:i4>1179702</vt:i4>
      </vt:variant>
      <vt:variant>
        <vt:i4>122</vt:i4>
      </vt:variant>
      <vt:variant>
        <vt:i4>0</vt:i4>
      </vt:variant>
      <vt:variant>
        <vt:i4>5</vt:i4>
      </vt:variant>
      <vt:variant>
        <vt:lpwstr/>
      </vt:variant>
      <vt:variant>
        <vt:lpwstr>_Toc220103452</vt:lpwstr>
      </vt:variant>
      <vt:variant>
        <vt:i4>1179702</vt:i4>
      </vt:variant>
      <vt:variant>
        <vt:i4>116</vt:i4>
      </vt:variant>
      <vt:variant>
        <vt:i4>0</vt:i4>
      </vt:variant>
      <vt:variant>
        <vt:i4>5</vt:i4>
      </vt:variant>
      <vt:variant>
        <vt:lpwstr/>
      </vt:variant>
      <vt:variant>
        <vt:lpwstr>_Toc220103451</vt:lpwstr>
      </vt:variant>
      <vt:variant>
        <vt:i4>1179702</vt:i4>
      </vt:variant>
      <vt:variant>
        <vt:i4>110</vt:i4>
      </vt:variant>
      <vt:variant>
        <vt:i4>0</vt:i4>
      </vt:variant>
      <vt:variant>
        <vt:i4>5</vt:i4>
      </vt:variant>
      <vt:variant>
        <vt:lpwstr/>
      </vt:variant>
      <vt:variant>
        <vt:lpwstr>_Toc220103450</vt:lpwstr>
      </vt:variant>
      <vt:variant>
        <vt:i4>1245238</vt:i4>
      </vt:variant>
      <vt:variant>
        <vt:i4>104</vt:i4>
      </vt:variant>
      <vt:variant>
        <vt:i4>0</vt:i4>
      </vt:variant>
      <vt:variant>
        <vt:i4>5</vt:i4>
      </vt:variant>
      <vt:variant>
        <vt:lpwstr/>
      </vt:variant>
      <vt:variant>
        <vt:lpwstr>_Toc220103449</vt:lpwstr>
      </vt:variant>
      <vt:variant>
        <vt:i4>1245238</vt:i4>
      </vt:variant>
      <vt:variant>
        <vt:i4>98</vt:i4>
      </vt:variant>
      <vt:variant>
        <vt:i4>0</vt:i4>
      </vt:variant>
      <vt:variant>
        <vt:i4>5</vt:i4>
      </vt:variant>
      <vt:variant>
        <vt:lpwstr/>
      </vt:variant>
      <vt:variant>
        <vt:lpwstr>_Toc220103448</vt:lpwstr>
      </vt:variant>
      <vt:variant>
        <vt:i4>1245238</vt:i4>
      </vt:variant>
      <vt:variant>
        <vt:i4>92</vt:i4>
      </vt:variant>
      <vt:variant>
        <vt:i4>0</vt:i4>
      </vt:variant>
      <vt:variant>
        <vt:i4>5</vt:i4>
      </vt:variant>
      <vt:variant>
        <vt:lpwstr/>
      </vt:variant>
      <vt:variant>
        <vt:lpwstr>_Toc220103447</vt:lpwstr>
      </vt:variant>
      <vt:variant>
        <vt:i4>1245238</vt:i4>
      </vt:variant>
      <vt:variant>
        <vt:i4>86</vt:i4>
      </vt:variant>
      <vt:variant>
        <vt:i4>0</vt:i4>
      </vt:variant>
      <vt:variant>
        <vt:i4>5</vt:i4>
      </vt:variant>
      <vt:variant>
        <vt:lpwstr/>
      </vt:variant>
      <vt:variant>
        <vt:lpwstr>_Toc220103446</vt:lpwstr>
      </vt:variant>
      <vt:variant>
        <vt:i4>1245238</vt:i4>
      </vt:variant>
      <vt:variant>
        <vt:i4>80</vt:i4>
      </vt:variant>
      <vt:variant>
        <vt:i4>0</vt:i4>
      </vt:variant>
      <vt:variant>
        <vt:i4>5</vt:i4>
      </vt:variant>
      <vt:variant>
        <vt:lpwstr/>
      </vt:variant>
      <vt:variant>
        <vt:lpwstr>_Toc220103445</vt:lpwstr>
      </vt:variant>
      <vt:variant>
        <vt:i4>1245238</vt:i4>
      </vt:variant>
      <vt:variant>
        <vt:i4>74</vt:i4>
      </vt:variant>
      <vt:variant>
        <vt:i4>0</vt:i4>
      </vt:variant>
      <vt:variant>
        <vt:i4>5</vt:i4>
      </vt:variant>
      <vt:variant>
        <vt:lpwstr/>
      </vt:variant>
      <vt:variant>
        <vt:lpwstr>_Toc220103444</vt:lpwstr>
      </vt:variant>
      <vt:variant>
        <vt:i4>1245238</vt:i4>
      </vt:variant>
      <vt:variant>
        <vt:i4>68</vt:i4>
      </vt:variant>
      <vt:variant>
        <vt:i4>0</vt:i4>
      </vt:variant>
      <vt:variant>
        <vt:i4>5</vt:i4>
      </vt:variant>
      <vt:variant>
        <vt:lpwstr/>
      </vt:variant>
      <vt:variant>
        <vt:lpwstr>_Toc220103443</vt:lpwstr>
      </vt:variant>
      <vt:variant>
        <vt:i4>1245238</vt:i4>
      </vt:variant>
      <vt:variant>
        <vt:i4>62</vt:i4>
      </vt:variant>
      <vt:variant>
        <vt:i4>0</vt:i4>
      </vt:variant>
      <vt:variant>
        <vt:i4>5</vt:i4>
      </vt:variant>
      <vt:variant>
        <vt:lpwstr/>
      </vt:variant>
      <vt:variant>
        <vt:lpwstr>_Toc220103442</vt:lpwstr>
      </vt:variant>
      <vt:variant>
        <vt:i4>1245238</vt:i4>
      </vt:variant>
      <vt:variant>
        <vt:i4>56</vt:i4>
      </vt:variant>
      <vt:variant>
        <vt:i4>0</vt:i4>
      </vt:variant>
      <vt:variant>
        <vt:i4>5</vt:i4>
      </vt:variant>
      <vt:variant>
        <vt:lpwstr/>
      </vt:variant>
      <vt:variant>
        <vt:lpwstr>_Toc220103441</vt:lpwstr>
      </vt:variant>
      <vt:variant>
        <vt:i4>1245238</vt:i4>
      </vt:variant>
      <vt:variant>
        <vt:i4>50</vt:i4>
      </vt:variant>
      <vt:variant>
        <vt:i4>0</vt:i4>
      </vt:variant>
      <vt:variant>
        <vt:i4>5</vt:i4>
      </vt:variant>
      <vt:variant>
        <vt:lpwstr/>
      </vt:variant>
      <vt:variant>
        <vt:lpwstr>_Toc220103440</vt:lpwstr>
      </vt:variant>
      <vt:variant>
        <vt:i4>1310774</vt:i4>
      </vt:variant>
      <vt:variant>
        <vt:i4>44</vt:i4>
      </vt:variant>
      <vt:variant>
        <vt:i4>0</vt:i4>
      </vt:variant>
      <vt:variant>
        <vt:i4>5</vt:i4>
      </vt:variant>
      <vt:variant>
        <vt:lpwstr/>
      </vt:variant>
      <vt:variant>
        <vt:lpwstr>_Toc220103439</vt:lpwstr>
      </vt:variant>
      <vt:variant>
        <vt:i4>1310774</vt:i4>
      </vt:variant>
      <vt:variant>
        <vt:i4>38</vt:i4>
      </vt:variant>
      <vt:variant>
        <vt:i4>0</vt:i4>
      </vt:variant>
      <vt:variant>
        <vt:i4>5</vt:i4>
      </vt:variant>
      <vt:variant>
        <vt:lpwstr/>
      </vt:variant>
      <vt:variant>
        <vt:lpwstr>_Toc220103438</vt:lpwstr>
      </vt:variant>
      <vt:variant>
        <vt:i4>1310774</vt:i4>
      </vt:variant>
      <vt:variant>
        <vt:i4>32</vt:i4>
      </vt:variant>
      <vt:variant>
        <vt:i4>0</vt:i4>
      </vt:variant>
      <vt:variant>
        <vt:i4>5</vt:i4>
      </vt:variant>
      <vt:variant>
        <vt:lpwstr/>
      </vt:variant>
      <vt:variant>
        <vt:lpwstr>_Toc220103437</vt:lpwstr>
      </vt:variant>
      <vt:variant>
        <vt:i4>1310774</vt:i4>
      </vt:variant>
      <vt:variant>
        <vt:i4>26</vt:i4>
      </vt:variant>
      <vt:variant>
        <vt:i4>0</vt:i4>
      </vt:variant>
      <vt:variant>
        <vt:i4>5</vt:i4>
      </vt:variant>
      <vt:variant>
        <vt:lpwstr/>
      </vt:variant>
      <vt:variant>
        <vt:lpwstr>_Toc220103436</vt:lpwstr>
      </vt:variant>
      <vt:variant>
        <vt:i4>1310774</vt:i4>
      </vt:variant>
      <vt:variant>
        <vt:i4>20</vt:i4>
      </vt:variant>
      <vt:variant>
        <vt:i4>0</vt:i4>
      </vt:variant>
      <vt:variant>
        <vt:i4>5</vt:i4>
      </vt:variant>
      <vt:variant>
        <vt:lpwstr/>
      </vt:variant>
      <vt:variant>
        <vt:lpwstr>_Toc220103435</vt:lpwstr>
      </vt:variant>
      <vt:variant>
        <vt:i4>1310774</vt:i4>
      </vt:variant>
      <vt:variant>
        <vt:i4>14</vt:i4>
      </vt:variant>
      <vt:variant>
        <vt:i4>0</vt:i4>
      </vt:variant>
      <vt:variant>
        <vt:i4>5</vt:i4>
      </vt:variant>
      <vt:variant>
        <vt:lpwstr/>
      </vt:variant>
      <vt:variant>
        <vt:lpwstr>_Toc220103434</vt:lpwstr>
      </vt:variant>
      <vt:variant>
        <vt:i4>1310774</vt:i4>
      </vt:variant>
      <vt:variant>
        <vt:i4>8</vt:i4>
      </vt:variant>
      <vt:variant>
        <vt:i4>0</vt:i4>
      </vt:variant>
      <vt:variant>
        <vt:i4>5</vt:i4>
      </vt:variant>
      <vt:variant>
        <vt:lpwstr/>
      </vt:variant>
      <vt:variant>
        <vt:lpwstr>_Toc220103433</vt:lpwstr>
      </vt:variant>
      <vt:variant>
        <vt:i4>1310774</vt:i4>
      </vt:variant>
      <vt:variant>
        <vt:i4>2</vt:i4>
      </vt:variant>
      <vt:variant>
        <vt:i4>0</vt:i4>
      </vt:variant>
      <vt:variant>
        <vt:i4>5</vt:i4>
      </vt:variant>
      <vt:variant>
        <vt:lpwstr/>
      </vt:variant>
      <vt:variant>
        <vt:lpwstr>_Toc220103432</vt:lpwstr>
      </vt:variant>
      <vt:variant>
        <vt:i4>1769543</vt:i4>
      </vt:variant>
      <vt:variant>
        <vt:i4>39</vt:i4>
      </vt:variant>
      <vt:variant>
        <vt:i4>0</vt:i4>
      </vt:variant>
      <vt:variant>
        <vt:i4>5</vt:i4>
      </vt:variant>
      <vt:variant>
        <vt:lpwstr>https://www.elibrary.imf.org/view/journals/001/2025/222/001.2025.issue-222-en.xml</vt:lpwstr>
      </vt:variant>
      <vt:variant>
        <vt:lpwstr/>
      </vt:variant>
      <vt:variant>
        <vt:i4>7274544</vt:i4>
      </vt:variant>
      <vt:variant>
        <vt:i4>36</vt:i4>
      </vt:variant>
      <vt:variant>
        <vt:i4>0</vt:i4>
      </vt:variant>
      <vt:variant>
        <vt:i4>5</vt:i4>
      </vt:variant>
      <vt:variant>
        <vt:lpwstr>https://www.oecd.org/en/publications/economic-security-in-a-changing-world_4eac89c7-en/full-report/economic-security-and-vulnerabilities-in-international-supply-chains_dc88aefa.html</vt:lpwstr>
      </vt:variant>
      <vt:variant>
        <vt:lpwstr/>
      </vt:variant>
      <vt:variant>
        <vt:i4>3473436</vt:i4>
      </vt:variant>
      <vt:variant>
        <vt:i4>33</vt:i4>
      </vt:variant>
      <vt:variant>
        <vt:i4>0</vt:i4>
      </vt:variant>
      <vt:variant>
        <vt:i4>5</vt:i4>
      </vt:variant>
      <vt:variant>
        <vt:lpwstr>https://grow-smsgt.acc.fpfis.tech.ec.europa.eu/competitiveness/resilience_en</vt:lpwstr>
      </vt:variant>
      <vt:variant>
        <vt:lpwstr/>
      </vt:variant>
      <vt:variant>
        <vt:i4>3538967</vt:i4>
      </vt:variant>
      <vt:variant>
        <vt:i4>30</vt:i4>
      </vt:variant>
      <vt:variant>
        <vt:i4>0</vt:i4>
      </vt:variant>
      <vt:variant>
        <vt:i4>5</vt:i4>
      </vt:variant>
      <vt:variant>
        <vt:lpwstr>https://single-market-economy.ec.europa.eu/industry/sustainability/net-zero-industry-act_en</vt:lpwstr>
      </vt:variant>
      <vt:variant>
        <vt:lpwstr/>
      </vt:variant>
      <vt:variant>
        <vt:i4>4849707</vt:i4>
      </vt:variant>
      <vt:variant>
        <vt:i4>27</vt:i4>
      </vt:variant>
      <vt:variant>
        <vt:i4>0</vt:i4>
      </vt:variant>
      <vt:variant>
        <vt:i4>5</vt:i4>
      </vt:variant>
      <vt:variant>
        <vt:lpwstr>https://energy.ec.europa.eu/publications/assessment-progress-towards-energy-union-and-climate-action-objectives-swd_en</vt:lpwstr>
      </vt:variant>
      <vt:variant>
        <vt:lpwstr/>
      </vt:variant>
      <vt:variant>
        <vt:i4>4915255</vt:i4>
      </vt:variant>
      <vt:variant>
        <vt:i4>24</vt:i4>
      </vt:variant>
      <vt:variant>
        <vt:i4>0</vt:i4>
      </vt:variant>
      <vt:variant>
        <vt:i4>5</vt:i4>
      </vt:variant>
      <vt:variant>
        <vt:lpwstr>https://investeu.europa.eu/investeu-programme/investeu-fund/investeu-indicators_en</vt:lpwstr>
      </vt:variant>
      <vt:variant>
        <vt:lpwstr/>
      </vt:variant>
      <vt:variant>
        <vt:i4>4915255</vt:i4>
      </vt:variant>
      <vt:variant>
        <vt:i4>21</vt:i4>
      </vt:variant>
      <vt:variant>
        <vt:i4>0</vt:i4>
      </vt:variant>
      <vt:variant>
        <vt:i4>5</vt:i4>
      </vt:variant>
      <vt:variant>
        <vt:lpwstr>https://investeu.europa.eu/investeu-programme/investeu-fund/investeu-indicators_en</vt:lpwstr>
      </vt:variant>
      <vt:variant>
        <vt:lpwstr/>
      </vt:variant>
      <vt:variant>
        <vt:i4>7209012</vt:i4>
      </vt:variant>
      <vt:variant>
        <vt:i4>18</vt:i4>
      </vt:variant>
      <vt:variant>
        <vt:i4>0</vt:i4>
      </vt:variant>
      <vt:variant>
        <vt:i4>5</vt:i4>
      </vt:variant>
      <vt:variant>
        <vt:lpwstr>https://esco.ec.europa.eu/en/about-esco/escopedia/escopedia/green-skills-labelling-esco</vt:lpwstr>
      </vt:variant>
      <vt:variant>
        <vt:lpwstr/>
      </vt:variant>
      <vt:variant>
        <vt:i4>7733351</vt:i4>
      </vt:variant>
      <vt:variant>
        <vt:i4>15</vt:i4>
      </vt:variant>
      <vt:variant>
        <vt:i4>0</vt:i4>
      </vt:variant>
      <vt:variant>
        <vt:i4>5</vt:i4>
      </vt:variant>
      <vt:variant>
        <vt:lpwstr>https://eur-lex.europa.eu/eli/reg/2018/1724/oj/eng</vt:lpwstr>
      </vt:variant>
      <vt:variant>
        <vt:lpwstr/>
      </vt:variant>
      <vt:variant>
        <vt:i4>7864445</vt:i4>
      </vt:variant>
      <vt:variant>
        <vt:i4>12</vt:i4>
      </vt:variant>
      <vt:variant>
        <vt:i4>0</vt:i4>
      </vt:variant>
      <vt:variant>
        <vt:i4>5</vt:i4>
      </vt:variant>
      <vt:variant>
        <vt:lpwstr>https://digital-strategy.ec.europa.eu/en/library/digital-decade-2025-egovernment-benchmark-2025</vt:lpwstr>
      </vt:variant>
      <vt:variant>
        <vt:lpwstr/>
      </vt:variant>
      <vt:variant>
        <vt:i4>1179664</vt:i4>
      </vt:variant>
      <vt:variant>
        <vt:i4>9</vt:i4>
      </vt:variant>
      <vt:variant>
        <vt:i4>0</vt:i4>
      </vt:variant>
      <vt:variant>
        <vt:i4>5</vt:i4>
      </vt:variant>
      <vt:variant>
        <vt:lpwstr>https://www.oecd.org/en/topics/services-trade-restrictiveness-index.html</vt:lpwstr>
      </vt:variant>
      <vt:variant>
        <vt:lpwstr/>
      </vt:variant>
      <vt:variant>
        <vt:i4>4456509</vt:i4>
      </vt:variant>
      <vt:variant>
        <vt:i4>6</vt:i4>
      </vt:variant>
      <vt:variant>
        <vt:i4>0</vt:i4>
      </vt:variant>
      <vt:variant>
        <vt:i4>5</vt:i4>
      </vt:variant>
      <vt:variant>
        <vt:lpwstr>https://commission.europa.eu/law/law-making-process/better-regulation/simplification-and-implementation/simplification_en</vt:lpwstr>
      </vt:variant>
      <vt:variant>
        <vt:lpwstr/>
      </vt:variant>
      <vt:variant>
        <vt:i4>1179664</vt:i4>
      </vt:variant>
      <vt:variant>
        <vt:i4>3</vt:i4>
      </vt:variant>
      <vt:variant>
        <vt:i4>0</vt:i4>
      </vt:variant>
      <vt:variant>
        <vt:i4>5</vt:i4>
      </vt:variant>
      <vt:variant>
        <vt:lpwstr>https://www.oecd.org/en/topics/services-trade-restrictiveness-index.html</vt:lpwstr>
      </vt:variant>
      <vt:variant>
        <vt:lpwstr/>
      </vt:variant>
      <vt:variant>
        <vt:i4>2162807</vt:i4>
      </vt:variant>
      <vt:variant>
        <vt:i4>0</vt:i4>
      </vt:variant>
      <vt:variant>
        <vt:i4>0</vt:i4>
      </vt:variant>
      <vt:variant>
        <vt:i4>5</vt:i4>
      </vt:variant>
      <vt:variant>
        <vt:lpwstr>https://single-market-scoreboard.ec.europa.eu/</vt:lpwstr>
      </vt:variant>
      <vt:variant>
        <vt:lpwstr/>
      </vt:variant>
      <vt:variant>
        <vt:i4>7405676</vt:i4>
      </vt:variant>
      <vt:variant>
        <vt:i4>45</vt:i4>
      </vt:variant>
      <vt:variant>
        <vt:i4>0</vt:i4>
      </vt:variant>
      <vt:variant>
        <vt:i4>5</vt:i4>
      </vt:variant>
      <vt:variant>
        <vt:lpwstr>https://ec.europa.eu/info/funding-tenders/opportunities/portal/sme/public/organisation-name</vt:lpwstr>
      </vt:variant>
      <vt:variant>
        <vt:lpwstr/>
      </vt:variant>
      <vt:variant>
        <vt:i4>1376381</vt:i4>
      </vt:variant>
      <vt:variant>
        <vt:i4>42</vt:i4>
      </vt:variant>
      <vt:variant>
        <vt:i4>0</vt:i4>
      </vt:variant>
      <vt:variant>
        <vt:i4>5</vt:i4>
      </vt:variant>
      <vt:variant>
        <vt:lpwstr>https://north-africa-middle-east-gulf.ec.europa.eu/trans-mediterranean-renewable-energy-and-clean-tech-cooperation-initiative-t-med_en</vt:lpwstr>
      </vt:variant>
      <vt:variant>
        <vt:lpwstr/>
      </vt:variant>
      <vt:variant>
        <vt:i4>7798889</vt:i4>
      </vt:variant>
      <vt:variant>
        <vt:i4>39</vt:i4>
      </vt:variant>
      <vt:variant>
        <vt:i4>0</vt:i4>
      </vt:variant>
      <vt:variant>
        <vt:i4>5</vt:i4>
      </vt:variant>
      <vt:variant>
        <vt:lpwstr>https://ec.europa.eu/commission/presscorner/detail/en/ip_25_3088</vt:lpwstr>
      </vt:variant>
      <vt:variant>
        <vt:lpwstr/>
      </vt:variant>
      <vt:variant>
        <vt:i4>4718677</vt:i4>
      </vt:variant>
      <vt:variant>
        <vt:i4>36</vt:i4>
      </vt:variant>
      <vt:variant>
        <vt:i4>0</vt:i4>
      </vt:variant>
      <vt:variant>
        <vt:i4>5</vt:i4>
      </vt:variant>
      <vt:variant>
        <vt:lpwstr>https://ec.europa.eu/commission/presscorner/detail/en/ip_25_774</vt:lpwstr>
      </vt:variant>
      <vt:variant>
        <vt:lpwstr/>
      </vt:variant>
      <vt:variant>
        <vt:i4>393338</vt:i4>
      </vt:variant>
      <vt:variant>
        <vt:i4>33</vt:i4>
      </vt:variant>
      <vt:variant>
        <vt:i4>0</vt:i4>
      </vt:variant>
      <vt:variant>
        <vt:i4>5</vt:i4>
      </vt:variant>
      <vt:variant>
        <vt:lpwstr>https://single-market-economy.ec.europa.eu/sectors/raw-materials/areas-specific-interest/critical-raw-materials/strategic-projects-under-crma/selected-projects_en</vt:lpwstr>
      </vt:variant>
      <vt:variant>
        <vt:lpwstr/>
      </vt:variant>
      <vt:variant>
        <vt:i4>2031712</vt:i4>
      </vt:variant>
      <vt:variant>
        <vt:i4>27</vt:i4>
      </vt:variant>
      <vt:variant>
        <vt:i4>0</vt:i4>
      </vt:variant>
      <vt:variant>
        <vt:i4>5</vt:i4>
      </vt:variant>
      <vt:variant>
        <vt:lpwstr>https://climate.ec.europa.eu/news-other-reads/news/commission-publishes-terms-and-conditions-first-pilot-auction-industrial-heat-decarbonisation-budget-2025-10-10_en</vt:lpwstr>
      </vt:variant>
      <vt:variant>
        <vt:lpwstr/>
      </vt:variant>
      <vt:variant>
        <vt:i4>8060957</vt:i4>
      </vt:variant>
      <vt:variant>
        <vt:i4>24</vt:i4>
      </vt:variant>
      <vt:variant>
        <vt:i4>0</vt:i4>
      </vt:variant>
      <vt:variant>
        <vt:i4>5</vt:i4>
      </vt:variant>
      <vt:variant>
        <vt:lpwstr>https://competition-policy.ec.europa.eu/state-aid/ipcei/design-support-hub_en</vt:lpwstr>
      </vt:variant>
      <vt:variant>
        <vt:lpwstr>objectives</vt:lpwstr>
      </vt:variant>
      <vt:variant>
        <vt:i4>7536740</vt:i4>
      </vt:variant>
      <vt:variant>
        <vt:i4>21</vt:i4>
      </vt:variant>
      <vt:variant>
        <vt:i4>0</vt:i4>
      </vt:variant>
      <vt:variant>
        <vt:i4>5</vt:i4>
      </vt:variant>
      <vt:variant>
        <vt:lpwstr>https://ec.europa.eu/commission/presscorner/detail/en/ip_25_2945</vt:lpwstr>
      </vt:variant>
      <vt:variant>
        <vt:lpwstr/>
      </vt:variant>
      <vt:variant>
        <vt:i4>3407984</vt:i4>
      </vt:variant>
      <vt:variant>
        <vt:i4>18</vt:i4>
      </vt:variant>
      <vt:variant>
        <vt:i4>0</vt:i4>
      </vt:variant>
      <vt:variant>
        <vt:i4>5</vt:i4>
      </vt:variant>
      <vt:variant>
        <vt:lpwstr>https://www.eib.org/en/press/all/2025-247-eib-group-increases-2025-financing-ceiling-to-record-eur100-billion-to-step-up-investments-in-security-and-defence-energy-grids-and-europe-s-tech-leadership</vt:lpwstr>
      </vt:variant>
      <vt:variant>
        <vt:lpwstr/>
      </vt:variant>
      <vt:variant>
        <vt:i4>1900598</vt:i4>
      </vt:variant>
      <vt:variant>
        <vt:i4>15</vt:i4>
      </vt:variant>
      <vt:variant>
        <vt:i4>0</vt:i4>
      </vt:variant>
      <vt:variant>
        <vt:i4>5</vt:i4>
      </vt:variant>
      <vt:variant>
        <vt:lpwstr>https://commission.europa.eu/strategy-and-policy/eu-budget/long-term-eu-budget/eu-budget-2028-2034_en</vt:lpwstr>
      </vt:variant>
      <vt:variant>
        <vt:lpwstr/>
      </vt:variant>
      <vt:variant>
        <vt:i4>4653090</vt:i4>
      </vt:variant>
      <vt:variant>
        <vt:i4>12</vt:i4>
      </vt:variant>
      <vt:variant>
        <vt:i4>0</vt:i4>
      </vt:variant>
      <vt:variant>
        <vt:i4>5</vt:i4>
      </vt:variant>
      <vt:variant>
        <vt:lpwstr>https://defence-industry-space.ec.europa.eu/eu-defence-industry/white-paper-european-defence-readiness-2030_en</vt:lpwstr>
      </vt:variant>
      <vt:variant>
        <vt:lpwstr/>
      </vt:variant>
      <vt:variant>
        <vt:i4>5308449</vt:i4>
      </vt:variant>
      <vt:variant>
        <vt:i4>9</vt:i4>
      </vt:variant>
      <vt:variant>
        <vt:i4>0</vt:i4>
      </vt:variant>
      <vt:variant>
        <vt:i4>5</vt:i4>
      </vt:variant>
      <vt:variant>
        <vt:lpwstr>https://energy.ec.europa.eu/topics/energy-security/eu-energy-and-raw-materials-platform_en</vt:lpwstr>
      </vt:variant>
      <vt:variant>
        <vt:lpwstr/>
      </vt:variant>
      <vt:variant>
        <vt:i4>1376381</vt:i4>
      </vt:variant>
      <vt:variant>
        <vt:i4>6</vt:i4>
      </vt:variant>
      <vt:variant>
        <vt:i4>0</vt:i4>
      </vt:variant>
      <vt:variant>
        <vt:i4>5</vt:i4>
      </vt:variant>
      <vt:variant>
        <vt:lpwstr>https://north-africa-middle-east-gulf.ec.europa.eu/trans-mediterranean-renewable-energy-and-clean-tech-cooperation-initiative-t-med_en</vt:lpwstr>
      </vt:variant>
      <vt:variant>
        <vt:lpwstr/>
      </vt:variant>
      <vt:variant>
        <vt:i4>7798889</vt:i4>
      </vt:variant>
      <vt:variant>
        <vt:i4>3</vt:i4>
      </vt:variant>
      <vt:variant>
        <vt:i4>0</vt:i4>
      </vt:variant>
      <vt:variant>
        <vt:i4>5</vt:i4>
      </vt:variant>
      <vt:variant>
        <vt:lpwstr>https://ec.europa.eu/commission/presscorner/detail/en/ip_25_3088</vt:lpwstr>
      </vt:variant>
      <vt:variant>
        <vt:lpwstr/>
      </vt:variant>
      <vt:variant>
        <vt:i4>1310792</vt:i4>
      </vt:variant>
      <vt:variant>
        <vt:i4>0</vt:i4>
      </vt:variant>
      <vt:variant>
        <vt:i4>0</vt:i4>
      </vt:variant>
      <vt:variant>
        <vt:i4>5</vt:i4>
      </vt:variant>
      <vt:variant>
        <vt:lpwstr>https://digital-strategy.ec.europa.eu/en/library/proposal-regulation-digital-networks-act-dna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WOJCIECHOWSKA Eliza (SG)</cp:lastModifiedBy>
  <cp:revision>18</cp:revision>
  <cp:lastPrinted>2026-01-27T13:27:00Z</cp:lastPrinted>
  <dcterms:created xsi:type="dcterms:W3CDTF">2026-01-28T09:31:00Z</dcterms:created>
  <dcterms:modified xsi:type="dcterms:W3CDTF">2026-01-30T10:00:00Z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Part">
    <vt:lpwstr>1</vt:lpwstr>
  </property>
  <property fmtid="{D5CDD505-2E9C-101B-9397-08002B2CF9AE}" pid="4" name="Last edited using">
    <vt:lpwstr>LW 9.2, Build 20250828</vt:lpwstr>
  </property>
  <property fmtid="{D5CDD505-2E9C-101B-9397-08002B2CF9AE}" pid="5" name="MSIP_Label_6bd9ddd1-4d20-43f6-abfa-fc3c07406f94_ContentBits">
    <vt:lpwstr>0</vt:lpwstr>
  </property>
  <property fmtid="{D5CDD505-2E9C-101B-9397-08002B2CF9AE}" pid="6" name="ContentTypeId">
    <vt:lpwstr>0x010100E9017108F1A3E9479BE5ED246ADBD7EC</vt:lpwstr>
  </property>
  <property fmtid="{D5CDD505-2E9C-101B-9397-08002B2CF9AE}" pid="7" name="CPTemplateID">
    <vt:lpwstr>CP-025</vt:lpwstr>
  </property>
  <property fmtid="{D5CDD505-2E9C-101B-9397-08002B2CF9AE}" pid="8" name="MSIP_Label_6bd9ddd1-4d20-43f6-abfa-fc3c07406f94_Tag">
    <vt:lpwstr>10, 3, 0, 1</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Method">
    <vt:lpwstr>Standard</vt:lpwstr>
  </property>
  <property fmtid="{D5CDD505-2E9C-101B-9397-08002B2CF9AE}" pid="11" name="MSIP_Label_6bd9ddd1-4d20-43f6-abfa-fc3c07406f94_Enabled">
    <vt:lpwstr>true</vt:lpwstr>
  </property>
  <property fmtid="{D5CDD505-2E9C-101B-9397-08002B2CF9AE}" pid="12" name="Total parts">
    <vt:lpwstr>1</vt:lpwstr>
  </property>
  <property fmtid="{D5CDD505-2E9C-101B-9397-08002B2CF9AE}" pid="13" name="DocStatus">
    <vt:lpwstr>Green</vt:lpwstr>
  </property>
  <property fmtid="{D5CDD505-2E9C-101B-9397-08002B2CF9AE}" pid="14" name="MSIP_Label_6bd9ddd1-4d20-43f6-abfa-fc3c07406f94_SetDate">
    <vt:lpwstr>2026-01-26T12:37:02Z</vt:lpwstr>
  </property>
  <property fmtid="{D5CDD505-2E9C-101B-9397-08002B2CF9AE}" pid="15" name="Level of sensitivity">
    <vt:lpwstr>Standard treatment</vt:lpwstr>
  </property>
  <property fmtid="{D5CDD505-2E9C-101B-9397-08002B2CF9AE}" pid="16" name="MSIP_Label_6bd9ddd1-4d20-43f6-abfa-fc3c07406f94_ActionId">
    <vt:lpwstr>bcd53d71-72d9-4739-a63d-adda107367a4</vt:lpwstr>
  </property>
</Properties>
</file>